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lineRule="auto" w:line="288" w:before="0" w:after="0"/>
        <w:rPr/>
      </w:pPr>
      <w:hyperlink w:anchor="s1D4031A326A2D05AEEF6A412554D06A6">
        <w:bookmarkStart w:id="0" w:name="s1DEFEC6E59D91F9A83F6A41254FA4D56"/>
        <w:bookmarkStart w:id="1" w:name="ezpw-6302012x10q.htm"/>
        <w:bookmarkStart w:id="2" w:name="ksezpw6302012x10q"/>
        <w:bookmarkEnd w:id="0"/>
        <w:bookmarkEnd w:id="1"/>
        <w:bookmarkEnd w:id="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30"/>
        </w:rPr>
      </w:pPr>
      <w:r>
        <w:rPr>
          <w:rFonts w:ascii="inherit" w:hAnsi="inherit"/>
          <w:b/>
          <w:sz w:val="30"/>
        </w:rPr>
        <w:t>UNITED STATES</w:t>
      </w:r>
    </w:p>
    <w:p>
      <w:pPr>
        <w:pStyle w:val="TextBody"/>
        <w:spacing w:lineRule="auto" w:line="288" w:before="0" w:after="0"/>
        <w:jc w:val="center"/>
        <w:rPr>
          <w:rFonts w:ascii="inherit" w:hAnsi="inherit"/>
          <w:b/>
          <w:sz w:val="30"/>
        </w:rPr>
      </w:pPr>
      <w:r>
        <w:rPr>
          <w:rFonts w:ascii="inherit" w:hAnsi="inherit"/>
          <w:b/>
          <w:sz w:val="30"/>
        </w:rPr>
        <w:t>SECURITIES AND EXCHANGE COMMISSION</w:t>
      </w:r>
    </w:p>
    <w:p>
      <w:pPr>
        <w:pStyle w:val="TextBody"/>
        <w:spacing w:lineRule="auto" w:line="288" w:before="0" w:after="0"/>
        <w:jc w:val="center"/>
        <w:rPr>
          <w:rFonts w:ascii="inherit" w:hAnsi="inherit"/>
          <w:b/>
          <w:sz w:val="20"/>
        </w:rPr>
      </w:pPr>
      <w:r>
        <w:rPr>
          <w:rFonts w:ascii="inherit" w:hAnsi="inherit"/>
          <w:b/>
          <w:sz w:val="20"/>
        </w:rPr>
        <w:t>WASHINGTON, DC 20549</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0"/>
        </w:rPr>
      </w:pPr>
      <w:r>
        <w:rPr>
          <w:rFonts w:ascii="inherit" w:hAnsi="inherit"/>
          <w:b/>
          <w:sz w:val="30"/>
        </w:rPr>
        <w:t>FORM 10-Q</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tbl>
      <w:tblPr>
        <w:tblW w:w="10205" w:type="dxa"/>
        <w:jc w:val="left"/>
        <w:tblInd w:w="0" w:type="dxa"/>
        <w:tblCellMar>
          <w:top w:w="0" w:type="dxa"/>
          <w:left w:w="0" w:type="dxa"/>
          <w:bottom w:w="0" w:type="dxa"/>
          <w:right w:w="0" w:type="dxa"/>
        </w:tblCellMar>
      </w:tblPr>
      <w:tblGrid>
        <w:gridCol w:w="528"/>
        <w:gridCol w:w="9677"/>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528" w:type="dxa"/>
            <w:tcBorders/>
            <w:shd w:fill="auto" w:val="clear"/>
            <w:vAlign w:val="center"/>
          </w:tcPr>
          <w:p>
            <w:pPr>
              <w:pStyle w:val="TableContents"/>
              <w:spacing w:before="0" w:after="283"/>
              <w:rPr>
                <w:sz w:val="4"/>
                <w:szCs w:val="4"/>
              </w:rPr>
            </w:pPr>
            <w:r>
              <w:rPr>
                <w:sz w:val="4"/>
                <w:szCs w:val="4"/>
              </w:rPr>
            </w:r>
          </w:p>
        </w:tc>
        <w:tc>
          <w:tcPr>
            <w:tcW w:w="96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8" w:type="dxa"/>
            <w:tcBorders/>
            <w:shd w:fill="auto" w:val="clear"/>
            <w:vAlign w:val="center"/>
          </w:tcPr>
          <w:p>
            <w:pPr>
              <w:pStyle w:val="TableContents"/>
              <w:spacing w:before="0" w:after="0"/>
              <w:ind w:left="0" w:right="0" w:firstLine="30"/>
              <w:jc w:val="left"/>
              <w:rPr>
                <w:rFonts w:ascii="Wingdings" w:hAnsi="Wingdings"/>
                <w:sz w:val="20"/>
              </w:rPr>
            </w:pPr>
            <w:r>
              <w:rPr>
                <w:rFonts w:ascii="Wingdings" w:hAnsi="Wingdings"/>
                <w:sz w:val="20"/>
              </w:rPr>
              <w:t>x</w:t>
            </w:r>
          </w:p>
        </w:tc>
        <w:tc>
          <w:tcPr>
            <w:tcW w:w="9677" w:type="dxa"/>
            <w:tcBorders/>
            <w:shd w:fill="auto" w:val="clear"/>
            <w:vAlign w:val="center"/>
          </w:tcPr>
          <w:p>
            <w:pPr>
              <w:pStyle w:val="TableContents"/>
              <w:spacing w:before="0" w:after="0"/>
              <w:jc w:val="left"/>
              <w:rPr>
                <w:rFonts w:ascii="inherit" w:hAnsi="inherit"/>
                <w:b/>
                <w:sz w:val="20"/>
              </w:rPr>
            </w:pPr>
            <w:r>
              <w:rPr>
                <w:rFonts w:ascii="inherit" w:hAnsi="inherit"/>
                <w:b/>
                <w:sz w:val="20"/>
              </w:rPr>
              <w:t>QUARTERLY REPORT PURSUANT TO SECTION 13 OR 15(d) OF THE SECURITIES EXHANGE ACT OF 1934</w:t>
            </w:r>
          </w:p>
        </w:tc>
      </w:tr>
    </w:tbl>
    <w:p>
      <w:pPr>
        <w:pStyle w:val="TextBody"/>
        <w:spacing w:lineRule="auto" w:line="288" w:before="0" w:after="0"/>
        <w:jc w:val="center"/>
        <w:rPr>
          <w:sz w:val="17"/>
        </w:rPr>
      </w:pPr>
      <w:r>
        <w:rPr>
          <w:rFonts w:ascii="inherit" w:hAnsi="inherit"/>
          <w:b/>
          <w:sz w:val="17"/>
        </w:rPr>
        <w:t xml:space="preserve">For the quarterly period ended </w:t>
      </w:r>
      <w:r>
        <w:rPr>
          <w:rFonts w:ascii="inherit" w:hAnsi="inherit"/>
          <w:b/>
          <w:strike w:val="false"/>
          <w:dstrike w:val="false"/>
          <w:color w:val="000000"/>
          <w:sz w:val="17"/>
          <w:u w:val="none"/>
          <w:effect w:val="none"/>
        </w:rPr>
        <w:t>June 30, 2012</w:t>
      </w:r>
      <w:r>
        <w:rPr>
          <w:sz w:val="17"/>
        </w:rPr>
        <w:t xml:space="preserve"> </w:t>
      </w:r>
    </w:p>
    <w:p>
      <w:pPr>
        <w:pStyle w:val="TextBody"/>
        <w:spacing w:lineRule="auto" w:line="288" w:before="0" w:after="0"/>
        <w:jc w:val="center"/>
        <w:rPr>
          <w:sz w:val="20"/>
        </w:rPr>
      </w:pPr>
      <w:r>
        <w:rPr>
          <w:rFonts w:ascii="inherit" w:hAnsi="inherit"/>
          <w:b/>
          <w:sz w:val="17"/>
        </w:rPr>
        <w:t>or</w:t>
      </w:r>
      <w:r>
        <w:rPr>
          <w:sz w:val="20"/>
        </w:rPr>
        <w:t> </w:t>
      </w:r>
    </w:p>
    <w:tbl>
      <w:tblPr>
        <w:tblW w:w="10205" w:type="dxa"/>
        <w:jc w:val="center"/>
        <w:tblInd w:w="0" w:type="dxa"/>
        <w:tblCellMar>
          <w:top w:w="0" w:type="dxa"/>
          <w:left w:w="0" w:type="dxa"/>
          <w:bottom w:w="0" w:type="dxa"/>
          <w:right w:w="0" w:type="dxa"/>
        </w:tblCellMar>
      </w:tblPr>
      <w:tblGrid>
        <w:gridCol w:w="544"/>
        <w:gridCol w:w="9661"/>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544" w:type="dxa"/>
            <w:tcBorders/>
            <w:shd w:fill="auto" w:val="clear"/>
            <w:vAlign w:val="center"/>
          </w:tcPr>
          <w:p>
            <w:pPr>
              <w:pStyle w:val="TableContents"/>
              <w:spacing w:before="0" w:after="283"/>
              <w:rPr>
                <w:sz w:val="4"/>
                <w:szCs w:val="4"/>
              </w:rPr>
            </w:pPr>
            <w:r>
              <w:rPr>
                <w:sz w:val="4"/>
                <w:szCs w:val="4"/>
              </w:rPr>
            </w:r>
          </w:p>
        </w:tc>
        <w:tc>
          <w:tcPr>
            <w:tcW w:w="966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4" w:type="dxa"/>
            <w:tcBorders/>
            <w:shd w:fill="auto" w:val="clear"/>
            <w:vAlign w:val="center"/>
          </w:tcPr>
          <w:p>
            <w:pPr>
              <w:pStyle w:val="TableContents"/>
              <w:spacing w:before="0" w:after="0"/>
              <w:ind w:left="0" w:right="0" w:firstLine="30"/>
              <w:jc w:val="left"/>
              <w:rPr/>
            </w:pPr>
            <w:r>
              <w:rPr/>
              <w:t>☐</w:t>
            </w:r>
          </w:p>
        </w:tc>
        <w:tc>
          <w:tcPr>
            <w:tcW w:w="9661" w:type="dxa"/>
            <w:tcBorders/>
            <w:shd w:fill="auto" w:val="clear"/>
            <w:vAlign w:val="center"/>
          </w:tcPr>
          <w:p>
            <w:pPr>
              <w:pStyle w:val="TableContents"/>
              <w:spacing w:before="0" w:after="0"/>
              <w:jc w:val="left"/>
              <w:rPr>
                <w:rFonts w:ascii="inherit" w:hAnsi="inherit"/>
                <w:b/>
                <w:sz w:val="20"/>
              </w:rPr>
            </w:pPr>
            <w:r>
              <w:rPr>
                <w:rFonts w:ascii="inherit" w:hAnsi="inherit"/>
                <w:b/>
                <w:sz w:val="20"/>
              </w:rPr>
              <w:t>TRANSITION REPORT PURSUANT TO SECTION 13 OR 15(d) OF THE SECURITIES EXCHANGE ACT OF 1934</w:t>
            </w:r>
          </w:p>
        </w:tc>
      </w:tr>
    </w:tbl>
    <w:p>
      <w:pPr>
        <w:pStyle w:val="TextBody"/>
        <w:spacing w:lineRule="auto" w:line="288" w:before="0" w:after="0"/>
        <w:jc w:val="center"/>
        <w:rPr>
          <w:sz w:val="17"/>
        </w:rPr>
      </w:pPr>
      <w:r>
        <w:rPr>
          <w:rFonts w:ascii="inherit" w:hAnsi="inherit"/>
          <w:b/>
          <w:sz w:val="17"/>
        </w:rPr>
        <w:t xml:space="preserve">For the transition period from </w:t>
      </w:r>
      <w:r>
        <w:rPr>
          <w:sz w:val="17"/>
          <w:u w:val="single"/>
        </w:rPr>
        <w:t>                    </w:t>
      </w:r>
      <w:r>
        <w:rPr>
          <w:sz w:val="17"/>
        </w:rPr>
        <w:t xml:space="preserve"> </w:t>
      </w:r>
      <w:r>
        <w:rPr>
          <w:rFonts w:ascii="inherit" w:hAnsi="inherit"/>
          <w:b/>
          <w:sz w:val="17"/>
        </w:rPr>
        <w:t xml:space="preserve">to </w:t>
      </w:r>
      <w:r>
        <w:rPr>
          <w:sz w:val="17"/>
          <w:u w:val="single"/>
        </w:rPr>
        <w:t>                        </w:t>
      </w:r>
    </w:p>
    <w:p>
      <w:pPr>
        <w:pStyle w:val="TextBody"/>
        <w:spacing w:lineRule="auto" w:line="288" w:before="0" w:after="0"/>
        <w:jc w:val="center"/>
        <w:rPr>
          <w:rFonts w:ascii="inherit" w:hAnsi="inherit"/>
          <w:b/>
          <w:sz w:val="17"/>
        </w:rPr>
      </w:pPr>
      <w:r>
        <w:rPr>
          <w:rFonts w:ascii="inherit" w:hAnsi="inherit"/>
          <w:b/>
          <w:sz w:val="17"/>
        </w:rPr>
        <w:t>Commission File No. 0-19424</w:t>
      </w:r>
    </w:p>
    <w:tbl>
      <w:tblPr>
        <w:tblW w:w="333" w:type="dxa"/>
        <w:jc w:val="center"/>
        <w:tblInd w:w="0" w:type="dxa"/>
        <w:tblCellMar>
          <w:top w:w="0" w:type="dxa"/>
          <w:left w:w="0" w:type="dxa"/>
          <w:bottom w:w="0" w:type="dxa"/>
          <w:right w:w="0" w:type="dxa"/>
        </w:tblCellMar>
      </w:tblPr>
      <w:tblGrid>
        <w:gridCol w:w="120"/>
        <w:gridCol w:w="90"/>
        <w:gridCol w:w="123"/>
      </w:tblGrid>
      <w:tr>
        <w:trPr/>
        <w:tc>
          <w:tcPr>
            <w:tcW w:w="333" w:type="dxa"/>
            <w:gridSpan w:val="3"/>
            <w:tcBorders/>
            <w:shd w:fill="auto" w:val="clear"/>
            <w:vAlign w:val="center"/>
          </w:tcPr>
          <w:p>
            <w:pPr>
              <w:pStyle w:val="TableContents"/>
              <w:spacing w:before="0" w:after="283"/>
              <w:rPr>
                <w:sz w:val="4"/>
                <w:szCs w:val="4"/>
              </w:rPr>
            </w:pPr>
            <w:r>
              <w:rPr>
                <w:sz w:val="4"/>
                <w:szCs w:val="4"/>
              </w:rPr>
            </w:r>
          </w:p>
        </w:tc>
      </w:tr>
      <w:tr>
        <w:trPr/>
        <w:tc>
          <w:tcPr>
            <w:tcW w:w="12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20" w:type="dxa"/>
            <w:tcBorders/>
            <w:shd w:fill="auto" w:val="clear"/>
            <w:vAlign w:val="center"/>
          </w:tcPr>
          <w:p>
            <w:pPr>
              <w:pStyle w:val="TableContents"/>
              <w:spacing w:before="0" w:after="0"/>
              <w:ind w:left="0" w:right="0" w:firstLine="30"/>
              <w:rPr/>
            </w:pPr>
            <w:r>
              <w:rPr/>
              <w:t> </w:t>
            </w:r>
          </w:p>
        </w:tc>
        <w:tc>
          <w:tcPr>
            <w:tcW w:w="90"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3"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jc w:val="center"/>
        <w:rPr>
          <w:rFonts w:ascii="inherit" w:hAnsi="inherit"/>
          <w:b/>
          <w:sz w:val="37"/>
        </w:rPr>
      </w:pPr>
      <w:r>
        <w:rPr>
          <w:rFonts w:ascii="inherit" w:hAnsi="inherit"/>
          <w:b/>
          <w:sz w:val="37"/>
        </w:rPr>
        <w:t>EZCORP, INC.</w:t>
      </w:r>
    </w:p>
    <w:p>
      <w:pPr>
        <w:pStyle w:val="TextBody"/>
        <w:spacing w:lineRule="auto" w:line="288" w:before="0" w:after="0"/>
        <w:jc w:val="center"/>
        <w:rPr>
          <w:rFonts w:ascii="inherit" w:hAnsi="inherit"/>
          <w:b/>
          <w:sz w:val="17"/>
        </w:rPr>
      </w:pPr>
      <w:r>
        <w:rPr>
          <w:rFonts w:ascii="inherit" w:hAnsi="inherit"/>
          <w:b/>
          <w:sz w:val="17"/>
        </w:rPr>
        <w:t>(Exact name of registrant as specified in its charter)</w:t>
      </w:r>
    </w:p>
    <w:tbl>
      <w:tblPr>
        <w:tblW w:w="5930" w:type="dxa"/>
        <w:jc w:val="left"/>
        <w:tblInd w:w="0" w:type="dxa"/>
        <w:tblCellMar>
          <w:top w:w="0" w:type="dxa"/>
          <w:left w:w="0" w:type="dxa"/>
          <w:bottom w:w="0" w:type="dxa"/>
          <w:right w:w="0" w:type="dxa"/>
        </w:tblCellMar>
      </w:tblPr>
      <w:tblGrid>
        <w:gridCol w:w="2965"/>
        <w:gridCol w:w="2965"/>
      </w:tblGrid>
      <w:tr>
        <w:trPr/>
        <w:tc>
          <w:tcPr>
            <w:tcW w:w="5930" w:type="dxa"/>
            <w:gridSpan w:val="2"/>
            <w:tcBorders/>
            <w:shd w:fill="auto" w:val="clear"/>
            <w:vAlign w:val="center"/>
          </w:tcPr>
          <w:p>
            <w:pPr>
              <w:pStyle w:val="TableContents"/>
              <w:spacing w:before="0" w:after="283"/>
              <w:rPr>
                <w:sz w:val="4"/>
                <w:szCs w:val="4"/>
              </w:rPr>
            </w:pPr>
            <w:r>
              <w:rPr>
                <w:sz w:val="4"/>
                <w:szCs w:val="4"/>
              </w:rPr>
            </w:r>
          </w:p>
        </w:tc>
      </w:tr>
      <w:tr>
        <w:trPr/>
        <w:tc>
          <w:tcPr>
            <w:tcW w:w="2965" w:type="dxa"/>
            <w:tcBorders/>
            <w:shd w:fill="auto" w:val="clear"/>
            <w:vAlign w:val="center"/>
          </w:tcPr>
          <w:p>
            <w:pPr>
              <w:pStyle w:val="TableContents"/>
              <w:spacing w:before="0" w:after="283"/>
              <w:rPr>
                <w:sz w:val="4"/>
                <w:szCs w:val="4"/>
              </w:rPr>
            </w:pPr>
            <w:r>
              <w:rPr>
                <w:sz w:val="4"/>
                <w:szCs w:val="4"/>
              </w:rPr>
            </w:r>
          </w:p>
        </w:tc>
        <w:tc>
          <w:tcPr>
            <w:tcW w:w="296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Delaware</w:t>
            </w:r>
          </w:p>
        </w:tc>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74-2540145</w:t>
            </w:r>
          </w:p>
        </w:tc>
      </w:tr>
      <w:tr>
        <w:trPr/>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(State or other jurisdiction of</w:t>
            </w:r>
          </w:p>
          <w:p>
            <w:pPr>
              <w:pStyle w:val="TableContents"/>
              <w:spacing w:before="0" w:after="0"/>
              <w:ind w:left="0" w:right="0" w:firstLine="30"/>
              <w:jc w:val="center"/>
              <w:rPr>
                <w:rFonts w:ascii="inherit" w:hAnsi="inherit"/>
                <w:b/>
                <w:sz w:val="13"/>
              </w:rPr>
            </w:pPr>
            <w:r>
              <w:rPr>
                <w:rFonts w:ascii="inherit" w:hAnsi="inherit"/>
                <w:b/>
                <w:sz w:val="13"/>
              </w:rPr>
              <w:t>incorporation or organization)</w:t>
            </w:r>
          </w:p>
        </w:tc>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(I.R.S. Employer</w:t>
            </w:r>
          </w:p>
          <w:p>
            <w:pPr>
              <w:pStyle w:val="TableContents"/>
              <w:spacing w:before="0" w:after="0"/>
              <w:ind w:left="0" w:right="0" w:firstLine="30"/>
              <w:jc w:val="center"/>
              <w:rPr>
                <w:rFonts w:ascii="inherit" w:hAnsi="inherit"/>
                <w:b/>
                <w:sz w:val="13"/>
              </w:rPr>
            </w:pPr>
            <w:r>
              <w:rPr>
                <w:rFonts w:ascii="inherit" w:hAnsi="inherit"/>
                <w:b/>
                <w:sz w:val="13"/>
              </w:rPr>
              <w:t>Identification No.)</w:t>
            </w:r>
          </w:p>
        </w:tc>
      </w:tr>
      <w:tr>
        <w:trPr/>
        <w:tc>
          <w:tcPr>
            <w:tcW w:w="2965" w:type="dxa"/>
            <w:tcBorders/>
            <w:shd w:fill="auto" w:val="clear"/>
            <w:vAlign w:val="center"/>
          </w:tcPr>
          <w:p>
            <w:pPr>
              <w:pStyle w:val="TableContents"/>
              <w:spacing w:before="0" w:after="0"/>
              <w:ind w:left="0" w:right="0" w:firstLine="30"/>
              <w:rPr/>
            </w:pPr>
            <w:r>
              <w:rPr/>
              <w:t> </w:t>
            </w:r>
          </w:p>
        </w:tc>
        <w:tc>
          <w:tcPr>
            <w:tcW w:w="2965" w:type="dxa"/>
            <w:tcBorders/>
            <w:shd w:fill="auto" w:val="clear"/>
            <w:vAlign w:val="center"/>
          </w:tcPr>
          <w:p>
            <w:pPr>
              <w:pStyle w:val="TableContents"/>
              <w:spacing w:before="0" w:after="0"/>
              <w:ind w:left="0" w:right="0" w:firstLine="30"/>
              <w:rPr/>
            </w:pPr>
            <w:r>
              <w:rPr/>
              <w:t> </w:t>
            </w:r>
          </w:p>
        </w:tc>
      </w:tr>
      <w:tr>
        <w:trPr/>
        <w:tc>
          <w:tcPr>
            <w:tcW w:w="2965" w:type="dxa"/>
            <w:tcBorders/>
            <w:shd w:fill="auto" w:val="clear"/>
            <w:vAlign w:val="center"/>
          </w:tcPr>
          <w:p>
            <w:pPr>
              <w:pStyle w:val="TableContents"/>
              <w:spacing w:before="0" w:after="0"/>
              <w:jc w:val="center"/>
              <w:rPr>
                <w:rFonts w:ascii="inherit" w:hAnsi="inherit"/>
                <w:b/>
                <w:sz w:val="17"/>
              </w:rPr>
            </w:pPr>
            <w:r>
              <w:rPr>
                <w:rFonts w:ascii="inherit" w:hAnsi="inherit"/>
                <w:b/>
                <w:sz w:val="17"/>
              </w:rPr>
              <w:t>1901 Capital Parkway</w:t>
            </w:r>
          </w:p>
          <w:p>
            <w:pPr>
              <w:pStyle w:val="TableContents"/>
              <w:spacing w:before="0" w:after="0"/>
              <w:ind w:left="0" w:right="0" w:firstLine="30"/>
              <w:jc w:val="center"/>
              <w:rPr>
                <w:rFonts w:ascii="inherit" w:hAnsi="inherit"/>
                <w:b/>
                <w:sz w:val="17"/>
              </w:rPr>
            </w:pPr>
            <w:r>
              <w:rPr>
                <w:rFonts w:ascii="inherit" w:hAnsi="inherit"/>
                <w:b/>
                <w:sz w:val="17"/>
              </w:rPr>
              <w:t>Austin, Texas</w:t>
            </w:r>
          </w:p>
        </w:tc>
        <w:tc>
          <w:tcPr>
            <w:tcW w:w="2965" w:type="dxa"/>
            <w:tcBorders/>
            <w:shd w:fill="auto" w:val="clear"/>
            <w:vAlign w:val="center"/>
          </w:tcPr>
          <w:p>
            <w:pPr>
              <w:pStyle w:val="TableContents"/>
              <w:spacing w:before="0" w:after="0"/>
              <w:ind w:left="0" w:right="0" w:firstLine="30"/>
              <w:jc w:val="center"/>
              <w:rPr>
                <w:rFonts w:ascii="inherit" w:hAnsi="inherit"/>
                <w:b/>
                <w:sz w:val="17"/>
              </w:rPr>
            </w:pPr>
            <w:r>
              <w:rPr>
                <w:rFonts w:ascii="inherit" w:hAnsi="inherit"/>
                <w:b/>
                <w:sz w:val="17"/>
              </w:rPr>
              <w:t>78746</w:t>
            </w:r>
          </w:p>
        </w:tc>
      </w:tr>
      <w:tr>
        <w:trPr/>
        <w:tc>
          <w:tcPr>
            <w:tcW w:w="2965" w:type="dxa"/>
            <w:tcBorders/>
            <w:shd w:fill="auto" w:val="clear"/>
            <w:vAlign w:val="center"/>
          </w:tcPr>
          <w:p>
            <w:pPr>
              <w:pStyle w:val="TableContents"/>
              <w:spacing w:before="0" w:after="0"/>
              <w:ind w:left="0" w:right="0" w:firstLine="30"/>
              <w:jc w:val="center"/>
              <w:rPr>
                <w:rFonts w:ascii="inherit" w:hAnsi="inherit"/>
                <w:b/>
                <w:sz w:val="13"/>
              </w:rPr>
            </w:pPr>
            <w:r>
              <w:rPr>
                <w:rFonts w:ascii="inherit" w:hAnsi="inherit"/>
                <w:b/>
                <w:sz w:val="13"/>
              </w:rPr>
              <w:t>(Address of principal executive offices)</w:t>
            </w:r>
          </w:p>
        </w:tc>
        <w:tc>
          <w:tcPr>
            <w:tcW w:w="2965" w:type="dxa"/>
            <w:tcBorders/>
            <w:shd w:fill="auto" w:val="clear"/>
            <w:vAlign w:val="center"/>
          </w:tcPr>
          <w:p>
            <w:pPr>
              <w:pStyle w:val="TableContents"/>
              <w:spacing w:before="0" w:after="0"/>
              <w:jc w:val="center"/>
              <w:rPr>
                <w:rFonts w:ascii="inherit" w:hAnsi="inherit"/>
                <w:b/>
                <w:sz w:val="13"/>
              </w:rPr>
            </w:pPr>
            <w:r>
              <w:rPr>
                <w:rFonts w:ascii="inherit" w:hAnsi="inherit"/>
                <w:b/>
                <w:sz w:val="13"/>
              </w:rPr>
              <w:t>(Zip Code)</w:t>
            </w:r>
          </w:p>
        </w:tc>
      </w:tr>
    </w:tbl>
    <w:p>
      <w:pPr>
        <w:pStyle w:val="TextBody"/>
        <w:spacing w:lineRule="auto" w:line="288" w:before="0" w:after="0"/>
        <w:jc w:val="center"/>
        <w:rPr>
          <w:rFonts w:ascii="inherit" w:hAnsi="inherit"/>
          <w:b/>
          <w:sz w:val="17"/>
        </w:rPr>
      </w:pPr>
      <w:r>
        <w:rPr>
          <w:rFonts w:ascii="inherit" w:hAnsi="inherit"/>
          <w:b/>
          <w:sz w:val="17"/>
        </w:rPr>
        <w:t>(512) 314-3400</w:t>
      </w:r>
    </w:p>
    <w:p>
      <w:pPr>
        <w:pStyle w:val="TextBody"/>
        <w:spacing w:lineRule="auto" w:line="288" w:before="0" w:after="0"/>
        <w:jc w:val="center"/>
        <w:rPr>
          <w:rFonts w:ascii="inherit" w:hAnsi="inherit"/>
          <w:b/>
          <w:sz w:val="13"/>
        </w:rPr>
      </w:pPr>
      <w:r>
        <w:rPr>
          <w:rFonts w:ascii="inherit" w:hAnsi="inherit"/>
          <w:b/>
          <w:sz w:val="13"/>
        </w:rPr>
        <w:t>Registrant’s telephone number, including area code:</w:t>
      </w:r>
    </w:p>
    <w:tbl>
      <w:tblPr>
        <w:tblW w:w="321" w:type="dxa"/>
        <w:jc w:val="center"/>
        <w:tblInd w:w="0" w:type="dxa"/>
        <w:tblCellMar>
          <w:top w:w="0" w:type="dxa"/>
          <w:left w:w="0" w:type="dxa"/>
          <w:bottom w:w="0" w:type="dxa"/>
          <w:right w:w="0" w:type="dxa"/>
        </w:tblCellMar>
      </w:tblPr>
      <w:tblGrid>
        <w:gridCol w:w="106"/>
        <w:gridCol w:w="106"/>
        <w:gridCol w:w="109"/>
      </w:tblGrid>
      <w:tr>
        <w:trPr/>
        <w:tc>
          <w:tcPr>
            <w:tcW w:w="321" w:type="dxa"/>
            <w:gridSpan w:val="3"/>
            <w:tcBorders/>
            <w:shd w:fill="auto" w:val="clear"/>
            <w:vAlign w:val="center"/>
          </w:tcPr>
          <w:p>
            <w:pPr>
              <w:pStyle w:val="TableContents"/>
              <w:spacing w:before="0" w:after="283"/>
              <w:rPr>
                <w:sz w:val="4"/>
                <w:szCs w:val="4"/>
              </w:rPr>
            </w:pPr>
            <w:r>
              <w:rPr>
                <w:sz w:val="4"/>
                <w:szCs w:val="4"/>
              </w:rPr>
            </w:r>
          </w:p>
        </w:tc>
      </w:tr>
      <w:tr>
        <w:trPr/>
        <w:tc>
          <w:tcPr>
            <w:tcW w:w="106" w:type="dxa"/>
            <w:tcBorders/>
            <w:shd w:fill="auto" w:val="clear"/>
            <w:vAlign w:val="center"/>
          </w:tcPr>
          <w:p>
            <w:pPr>
              <w:pStyle w:val="TableContents"/>
              <w:spacing w:before="0" w:after="283"/>
              <w:rPr>
                <w:sz w:val="4"/>
                <w:szCs w:val="4"/>
              </w:rPr>
            </w:pPr>
            <w:r>
              <w:rPr>
                <w:sz w:val="4"/>
                <w:szCs w:val="4"/>
              </w:rPr>
            </w:r>
          </w:p>
        </w:tc>
        <w:tc>
          <w:tcPr>
            <w:tcW w:w="1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06" w:type="dxa"/>
            <w:tcBorders/>
            <w:shd w:fill="auto" w:val="clear"/>
            <w:vAlign w:val="center"/>
          </w:tcPr>
          <w:p>
            <w:pPr>
              <w:pStyle w:val="TableContents"/>
              <w:spacing w:before="0" w:after="0"/>
              <w:ind w:left="0" w:right="0" w:firstLine="30"/>
              <w:rPr/>
            </w:pPr>
            <w:r>
              <w:rPr/>
              <w:t> </w:t>
            </w:r>
          </w:p>
        </w:tc>
        <w:tc>
          <w:tcPr>
            <w:tcW w:w="106"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09" w:type="dxa"/>
            <w:tcBorders/>
            <w:shd w:fill="auto" w:val="clear"/>
            <w:vAlign w:val="center"/>
          </w:tcPr>
          <w:p>
            <w:pPr>
              <w:pStyle w:val="TableContents"/>
              <w:spacing w:before="0" w:after="0"/>
              <w:rPr/>
            </w:pPr>
            <w:r>
              <w:rPr/>
              <w:t> </w:t>
            </w:r>
          </w:p>
        </w:tc>
      </w:tr>
    </w:tbl>
    <w:p>
      <w:pPr>
        <w:pStyle w:val="TextBody"/>
        <w:spacing w:lineRule="auto" w:line="288" w:before="0" w:after="0"/>
        <w:jc w:val="center"/>
        <w:rPr/>
      </w:pPr>
      <w:r>
        <w:rPr/>
        <w:t> </w:t>
      </w:r>
    </w:p>
    <w:p>
      <w:pPr>
        <w:pStyle w:val="TextBody"/>
        <w:spacing w:lineRule="auto" w:line="288" w:before="0" w:after="0"/>
        <w:rPr>
          <w:sz w:val="20"/>
        </w:rPr>
      </w:pPr>
      <w:r>
        <w:rPr>
          <w:rFonts w:ascii="inherit" w:hAnsi="inherit"/>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hAnsi="Wingdings"/>
          <w:sz w:val="20"/>
        </w:rPr>
        <w:t>x</w:t>
      </w:r>
      <w:r>
        <w:rPr>
          <w:sz w:val="20"/>
        </w:rPr>
        <w:t>    </w:t>
      </w:r>
      <w:r>
        <w:rPr>
          <w:rFonts w:ascii="inherit" w:hAnsi="inherit"/>
          <w:sz w:val="17"/>
        </w:rPr>
        <w:t>No  </w:t>
      </w:r>
      <w:r>
        <w:rPr>
          <w:sz w:val="20"/>
        </w:rPr>
        <w:t>☐</w:t>
      </w:r>
    </w:p>
    <w:p>
      <w:pPr>
        <w:pStyle w:val="TextBody"/>
        <w:spacing w:lineRule="auto" w:line="288" w:before="0" w:after="0"/>
        <w:rPr>
          <w:sz w:val="20"/>
        </w:rPr>
      </w:pPr>
      <w:r>
        <w:rPr>
          <w:rFonts w:ascii="inherit" w:hAnsi="inherit"/>
          <w:sz w:val="17"/>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Wingdings" w:hAnsi="Wingdings"/>
          <w:sz w:val="20"/>
        </w:rPr>
        <w:t>x</w:t>
      </w:r>
      <w:r>
        <w:rPr>
          <w:sz w:val="20"/>
        </w:rPr>
        <w:t>    </w:t>
      </w:r>
      <w:r>
        <w:rPr>
          <w:rFonts w:ascii="inherit" w:hAnsi="inherit"/>
          <w:sz w:val="17"/>
        </w:rPr>
        <w:t>No  </w:t>
      </w:r>
      <w:r>
        <w:rPr>
          <w:sz w:val="20"/>
        </w:rPr>
        <w:t>☐</w:t>
      </w:r>
    </w:p>
    <w:p>
      <w:pPr>
        <w:pStyle w:val="TextBody"/>
        <w:spacing w:lineRule="auto" w:line="288" w:before="0" w:after="0"/>
        <w:rPr>
          <w:rFonts w:ascii="inherit" w:hAnsi="inherit"/>
          <w:sz w:val="17"/>
        </w:rPr>
      </w:pPr>
      <w:r>
        <w:rPr>
          <w:rFonts w:ascii="inherit" w:hAnsi="inherit"/>
          <w:sz w:val="17"/>
        </w:rPr>
        <w:t>Indicate by check mark whether the registrant is a large accelerated filer, an accelerated filer, a non-accelerated filer, or a smaller reporting company. See definition of “large accelerated filer,” “accelerated filer” and “smaller reporting company” in Rule 12b-2 of the Exchange Act.</w:t>
      </w:r>
    </w:p>
    <w:tbl>
      <w:tblPr>
        <w:tblW w:w="10205" w:type="dxa"/>
        <w:jc w:val="left"/>
        <w:tblInd w:w="0" w:type="dxa"/>
        <w:tblCellMar>
          <w:top w:w="0" w:type="dxa"/>
          <w:left w:w="0" w:type="dxa"/>
          <w:bottom w:w="0" w:type="dxa"/>
          <w:right w:w="0" w:type="dxa"/>
        </w:tblCellMar>
      </w:tblPr>
      <w:tblGrid>
        <w:gridCol w:w="2261"/>
        <w:gridCol w:w="4154"/>
        <w:gridCol w:w="3379"/>
        <w:gridCol w:w="411"/>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2261" w:type="dxa"/>
            <w:tcBorders/>
            <w:shd w:fill="auto" w:val="clear"/>
            <w:vAlign w:val="center"/>
          </w:tcPr>
          <w:p>
            <w:pPr>
              <w:pStyle w:val="TableContents"/>
              <w:spacing w:before="0" w:after="283"/>
              <w:rPr>
                <w:sz w:val="4"/>
                <w:szCs w:val="4"/>
              </w:rPr>
            </w:pPr>
            <w:r>
              <w:rPr>
                <w:sz w:val="4"/>
                <w:szCs w:val="4"/>
              </w:rPr>
            </w:r>
          </w:p>
        </w:tc>
        <w:tc>
          <w:tcPr>
            <w:tcW w:w="4154" w:type="dxa"/>
            <w:tcBorders/>
            <w:shd w:fill="auto" w:val="clear"/>
            <w:vAlign w:val="center"/>
          </w:tcPr>
          <w:p>
            <w:pPr>
              <w:pStyle w:val="TableContents"/>
              <w:spacing w:before="0" w:after="283"/>
              <w:rPr>
                <w:sz w:val="4"/>
                <w:szCs w:val="4"/>
              </w:rPr>
            </w:pPr>
            <w:r>
              <w:rPr>
                <w:sz w:val="4"/>
                <w:szCs w:val="4"/>
              </w:rPr>
            </w:r>
          </w:p>
        </w:tc>
        <w:tc>
          <w:tcPr>
            <w:tcW w:w="3379"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Large accelerated filer</w:t>
            </w:r>
          </w:p>
        </w:tc>
        <w:tc>
          <w:tcPr>
            <w:tcW w:w="4154" w:type="dxa"/>
            <w:tcBorders/>
            <w:shd w:fill="auto" w:val="clear"/>
            <w:vAlign w:val="center"/>
          </w:tcPr>
          <w:p>
            <w:pPr>
              <w:pStyle w:val="TableContents"/>
              <w:spacing w:before="0" w:after="0"/>
              <w:ind w:left="0" w:right="0" w:firstLine="30"/>
              <w:jc w:val="left"/>
              <w:rPr>
                <w:rFonts w:ascii="Wingdings" w:hAnsi="Wingdings"/>
                <w:sz w:val="17"/>
              </w:rPr>
            </w:pPr>
            <w:r>
              <w:rPr>
                <w:rFonts w:ascii="Wingdings" w:hAnsi="Wingdings"/>
                <w:sz w:val="17"/>
              </w:rPr>
              <w:t>x</w:t>
            </w:r>
          </w:p>
        </w:tc>
        <w:tc>
          <w:tcPr>
            <w:tcW w:w="3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Accelerated filer</w:t>
            </w:r>
          </w:p>
        </w:tc>
        <w:tc>
          <w:tcPr>
            <w:tcW w:w="411" w:type="dxa"/>
            <w:tcBorders/>
            <w:shd w:fill="auto" w:val="clear"/>
            <w:vAlign w:val="center"/>
          </w:tcPr>
          <w:p>
            <w:pPr>
              <w:pStyle w:val="TableContents"/>
              <w:spacing w:before="0" w:after="0"/>
              <w:ind w:left="0" w:right="0" w:firstLine="30"/>
              <w:jc w:val="left"/>
              <w:rPr/>
            </w:pPr>
            <w:r>
              <w:rPr/>
              <w:t>☐</w:t>
            </w:r>
          </w:p>
        </w:tc>
      </w:tr>
      <w:tr>
        <w:trPr/>
        <w:tc>
          <w:tcPr>
            <w:tcW w:w="22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Non-accelerated filer</w:t>
            </w:r>
          </w:p>
        </w:tc>
        <w:tc>
          <w:tcPr>
            <w:tcW w:w="4154" w:type="dxa"/>
            <w:tcBorders/>
            <w:shd w:fill="auto" w:val="clear"/>
            <w:vAlign w:val="center"/>
          </w:tcPr>
          <w:p>
            <w:pPr>
              <w:pStyle w:val="TableContents"/>
              <w:spacing w:before="0" w:after="0"/>
              <w:ind w:left="0" w:right="0" w:firstLine="30"/>
              <w:rPr/>
            </w:pPr>
            <w:r>
              <w:rPr/>
              <w:t>☐  </w:t>
            </w:r>
            <w:r>
              <w:rPr>
                <w:rFonts w:ascii="inherit" w:hAnsi="inherit"/>
                <w:sz w:val="17"/>
              </w:rPr>
              <w:t>(Do not check if a smaller reporting company)</w:t>
            </w:r>
          </w:p>
        </w:tc>
        <w:tc>
          <w:tcPr>
            <w:tcW w:w="337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Smaller reporting company</w:t>
            </w:r>
          </w:p>
        </w:tc>
        <w:tc>
          <w:tcPr>
            <w:tcW w:w="411" w:type="dxa"/>
            <w:tcBorders/>
            <w:shd w:fill="auto" w:val="clear"/>
            <w:vAlign w:val="center"/>
          </w:tcPr>
          <w:p>
            <w:pPr>
              <w:pStyle w:val="TableContents"/>
              <w:spacing w:before="0" w:after="0"/>
              <w:jc w:val="left"/>
              <w:rPr/>
            </w:pPr>
            <w:r>
              <w:rPr/>
              <w:t>☐</w:t>
            </w:r>
          </w:p>
        </w:tc>
      </w:tr>
    </w:tbl>
    <w:p>
      <w:pPr>
        <w:pStyle w:val="TextBody"/>
        <w:spacing w:lineRule="auto" w:line="288" w:before="0" w:after="0"/>
        <w:rPr>
          <w:sz w:val="20"/>
        </w:rPr>
      </w:pPr>
      <w:r>
        <w:rPr>
          <w:rFonts w:ascii="inherit" w:hAnsi="inherit"/>
          <w:sz w:val="17"/>
        </w:rPr>
        <w:t>Indicate by check mark whether the registrant is a shell company (as defined in Rule 12b-2 of the Exchange Act).    Yes  </w:t>
      </w:r>
      <w:r>
        <w:rPr>
          <w:sz w:val="20"/>
        </w:rPr>
        <w:t>☐    </w:t>
      </w:r>
      <w:r>
        <w:rPr>
          <w:rFonts w:ascii="inherit" w:hAnsi="inherit"/>
          <w:sz w:val="17"/>
        </w:rPr>
        <w:t>No  </w:t>
      </w:r>
      <w:r>
        <w:rPr>
          <w:rFonts w:ascii="Wingdings" w:hAnsi="Wingdings"/>
          <w:sz w:val="20"/>
        </w:rPr>
        <w:t>x</w:t>
      </w:r>
    </w:p>
    <w:p>
      <w:pPr>
        <w:pStyle w:val="TextBody"/>
        <w:spacing w:lineRule="auto" w:line="288" w:before="0" w:after="0"/>
        <w:jc w:val="center"/>
        <w:rPr>
          <w:rFonts w:ascii="inherit" w:hAnsi="inherit"/>
          <w:sz w:val="17"/>
        </w:rPr>
      </w:pPr>
      <w:r>
        <w:rPr>
          <w:rFonts w:ascii="inherit" w:hAnsi="inherit"/>
          <w:sz w:val="17"/>
        </w:rPr>
        <w:t>APPLICABLE ONLY TO CORPORATE ISSUERS:</w:t>
      </w:r>
    </w:p>
    <w:p>
      <w:pPr>
        <w:pStyle w:val="TextBody"/>
        <w:spacing w:lineRule="auto" w:line="288" w:before="0" w:after="0"/>
        <w:rPr>
          <w:rFonts w:ascii="inherit" w:hAnsi="inherit"/>
          <w:sz w:val="17"/>
        </w:rPr>
      </w:pPr>
      <w:r>
        <w:rPr>
          <w:rFonts w:ascii="inherit" w:hAnsi="inherit"/>
          <w:sz w:val="17"/>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spacing w:lineRule="auto" w:line="288" w:before="0" w:after="0"/>
        <w:rPr>
          <w:sz w:val="17"/>
        </w:rPr>
      </w:pPr>
      <w:r>
        <w:rPr>
          <w:rFonts w:ascii="inherit" w:hAnsi="inherit"/>
          <w:sz w:val="17"/>
        </w:rPr>
        <w:t xml:space="preserve">As of </w:t>
      </w:r>
      <w:r>
        <w:rPr>
          <w:rFonts w:ascii="inherit" w:hAnsi="inherit"/>
          <w:strike w:val="false"/>
          <w:dstrike w:val="false"/>
          <w:color w:val="000000"/>
          <w:sz w:val="17"/>
          <w:u w:val="none"/>
          <w:effect w:val="none"/>
        </w:rPr>
        <w:t>June 30, 2012</w:t>
      </w:r>
      <w:r>
        <w:rPr>
          <w:rFonts w:ascii="inherit" w:hAnsi="inherit"/>
          <w:sz w:val="17"/>
        </w:rPr>
        <w:t>, 48,223,698 shares of the registrant’s Class A Non-voting Common Stock, par value $.01 per share, and 2,970,171 shares of the registrant’s Class B Voting Common Stock, par value $.01 per share, were outstanding.</w:t>
      </w:r>
    </w:p>
    <w:p>
      <w:pPr>
        <w:pStyle w:val="TextBody"/>
        <w:spacing w:lineRule="auto" w:line="288" w:before="0" w:after="0"/>
        <w:jc w:val="center"/>
        <w:rPr>
          <w:sz w:val="17"/>
        </w:rPr>
      </w:pPr>
      <w:bookmarkStart w:id="3" w:name="s1D4031A326A2D05AEEF6A412554D06A6"/>
      <w:bookmarkEnd w:id="3"/>
      <w:r>
        <w:rPr>
          <w:rFonts w:ascii="inherit" w:hAnsi="inherit"/>
          <w:b/>
          <w:sz w:val="17"/>
        </w:rPr>
        <w:t>EZCORP, I</w:t>
      </w:r>
      <w:r>
        <w:rPr>
          <w:rFonts w:ascii="inherit" w:hAnsi="inherit"/>
          <w:b/>
          <w:sz w:val="13"/>
        </w:rPr>
        <w:t>NC</w:t>
      </w:r>
      <w:r>
        <w:rPr>
          <w:rFonts w:ascii="inherit" w:hAnsi="inherit"/>
          <w:b/>
          <w:sz w:val="17"/>
        </w:rPr>
        <w:t>.</w:t>
      </w:r>
    </w:p>
    <w:p>
      <w:pPr>
        <w:pStyle w:val="TextBody"/>
        <w:spacing w:lineRule="auto" w:line="288" w:before="0" w:after="0"/>
        <w:jc w:val="center"/>
        <w:rPr>
          <w:rFonts w:ascii="inherit" w:hAnsi="inherit"/>
          <w:b/>
          <w:sz w:val="17"/>
        </w:rPr>
      </w:pPr>
      <w:r>
        <w:rPr>
          <w:rFonts w:ascii="inherit" w:hAnsi="inherit"/>
          <w:b/>
          <w:sz w:val="17"/>
        </w:rPr>
        <w:t>INDEX TO FORM 10-Q</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9042"/>
        <w:gridCol w:w="1163"/>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9042" w:type="dxa"/>
            <w:tcBorders/>
            <w:shd w:fill="auto" w:val="clear"/>
            <w:vAlign w:val="center"/>
          </w:tcPr>
          <w:p>
            <w:pPr>
              <w:pStyle w:val="TableContents"/>
              <w:spacing w:before="0" w:after="283"/>
              <w:rPr>
                <w:sz w:val="4"/>
                <w:szCs w:val="4"/>
              </w:rPr>
            </w:pPr>
            <w:r>
              <w:rPr>
                <w:sz w:val="4"/>
                <w:szCs w:val="4"/>
              </w:rPr>
            </w:r>
          </w:p>
        </w:tc>
        <w:tc>
          <w:tcPr>
            <w:tcW w:w="116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9042" w:type="dxa"/>
            <w:tcBorders/>
            <w:shd w:fill="auto" w:val="clear"/>
            <w:vAlign w:val="center"/>
          </w:tcPr>
          <w:p>
            <w:pPr>
              <w:pStyle w:val="TableContents"/>
              <w:spacing w:before="0" w:after="0"/>
              <w:ind w:left="0" w:right="0" w:firstLine="30"/>
              <w:rPr/>
            </w:pPr>
            <w:hyperlink w:anchor="s3C7E1752913B7FD5B9E9A412557FEB0E">
              <w:r>
                <w:rPr>
                  <w:rStyle w:val="InternetLink"/>
                  <w:rFonts w:ascii="inherit" w:hAnsi="inherit"/>
                  <w:color w:val="0000FF"/>
                  <w:sz w:val="17"/>
                  <w:u w:val="single"/>
                </w:rPr>
                <w:t>PART I. FINANCIAL INFORMATION</w:t>
              </w:r>
            </w:hyperlink>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D140C24AAD8A88E2B1ECA41255A15330">
              <w:r>
                <w:rPr>
                  <w:rStyle w:val="InternetLink"/>
                  <w:rFonts w:ascii="inherit" w:hAnsi="inherit"/>
                  <w:i/>
                  <w:color w:val="0000FF"/>
                  <w:sz w:val="17"/>
                  <w:u w:val="single"/>
                </w:rPr>
                <w:t>Item 1. Financial Statements and Supplementary Data (Unaudited)</w:t>
              </w:r>
            </w:hyperlink>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CA00A0B41F931C38A866A41247A71A16">
              <w:r>
                <w:rPr>
                  <w:rStyle w:val="InternetLink"/>
                  <w:rFonts w:ascii="inherit" w:hAnsi="inherit"/>
                  <w:color w:val="0000FF"/>
                  <w:sz w:val="17"/>
                  <w:u w:val="single"/>
                </w:rPr>
                <w:t>Condensed Consolidated Balance Sheets as of June 30, 2012, June 30, 2011 and September 30, 2011 (audited)</w:t>
              </w:r>
            </w:hyperlink>
          </w:p>
        </w:tc>
        <w:tc>
          <w:tcPr>
            <w:tcW w:w="1163" w:type="dxa"/>
            <w:tcBorders/>
            <w:shd w:fill="auto" w:val="clear"/>
            <w:vAlign w:val="center"/>
          </w:tcPr>
          <w:p>
            <w:pPr>
              <w:pStyle w:val="TableContents"/>
              <w:spacing w:before="0" w:after="0"/>
              <w:ind w:left="0" w:right="0" w:firstLine="30"/>
              <w:jc w:val="right"/>
              <w:rPr/>
            </w:pPr>
            <w:hyperlink w:anchor="sCA00A0B41F931C38A866A41247A71A16">
              <w:r>
                <w:rPr>
                  <w:rStyle w:val="InternetLink"/>
                  <w:rFonts w:ascii="Times New Roman" w:hAnsi="Times New Roman"/>
                  <w:color w:val="0000FF"/>
                  <w:sz w:val="17"/>
                  <w:u w:val="single"/>
                </w:rPr>
                <w:t>1</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4D5E80973D134AEF9161A41247B4E813">
              <w:r>
                <w:rPr>
                  <w:rStyle w:val="InternetLink"/>
                  <w:rFonts w:ascii="inherit" w:hAnsi="inherit"/>
                  <w:color w:val="0000FF"/>
                  <w:sz w:val="17"/>
                  <w:u w:val="single"/>
                </w:rPr>
                <w:t>Condensed Consolidated Statements of Operations for the Three Months and Nine Months Ended June 30, 2012 and 2011</w:t>
              </w:r>
            </w:hyperlink>
          </w:p>
        </w:tc>
        <w:tc>
          <w:tcPr>
            <w:tcW w:w="1163" w:type="dxa"/>
            <w:tcBorders/>
            <w:shd w:fill="auto" w:val="clear"/>
            <w:vAlign w:val="center"/>
          </w:tcPr>
          <w:p>
            <w:pPr>
              <w:pStyle w:val="TableContents"/>
              <w:spacing w:before="0" w:after="0"/>
              <w:ind w:left="0" w:right="0" w:firstLine="30"/>
              <w:jc w:val="right"/>
              <w:rPr/>
            </w:pPr>
            <w:hyperlink w:anchor="s4D5E80973D134AEF9161A41247B4E813">
              <w:r>
                <w:rPr>
                  <w:rStyle w:val="InternetLink"/>
                  <w:rFonts w:ascii="Times New Roman" w:hAnsi="Times New Roman"/>
                  <w:color w:val="0000FF"/>
                  <w:sz w:val="17"/>
                  <w:u w:val="single"/>
                </w:rPr>
                <w:t>2</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BC098214D365EAB94DF5A41247C2F2EC">
              <w:r>
                <w:rPr>
                  <w:rStyle w:val="InternetLink"/>
                  <w:rFonts w:ascii="inherit" w:hAnsi="inherit"/>
                  <w:color w:val="0000FF"/>
                  <w:sz w:val="17"/>
                  <w:u w:val="single"/>
                </w:rPr>
                <w:t>Condensed Consolidated Statements of Comprehensive Income for the Three Months and Nine Months Ended June 30, 2012 and 2011</w:t>
              </w:r>
            </w:hyperlink>
          </w:p>
        </w:tc>
        <w:tc>
          <w:tcPr>
            <w:tcW w:w="1163" w:type="dxa"/>
            <w:tcBorders/>
            <w:shd w:fill="auto" w:val="clear"/>
            <w:vAlign w:val="center"/>
          </w:tcPr>
          <w:p>
            <w:pPr>
              <w:pStyle w:val="TableContents"/>
              <w:spacing w:before="0" w:after="0"/>
              <w:ind w:left="0" w:right="0" w:firstLine="30"/>
              <w:jc w:val="right"/>
              <w:rPr/>
            </w:pPr>
            <w:hyperlink w:anchor="sBC098214D365EAB94DF5A41247C2F2EC">
              <w:r>
                <w:rPr>
                  <w:rStyle w:val="InternetLink"/>
                  <w:rFonts w:ascii="Times New Roman" w:hAnsi="Times New Roman"/>
                  <w:color w:val="0000FF"/>
                  <w:sz w:val="17"/>
                  <w:u w:val="single"/>
                </w:rPr>
                <w:t>3</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BC997CACDF29E297CDF9A41247A38E23">
              <w:r>
                <w:rPr>
                  <w:rStyle w:val="InternetLink"/>
                  <w:rFonts w:ascii="inherit" w:hAnsi="inherit"/>
                  <w:color w:val="0000FF"/>
                  <w:sz w:val="17"/>
                  <w:u w:val="single"/>
                </w:rPr>
                <w:t>Condensed Consolidated Statements of Cash Flows for the Nine Months Ended June 30, 2012 and 2011</w:t>
              </w:r>
            </w:hyperlink>
          </w:p>
        </w:tc>
        <w:tc>
          <w:tcPr>
            <w:tcW w:w="1163" w:type="dxa"/>
            <w:tcBorders/>
            <w:shd w:fill="auto" w:val="clear"/>
            <w:vAlign w:val="center"/>
          </w:tcPr>
          <w:p>
            <w:pPr>
              <w:pStyle w:val="TableContents"/>
              <w:spacing w:before="0" w:after="0"/>
              <w:ind w:left="0" w:right="0" w:firstLine="30"/>
              <w:jc w:val="right"/>
              <w:rPr/>
            </w:pPr>
            <w:hyperlink w:anchor="sBC997CACDF29E297CDF9A41247A38E23">
              <w:r>
                <w:rPr>
                  <w:rStyle w:val="InternetLink"/>
                  <w:rFonts w:ascii="Times New Roman" w:hAnsi="Times New Roman"/>
                  <w:color w:val="0000FF"/>
                  <w:sz w:val="17"/>
                  <w:u w:val="single"/>
                </w:rPr>
                <w:t>4</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B2217725A565C135C933A41248FFA140">
              <w:r>
                <w:rPr>
                  <w:rStyle w:val="InternetLink"/>
                  <w:rFonts w:ascii="inherit" w:hAnsi="inherit"/>
                  <w:color w:val="0000FF"/>
                  <w:sz w:val="17"/>
                  <w:u w:val="single"/>
                </w:rPr>
                <w:t>Consolidated Statements of Stockholders’ Equity for the Nine Months Ended June 30, 2012 and 2011</w:t>
              </w:r>
            </w:hyperlink>
          </w:p>
        </w:tc>
        <w:tc>
          <w:tcPr>
            <w:tcW w:w="1163" w:type="dxa"/>
            <w:tcBorders/>
            <w:shd w:fill="auto" w:val="clear"/>
            <w:vAlign w:val="center"/>
          </w:tcPr>
          <w:p>
            <w:pPr>
              <w:pStyle w:val="TableContents"/>
              <w:spacing w:before="0" w:after="0"/>
              <w:ind w:left="0" w:right="0" w:firstLine="30"/>
              <w:jc w:val="right"/>
              <w:rPr/>
            </w:pPr>
            <w:hyperlink w:anchor="sB2217725A565C135C933A41248FFA140">
              <w:r>
                <w:rPr>
                  <w:rStyle w:val="InternetLink"/>
                  <w:rFonts w:ascii="Times New Roman" w:hAnsi="Times New Roman"/>
                  <w:color w:val="0000FF"/>
                  <w:sz w:val="17"/>
                  <w:u w:val="single"/>
                </w:rPr>
                <w:t>5</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780"/>
              <w:rPr/>
            </w:pPr>
            <w:r>
              <w:rPr/>
              <w:t> </w:t>
            </w:r>
          </w:p>
        </w:tc>
      </w:tr>
      <w:tr>
        <w:trPr/>
        <w:tc>
          <w:tcPr>
            <w:tcW w:w="9042" w:type="dxa"/>
            <w:tcBorders/>
            <w:shd w:fill="auto" w:val="clear"/>
            <w:vAlign w:val="center"/>
          </w:tcPr>
          <w:p>
            <w:pPr>
              <w:pStyle w:val="TableContents"/>
              <w:spacing w:before="0" w:after="0"/>
              <w:ind w:left="0" w:right="0" w:firstLine="30"/>
              <w:rPr/>
            </w:pPr>
            <w:hyperlink w:anchor="s894B149C169C7B8C86B3A41256CCCC27">
              <w:r>
                <w:rPr>
                  <w:rStyle w:val="InternetLink"/>
                  <w:rFonts w:ascii="inherit" w:hAnsi="inherit"/>
                  <w:color w:val="0000FF"/>
                  <w:sz w:val="17"/>
                  <w:u w:val="single"/>
                </w:rPr>
                <w:t>Notes to Interim Condensed Consolidated Financial Statements</w:t>
              </w:r>
            </w:hyperlink>
          </w:p>
        </w:tc>
        <w:tc>
          <w:tcPr>
            <w:tcW w:w="1163" w:type="dxa"/>
            <w:tcBorders/>
            <w:shd w:fill="auto" w:val="clear"/>
            <w:vAlign w:val="center"/>
          </w:tcPr>
          <w:p>
            <w:pPr>
              <w:pStyle w:val="TableContents"/>
              <w:spacing w:before="0" w:after="0"/>
              <w:ind w:left="0" w:right="0" w:firstLine="30"/>
              <w:jc w:val="right"/>
              <w:rPr/>
            </w:pPr>
            <w:hyperlink w:anchor="s894B149C169C7B8C86B3A41256CCCC27">
              <w:r>
                <w:rPr>
                  <w:rStyle w:val="InternetLink"/>
                  <w:rFonts w:ascii="Times New Roman" w:hAnsi="Times New Roman"/>
                  <w:color w:val="0000FF"/>
                  <w:sz w:val="17"/>
                  <w:u w:val="single"/>
                </w:rPr>
                <w:t>6</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AD1ACC0DFD7F20255B75A41247D0F34C">
              <w:r>
                <w:rPr>
                  <w:rStyle w:val="InternetLink"/>
                  <w:rFonts w:ascii="inherit" w:hAnsi="inherit"/>
                  <w:i/>
                  <w:color w:val="0000FF"/>
                  <w:sz w:val="17"/>
                  <w:u w:val="single"/>
                </w:rPr>
                <w:t>Item 2. Management’s Discussion and Analysis of Financial Condition and Results of Operations</w:t>
              </w:r>
            </w:hyperlink>
          </w:p>
        </w:tc>
        <w:tc>
          <w:tcPr>
            <w:tcW w:w="1163" w:type="dxa"/>
            <w:tcBorders/>
            <w:shd w:fill="auto" w:val="clear"/>
            <w:vAlign w:val="center"/>
          </w:tcPr>
          <w:p>
            <w:pPr>
              <w:pStyle w:val="TableContents"/>
              <w:spacing w:before="0" w:after="0"/>
              <w:ind w:left="0" w:right="0" w:firstLine="30"/>
              <w:jc w:val="right"/>
              <w:rPr/>
            </w:pPr>
            <w:hyperlink w:anchor="sAD1ACC0DFD7F20255B75A41247D0F34C">
              <w:r>
                <w:rPr>
                  <w:rStyle w:val="InternetLink"/>
                  <w:rFonts w:ascii="Times New Roman" w:hAnsi="Times New Roman"/>
                  <w:color w:val="0000FF"/>
                  <w:sz w:val="17"/>
                  <w:u w:val="single"/>
                </w:rPr>
                <w:t>40</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5356368FCE423B78B063A4125C23A767">
              <w:r>
                <w:rPr>
                  <w:rStyle w:val="InternetLink"/>
                  <w:rFonts w:ascii="inherit" w:hAnsi="inherit"/>
                  <w:i/>
                  <w:color w:val="0000FF"/>
                  <w:sz w:val="17"/>
                  <w:u w:val="single"/>
                </w:rPr>
                <w:t>Item 3. Quantitative and Qualitative Disclosures about Market Risk</w:t>
              </w:r>
            </w:hyperlink>
          </w:p>
        </w:tc>
        <w:tc>
          <w:tcPr>
            <w:tcW w:w="1163" w:type="dxa"/>
            <w:tcBorders/>
            <w:shd w:fill="auto" w:val="clear"/>
            <w:vAlign w:val="center"/>
          </w:tcPr>
          <w:p>
            <w:pPr>
              <w:pStyle w:val="TableContents"/>
              <w:spacing w:before="0" w:after="0"/>
              <w:ind w:left="0" w:right="0" w:firstLine="30"/>
              <w:jc w:val="right"/>
              <w:rPr/>
            </w:pPr>
            <w:hyperlink w:anchor="s5356368FCE423B78B063A4125C23A767">
              <w:r>
                <w:rPr>
                  <w:rStyle w:val="InternetLink"/>
                  <w:rFonts w:ascii="Times New Roman" w:hAnsi="Times New Roman"/>
                  <w:color w:val="0000FF"/>
                  <w:sz w:val="17"/>
                  <w:u w:val="single"/>
                </w:rPr>
                <w:t>60</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7EB3D2FB2D53653F9A8AA4125C559923">
              <w:r>
                <w:rPr>
                  <w:rStyle w:val="InternetLink"/>
                  <w:rFonts w:ascii="inherit" w:hAnsi="inherit"/>
                  <w:i/>
                  <w:color w:val="0000FF"/>
                  <w:sz w:val="17"/>
                  <w:u w:val="single"/>
                </w:rPr>
                <w:t>Item 4. Controls and Procedures</w:t>
              </w:r>
            </w:hyperlink>
          </w:p>
        </w:tc>
        <w:tc>
          <w:tcPr>
            <w:tcW w:w="1163" w:type="dxa"/>
            <w:tcBorders/>
            <w:shd w:fill="auto" w:val="clear"/>
            <w:vAlign w:val="center"/>
          </w:tcPr>
          <w:p>
            <w:pPr>
              <w:pStyle w:val="TableContents"/>
              <w:spacing w:before="0" w:after="0"/>
              <w:ind w:left="0" w:right="0" w:firstLine="30"/>
              <w:jc w:val="right"/>
              <w:rPr/>
            </w:pPr>
            <w:hyperlink w:anchor="s7EB3D2FB2D53653F9A8AA4125C559923">
              <w:r>
                <w:rPr>
                  <w:rStyle w:val="InternetLink"/>
                  <w:rFonts w:ascii="Times New Roman" w:hAnsi="Times New Roman"/>
                  <w:color w:val="0000FF"/>
                  <w:sz w:val="17"/>
                  <w:u w:val="single"/>
                </w:rPr>
                <w:t>62</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hyperlink w:anchor="s1CC55843C3987461BEA8A4125C7681DA">
              <w:r>
                <w:rPr>
                  <w:rStyle w:val="InternetLink"/>
                  <w:rFonts w:ascii="inherit" w:hAnsi="inherit"/>
                  <w:color w:val="0000FF"/>
                  <w:sz w:val="17"/>
                  <w:u w:val="single"/>
                </w:rPr>
                <w:t>PART II. OTHER INFORMATION</w:t>
              </w:r>
            </w:hyperlink>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2F473684A82FE8C57F3BA4125CA7B1E8">
              <w:r>
                <w:rPr>
                  <w:rStyle w:val="InternetLink"/>
                  <w:rFonts w:ascii="inherit" w:hAnsi="inherit"/>
                  <w:i/>
                  <w:color w:val="0000FF"/>
                  <w:sz w:val="17"/>
                  <w:u w:val="single"/>
                </w:rPr>
                <w:t>Item 1. Legal Proceedings</w:t>
              </w:r>
            </w:hyperlink>
          </w:p>
        </w:tc>
        <w:tc>
          <w:tcPr>
            <w:tcW w:w="1163" w:type="dxa"/>
            <w:tcBorders/>
            <w:shd w:fill="auto" w:val="clear"/>
            <w:vAlign w:val="center"/>
          </w:tcPr>
          <w:p>
            <w:pPr>
              <w:pStyle w:val="TableContents"/>
              <w:spacing w:before="0" w:after="0"/>
              <w:ind w:left="0" w:right="0" w:firstLine="30"/>
              <w:jc w:val="right"/>
              <w:rPr/>
            </w:pPr>
            <w:hyperlink w:anchor="s2F473684A82FE8C57F3BA4125CA7B1E8">
              <w:r>
                <w:rPr>
                  <w:rStyle w:val="InternetLink"/>
                  <w:rFonts w:ascii="Times New Roman" w:hAnsi="Times New Roman"/>
                  <w:color w:val="0000FF"/>
                  <w:sz w:val="17"/>
                  <w:u w:val="single"/>
                </w:rPr>
                <w:t>63</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F8D2FB3B9B1C4DDF4613A4125CCA1143">
              <w:r>
                <w:rPr>
                  <w:rStyle w:val="InternetLink"/>
                  <w:rFonts w:ascii="inherit" w:hAnsi="inherit"/>
                  <w:i/>
                  <w:color w:val="0000FF"/>
                  <w:sz w:val="17"/>
                  <w:u w:val="single"/>
                </w:rPr>
                <w:t>Item 1A. Risk Factors</w:t>
              </w:r>
            </w:hyperlink>
          </w:p>
        </w:tc>
        <w:tc>
          <w:tcPr>
            <w:tcW w:w="1163" w:type="dxa"/>
            <w:tcBorders/>
            <w:shd w:fill="auto" w:val="clear"/>
            <w:vAlign w:val="center"/>
          </w:tcPr>
          <w:p>
            <w:pPr>
              <w:pStyle w:val="TableContents"/>
              <w:spacing w:before="0" w:after="0"/>
              <w:ind w:left="0" w:right="0" w:firstLine="30"/>
              <w:jc w:val="right"/>
              <w:rPr/>
            </w:pPr>
            <w:hyperlink w:anchor="sF8D2FB3B9B1C4DDF4613A4125CCA1143">
              <w:r>
                <w:rPr>
                  <w:rStyle w:val="InternetLink"/>
                  <w:rFonts w:ascii="Times New Roman" w:hAnsi="Times New Roman"/>
                  <w:color w:val="0000FF"/>
                  <w:sz w:val="17"/>
                  <w:u w:val="single"/>
                </w:rPr>
                <w:t>63</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604B4656B1F1CA175A73A4125CFCB5AE">
              <w:r>
                <w:rPr>
                  <w:rStyle w:val="InternetLink"/>
                  <w:rFonts w:ascii="inherit" w:hAnsi="inherit"/>
                  <w:i/>
                  <w:color w:val="0000FF"/>
                  <w:sz w:val="17"/>
                  <w:u w:val="single"/>
                </w:rPr>
                <w:t>Item 2. Unregistered Sales of Equity Securities and Use of Proceeds</w:t>
              </w:r>
            </w:hyperlink>
          </w:p>
        </w:tc>
        <w:tc>
          <w:tcPr>
            <w:tcW w:w="1163" w:type="dxa"/>
            <w:tcBorders/>
            <w:shd w:fill="auto" w:val="clear"/>
            <w:vAlign w:val="center"/>
          </w:tcPr>
          <w:p>
            <w:pPr>
              <w:pStyle w:val="TableContents"/>
              <w:spacing w:before="0" w:after="0"/>
              <w:ind w:left="0" w:right="0" w:firstLine="30"/>
              <w:jc w:val="right"/>
              <w:rPr/>
            </w:pPr>
            <w:hyperlink w:anchor="s604B4656B1F1CA175A73A4125CFCB5AE">
              <w:r>
                <w:rPr>
                  <w:rStyle w:val="InternetLink"/>
                  <w:rFonts w:ascii="Times New Roman" w:hAnsi="Times New Roman"/>
                  <w:color w:val="0000FF"/>
                  <w:sz w:val="17"/>
                  <w:u w:val="single"/>
                </w:rPr>
                <w:t>63</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420"/>
              <w:rPr/>
            </w:pPr>
            <w:r>
              <w:rPr/>
              <w:t> </w:t>
            </w:r>
          </w:p>
        </w:tc>
      </w:tr>
      <w:tr>
        <w:trPr/>
        <w:tc>
          <w:tcPr>
            <w:tcW w:w="9042" w:type="dxa"/>
            <w:tcBorders/>
            <w:shd w:fill="auto" w:val="clear"/>
            <w:vAlign w:val="center"/>
          </w:tcPr>
          <w:p>
            <w:pPr>
              <w:pStyle w:val="TableContents"/>
              <w:spacing w:before="0" w:after="0"/>
              <w:ind w:left="0" w:right="0" w:firstLine="30"/>
              <w:rPr/>
            </w:pPr>
            <w:hyperlink w:anchor="s96489CFEAA90283B22CEA4125D1D3E16">
              <w:r>
                <w:rPr>
                  <w:rStyle w:val="InternetLink"/>
                  <w:rFonts w:ascii="inherit" w:hAnsi="inherit"/>
                  <w:i/>
                  <w:color w:val="0000FF"/>
                  <w:sz w:val="17"/>
                  <w:u w:val="single"/>
                </w:rPr>
                <w:t>Item 6. Exhibits</w:t>
              </w:r>
            </w:hyperlink>
          </w:p>
        </w:tc>
        <w:tc>
          <w:tcPr>
            <w:tcW w:w="1163" w:type="dxa"/>
            <w:tcBorders/>
            <w:shd w:fill="auto" w:val="clear"/>
            <w:vAlign w:val="center"/>
          </w:tcPr>
          <w:p>
            <w:pPr>
              <w:pStyle w:val="TableContents"/>
              <w:spacing w:before="0" w:after="0"/>
              <w:ind w:left="0" w:right="0" w:firstLine="30"/>
              <w:jc w:val="right"/>
              <w:rPr/>
            </w:pPr>
            <w:hyperlink w:anchor="s96489CFEAA90283B22CEA4125D1D3E16">
              <w:r>
                <w:rPr>
                  <w:rStyle w:val="InternetLink"/>
                  <w:rFonts w:ascii="Times New Roman" w:hAnsi="Times New Roman"/>
                  <w:color w:val="0000FF"/>
                  <w:sz w:val="17"/>
                  <w:u w:val="single"/>
                </w:rPr>
                <w:t>64</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hyperlink w:anchor="s240113A800AC09003280A4125D50271C">
              <w:r>
                <w:rPr>
                  <w:rStyle w:val="InternetLink"/>
                  <w:rFonts w:ascii="inherit" w:hAnsi="inherit"/>
                  <w:color w:val="0000FF"/>
                  <w:sz w:val="17"/>
                  <w:u w:val="single"/>
                </w:rPr>
                <w:t>SIGNATURES</w:t>
              </w:r>
            </w:hyperlink>
          </w:p>
        </w:tc>
        <w:tc>
          <w:tcPr>
            <w:tcW w:w="1163" w:type="dxa"/>
            <w:tcBorders/>
            <w:shd w:fill="auto" w:val="clear"/>
            <w:vAlign w:val="center"/>
          </w:tcPr>
          <w:p>
            <w:pPr>
              <w:pStyle w:val="TableContents"/>
              <w:spacing w:before="0" w:after="0"/>
              <w:ind w:left="0" w:right="0" w:firstLine="30"/>
              <w:jc w:val="right"/>
              <w:rPr/>
            </w:pPr>
            <w:hyperlink w:anchor="s240113A800AC09003280A4125D50271C">
              <w:r>
                <w:rPr>
                  <w:rStyle w:val="InternetLink"/>
                  <w:rFonts w:ascii="Times New Roman" w:hAnsi="Times New Roman"/>
                  <w:color w:val="0000FF"/>
                  <w:sz w:val="17"/>
                  <w:u w:val="single"/>
                </w:rPr>
                <w:t>65</w:t>
              </w:r>
            </w:hyperlink>
          </w:p>
        </w:tc>
      </w:tr>
      <w:tr>
        <w:trPr/>
        <w:tc>
          <w:tcPr>
            <w:tcW w:w="9042" w:type="dxa"/>
            <w:tcBorders/>
            <w:shd w:fill="auto" w:val="clear"/>
            <w:vAlign w:val="center"/>
          </w:tcPr>
          <w:p>
            <w:pPr>
              <w:pStyle w:val="TableContents"/>
              <w:spacing w:before="0" w:after="0"/>
              <w:ind w:left="0" w:right="0" w:firstLine="30"/>
              <w:rPr/>
            </w:pPr>
            <w:r>
              <w:rPr/>
              <w:t> </w:t>
            </w:r>
          </w:p>
        </w:tc>
        <w:tc>
          <w:tcPr>
            <w:tcW w:w="1163" w:type="dxa"/>
            <w:tcBorders/>
            <w:shd w:fill="auto" w:val="clear"/>
            <w:vAlign w:val="center"/>
          </w:tcPr>
          <w:p>
            <w:pPr>
              <w:pStyle w:val="TableContents"/>
              <w:spacing w:before="0" w:after="0"/>
              <w:ind w:left="0" w:right="0" w:firstLine="30"/>
              <w:rPr/>
            </w:pPr>
            <w:r>
              <w:rPr/>
              <w:t> </w:t>
            </w:r>
          </w:p>
        </w:tc>
      </w:tr>
      <w:tr>
        <w:trPr/>
        <w:tc>
          <w:tcPr>
            <w:tcW w:w="9042" w:type="dxa"/>
            <w:tcBorders/>
            <w:shd w:fill="auto" w:val="clear"/>
            <w:vAlign w:val="center"/>
          </w:tcPr>
          <w:p>
            <w:pPr>
              <w:pStyle w:val="TableContents"/>
              <w:spacing w:before="0" w:after="0"/>
              <w:ind w:left="0" w:right="0" w:firstLine="30"/>
              <w:rPr/>
            </w:pPr>
            <w:hyperlink w:anchor="sAD212409D159C7AC65A8A4125D707143">
              <w:r>
                <w:rPr>
                  <w:rStyle w:val="InternetLink"/>
                  <w:rFonts w:ascii="inherit" w:hAnsi="inherit"/>
                  <w:color w:val="0000FF"/>
                  <w:sz w:val="17"/>
                  <w:u w:val="single"/>
                </w:rPr>
                <w:t>EXHIBIT INDEX</w:t>
              </w:r>
            </w:hyperlink>
          </w:p>
        </w:tc>
        <w:tc>
          <w:tcPr>
            <w:tcW w:w="1163" w:type="dxa"/>
            <w:tcBorders/>
            <w:shd w:fill="auto" w:val="clear"/>
            <w:vAlign w:val="center"/>
          </w:tcPr>
          <w:p>
            <w:pPr>
              <w:pStyle w:val="TableContents"/>
              <w:spacing w:before="0" w:after="0"/>
              <w:jc w:val="right"/>
              <w:rPr/>
            </w:pPr>
            <w:hyperlink w:anchor="sAD212409D159C7AC65A8A4125D707143">
              <w:r>
                <w:rPr>
                  <w:rStyle w:val="InternetLink"/>
                  <w:rFonts w:ascii="Times New Roman" w:hAnsi="Times New Roman"/>
                  <w:color w:val="0000FF"/>
                  <w:sz w:val="17"/>
                  <w:u w:val="single"/>
                </w:rPr>
                <w:t>66</w:t>
              </w:r>
            </w:hyperlink>
          </w:p>
        </w:tc>
      </w:tr>
    </w:tbl>
    <w:p>
      <w:pPr>
        <w:pStyle w:val="TextBody"/>
        <w:rPr/>
      </w:pPr>
      <w:r>
        <w:rPr/>
      </w:r>
      <w:r>
        <w:br w:type="page"/>
      </w:r>
    </w:p>
    <w:p>
      <w:pPr>
        <w:pStyle w:val="TextBody"/>
        <w:spacing w:lineRule="auto" w:line="288" w:before="0" w:after="0"/>
        <w:rPr/>
      </w:pPr>
      <w:hyperlink w:anchor="s1D4031A326A2D05AEEF6A412554D06A6">
        <w:bookmarkStart w:id="4" w:name="s3C7E1752913B7FD5B9E9A412557FEB0E"/>
        <w:bookmarkEnd w:id="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40" w:before="0" w:after="0"/>
        <w:rPr>
          <w:rFonts w:ascii="inherit" w:hAnsi="inherit"/>
          <w:sz w:val="2"/>
        </w:rPr>
      </w:pPr>
      <w:r>
        <w:rPr>
          <w:rFonts w:ascii="inherit" w:hAnsi="inherit"/>
          <w:sz w:val="2"/>
        </w:rPr>
      </w:r>
    </w:p>
    <w:p>
      <w:pPr>
        <w:pStyle w:val="TextBody"/>
        <w:spacing w:lineRule="auto" w:line="288" w:before="0" w:after="0"/>
        <w:rPr>
          <w:sz w:val="17"/>
        </w:rPr>
      </w:pPr>
      <w:bookmarkStart w:id="5" w:name="sD140C24AAD8A88E2B1ECA41255A15330"/>
      <w:bookmarkEnd w:id="5"/>
      <w:r>
        <w:rPr>
          <w:rFonts w:ascii="inherit" w:hAnsi="inherit"/>
          <w:b/>
          <w:sz w:val="17"/>
        </w:rPr>
        <w:t>I</w:t>
      </w:r>
      <w:r>
        <w:rPr>
          <w:rFonts w:ascii="inherit" w:hAnsi="inherit"/>
          <w:b/>
          <w:sz w:val="13"/>
        </w:rPr>
        <w:t>TEM </w:t>
      </w:r>
      <w:r>
        <w:rPr>
          <w:rFonts w:ascii="inherit" w:hAnsi="inherit"/>
          <w:b/>
          <w:sz w:val="17"/>
        </w:rPr>
        <w:t>1. F</w:t>
      </w:r>
      <w:r>
        <w:rPr>
          <w:rFonts w:ascii="inherit" w:hAnsi="inherit"/>
          <w:b/>
          <w:sz w:val="13"/>
        </w:rPr>
        <w:t>INANCIAL</w:t>
      </w:r>
      <w:r>
        <w:rPr>
          <w:sz w:val="17"/>
        </w:rPr>
        <w:t xml:space="preserve"> </w:t>
      </w:r>
      <w:r>
        <w:rPr>
          <w:rFonts w:ascii="inherit" w:hAnsi="inherit"/>
          <w:b/>
          <w:sz w:val="17"/>
        </w:rPr>
        <w:t>S</w:t>
      </w:r>
      <w:r>
        <w:rPr>
          <w:rFonts w:ascii="inherit" w:hAnsi="inherit"/>
          <w:b/>
          <w:sz w:val="13"/>
        </w:rPr>
        <w:t>TATEMENTS</w:t>
      </w:r>
      <w:r>
        <w:rPr>
          <w:sz w:val="17"/>
        </w:rPr>
        <w:t xml:space="preserve"> </w:t>
      </w:r>
      <w:r>
        <w:rPr>
          <w:rFonts w:ascii="inherit" w:hAnsi="inherit"/>
          <w:b/>
          <w:sz w:val="13"/>
        </w:rPr>
        <w:t>AND</w:t>
      </w:r>
      <w:r>
        <w:rPr>
          <w:sz w:val="17"/>
        </w:rPr>
        <w:t xml:space="preserve"> </w:t>
      </w:r>
      <w:r>
        <w:rPr>
          <w:rFonts w:ascii="inherit" w:hAnsi="inherit"/>
          <w:b/>
          <w:sz w:val="17"/>
        </w:rPr>
        <w:t>S</w:t>
      </w:r>
      <w:r>
        <w:rPr>
          <w:rFonts w:ascii="inherit" w:hAnsi="inherit"/>
          <w:b/>
          <w:sz w:val="13"/>
        </w:rPr>
        <w:t>UPPLEMENTARY</w:t>
      </w:r>
      <w:r>
        <w:rPr>
          <w:sz w:val="17"/>
        </w:rPr>
        <w:t xml:space="preserve"> </w:t>
      </w:r>
      <w:r>
        <w:rPr>
          <w:rFonts w:ascii="inherit" w:hAnsi="inherit"/>
          <w:b/>
          <w:sz w:val="17"/>
        </w:rPr>
        <w:t>D</w:t>
      </w:r>
      <w:r>
        <w:rPr>
          <w:rFonts w:ascii="inherit" w:hAnsi="inherit"/>
          <w:b/>
          <w:sz w:val="13"/>
        </w:rPr>
        <w:t>ATA</w:t>
      </w:r>
    </w:p>
    <w:p>
      <w:pPr>
        <w:pStyle w:val="TextBody"/>
        <w:spacing w:lineRule="auto" w:line="288" w:before="0" w:after="0"/>
        <w:rPr>
          <w:rFonts w:ascii="inherit" w:hAnsi="inherit"/>
          <w:sz w:val="13"/>
        </w:rPr>
      </w:pPr>
      <w:r>
        <w:rPr>
          <w:rFonts w:ascii="inherit" w:hAnsi="inherit"/>
          <w:sz w:val="13"/>
        </w:rPr>
      </w:r>
    </w:p>
    <w:p>
      <w:pPr>
        <w:pStyle w:val="Normal"/>
        <w:spacing w:before="0" w:after="0"/>
        <w:ind w:left="0" w:right="0" w:hanging="0"/>
        <w:rPr>
          <w:sz w:val="4"/>
          <w:szCs w:val="4"/>
        </w:rPr>
      </w:pPr>
      <w:r>
        <w:rPr>
          <w:sz w:val="4"/>
          <w:szCs w:val="4"/>
        </w:rPr>
      </w:r>
      <w:bookmarkStart w:id="6" w:name="sCA00A0B41F931C38A866A41247A71A16"/>
      <w:bookmarkStart w:id="7" w:name="sCA00A0B41F931C38A866A41247A71A16"/>
      <w:bookmarkEnd w:id="7"/>
    </w:p>
    <w:tbl>
      <w:tblPr>
        <w:tblW w:w="10205" w:type="dxa"/>
        <w:jc w:val="left"/>
        <w:tblInd w:w="0" w:type="dxa"/>
        <w:tblCellMar>
          <w:top w:w="0" w:type="dxa"/>
          <w:left w:w="0" w:type="dxa"/>
          <w:bottom w:w="0" w:type="dxa"/>
          <w:right w:w="0" w:type="dxa"/>
        </w:tblCellMar>
      </w:tblPr>
      <w:tblGrid>
        <w:gridCol w:w="4381"/>
        <w:gridCol w:w="158"/>
        <w:gridCol w:w="1235"/>
        <w:gridCol w:w="158"/>
        <w:gridCol w:w="138"/>
        <w:gridCol w:w="173"/>
        <w:gridCol w:w="1194"/>
        <w:gridCol w:w="87"/>
        <w:gridCol w:w="138"/>
        <w:gridCol w:w="158"/>
        <w:gridCol w:w="1105"/>
        <w:gridCol w:w="1280"/>
      </w:tblGrid>
      <w:tr>
        <w:trPr/>
        <w:tc>
          <w:tcPr>
            <w:tcW w:w="10205" w:type="dxa"/>
            <w:gridSpan w:val="12"/>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Condensed Consolidated Balance Sheets</w:t>
            </w:r>
          </w:p>
        </w:tc>
      </w:tr>
      <w:tr>
        <w:trPr/>
        <w:tc>
          <w:tcPr>
            <w:tcW w:w="4381"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235"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94"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2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81" w:type="dxa"/>
            <w:tcBorders/>
            <w:shd w:fill="auto" w:val="clear"/>
            <w:vAlign w:val="center"/>
          </w:tcPr>
          <w:p>
            <w:pPr>
              <w:pStyle w:val="TableContents"/>
              <w:spacing w:before="0" w:after="0"/>
              <w:ind w:left="0" w:right="0" w:firstLine="30"/>
              <w:rPr/>
            </w:pPr>
            <w:r>
              <w:rPr/>
              <w:t> </w:t>
            </w:r>
          </w:p>
        </w:tc>
        <w:tc>
          <w:tcPr>
            <w:tcW w:w="1551" w:type="dxa"/>
            <w:gridSpan w:val="3"/>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 xml:space="preserve">June 30, </w:t>
              <w:br/>
              <w:t>2012</w:t>
            </w:r>
          </w:p>
        </w:tc>
        <w:tc>
          <w:tcPr>
            <w:tcW w:w="138"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 xml:space="preserve">June 30, </w:t>
              <w:br/>
              <w:t>2011</w:t>
            </w:r>
          </w:p>
        </w:tc>
        <w:tc>
          <w:tcPr>
            <w:tcW w:w="138" w:type="dxa"/>
            <w:tcBorders/>
            <w:shd w:fill="auto" w:val="clear"/>
            <w:vAlign w:val="center"/>
          </w:tcPr>
          <w:p>
            <w:pPr>
              <w:pStyle w:val="TableContents"/>
              <w:spacing w:before="0" w:after="0"/>
              <w:ind w:left="0" w:right="0" w:firstLine="30"/>
              <w:rPr/>
            </w:pPr>
            <w:r>
              <w:rPr/>
              <w:t> </w:t>
            </w:r>
          </w:p>
        </w:tc>
        <w:tc>
          <w:tcPr>
            <w:tcW w:w="2543" w:type="dxa"/>
            <w:gridSpan w:val="3"/>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 xml:space="preserve">September 30, </w:t>
              <w:br/>
              <w:t>2011</w:t>
            </w:r>
          </w:p>
        </w:tc>
      </w:tr>
      <w:tr>
        <w:trPr/>
        <w:tc>
          <w:tcPr>
            <w:tcW w:w="4381" w:type="dxa"/>
            <w:tcBorders/>
            <w:shd w:fill="auto" w:val="clear"/>
            <w:vAlign w:val="center"/>
          </w:tcPr>
          <w:p>
            <w:pPr>
              <w:pStyle w:val="TableContents"/>
              <w:spacing w:before="0" w:after="0"/>
              <w:ind w:left="0" w:right="0" w:firstLine="30"/>
              <w:jc w:val="left"/>
              <w:rPr/>
            </w:pPr>
            <w:r>
              <w:rPr/>
              <w:t> </w:t>
            </w:r>
          </w:p>
        </w:tc>
        <w:tc>
          <w:tcPr>
            <w:tcW w:w="15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c>
          <w:tcPr>
            <w:tcW w:w="138" w:type="dxa"/>
            <w:tcBorders/>
            <w:shd w:fill="auto" w:val="clear"/>
            <w:vAlign w:val="center"/>
          </w:tcPr>
          <w:p>
            <w:pPr>
              <w:pStyle w:val="TableContents"/>
              <w:spacing w:before="0" w:after="0"/>
              <w:ind w:left="0" w:right="0" w:firstLine="30"/>
              <w:rPr/>
            </w:pPr>
            <w:r>
              <w:rPr/>
              <w:t> </w:t>
            </w:r>
          </w:p>
        </w:tc>
        <w:tc>
          <w:tcPr>
            <w:tcW w:w="145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c>
          <w:tcPr>
            <w:tcW w:w="138" w:type="dxa"/>
            <w:tcBorders/>
            <w:shd w:fill="auto" w:val="clear"/>
            <w:vAlign w:val="center"/>
          </w:tcPr>
          <w:p>
            <w:pPr>
              <w:pStyle w:val="TableContents"/>
              <w:spacing w:before="0" w:after="0"/>
              <w:ind w:left="0" w:right="0" w:firstLine="30"/>
              <w:rPr/>
            </w:pPr>
            <w:r>
              <w:rPr/>
              <w:t> </w:t>
            </w:r>
          </w:p>
        </w:tc>
        <w:tc>
          <w:tcPr>
            <w:tcW w:w="25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left"/>
              <w:rPr/>
            </w:pPr>
            <w:r>
              <w:rPr/>
              <w:t> </w:t>
            </w:r>
          </w:p>
        </w:tc>
      </w:tr>
      <w:tr>
        <w:trPr/>
        <w:tc>
          <w:tcPr>
            <w:tcW w:w="4381" w:type="dxa"/>
            <w:tcBorders/>
            <w:shd w:fill="auto" w:val="clear"/>
            <w:vAlign w:val="center"/>
          </w:tcPr>
          <w:p>
            <w:pPr>
              <w:pStyle w:val="TableContents"/>
              <w:spacing w:before="0" w:after="0"/>
              <w:ind w:left="0" w:right="0" w:firstLine="30"/>
              <w:jc w:val="left"/>
              <w:rPr/>
            </w:pPr>
            <w:r>
              <w:rPr/>
              <w:t> </w:t>
            </w:r>
          </w:p>
        </w:tc>
        <w:tc>
          <w:tcPr>
            <w:tcW w:w="582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Assets:</w:t>
            </w:r>
          </w:p>
        </w:tc>
        <w:tc>
          <w:tcPr>
            <w:tcW w:w="1551"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454"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2543" w:type="dxa"/>
            <w:gridSpan w:val="3"/>
            <w:tcBorders/>
            <w:shd w:fill="CCEEFF" w:val="clear"/>
            <w:vAlign w:val="center"/>
          </w:tcPr>
          <w:p>
            <w:pPr>
              <w:pStyle w:val="TableContents"/>
              <w:spacing w:before="0" w:after="0"/>
              <w:ind w:left="0" w:right="0" w:firstLine="420"/>
              <w:rPr/>
            </w:pPr>
            <w:r>
              <w:rPr/>
              <w:t> </w:t>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assets:</w:t>
            </w:r>
          </w:p>
        </w:tc>
        <w:tc>
          <w:tcPr>
            <w:tcW w:w="155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2543" w:type="dxa"/>
            <w:gridSpan w:val="3"/>
            <w:tcBorders/>
            <w:shd w:fill="auto" w:val="clear"/>
            <w:vAlign w:val="center"/>
          </w:tcPr>
          <w:p>
            <w:pPr>
              <w:pStyle w:val="TableContents"/>
              <w:spacing w:before="0" w:after="0"/>
              <w:ind w:left="0" w:right="0" w:firstLine="780"/>
              <w:rPr/>
            </w:pPr>
            <w:r>
              <w:rPr/>
              <w:t> </w:t>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35" w:type="dxa"/>
            <w:tcBorders/>
            <w:shd w:fill="CCEEFF" w:val="clear"/>
            <w:vAlign w:val="center"/>
          </w:tcPr>
          <w:p>
            <w:pPr>
              <w:pStyle w:val="TableContents"/>
              <w:spacing w:before="0" w:after="0"/>
              <w:jc w:val="right"/>
              <w:rPr>
                <w:rFonts w:ascii="inherit" w:hAnsi="inherit"/>
                <w:sz w:val="13"/>
              </w:rPr>
            </w:pPr>
            <w:r>
              <w:rPr>
                <w:rFonts w:ascii="inherit" w:hAnsi="inherit"/>
                <w:sz w:val="13"/>
              </w:rPr>
              <w:t>50,774</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94" w:type="dxa"/>
            <w:tcBorders/>
            <w:shd w:fill="CCEEFF" w:val="clear"/>
            <w:vAlign w:val="center"/>
          </w:tcPr>
          <w:p>
            <w:pPr>
              <w:pStyle w:val="TableContents"/>
              <w:spacing w:before="0" w:after="0"/>
              <w:jc w:val="right"/>
              <w:rPr>
                <w:rFonts w:ascii="inherit" w:hAnsi="inherit"/>
                <w:sz w:val="13"/>
              </w:rPr>
            </w:pPr>
            <w:r>
              <w:rPr>
                <w:rFonts w:ascii="inherit" w:hAnsi="inherit"/>
                <w:sz w:val="13"/>
              </w:rPr>
              <w:t>27,492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5" w:type="dxa"/>
            <w:tcBorders/>
            <w:shd w:fill="CCEEFF" w:val="clear"/>
            <w:vAlign w:val="center"/>
          </w:tcPr>
          <w:p>
            <w:pPr>
              <w:pStyle w:val="TableContents"/>
              <w:spacing w:before="0" w:after="0"/>
              <w:jc w:val="right"/>
              <w:rPr>
                <w:rFonts w:ascii="inherit" w:hAnsi="inherit"/>
                <w:sz w:val="13"/>
              </w:rPr>
            </w:pPr>
            <w:r>
              <w:rPr>
                <w:rFonts w:ascii="inherit" w:hAnsi="inherit"/>
                <w:sz w:val="13"/>
              </w:rPr>
              <w:t>23,969</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restricted</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1,051</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loans</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147,503</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134,633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145,318</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loans, net</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28,487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14,437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14,611</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 receivable, net</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26,092</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24,372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26,455</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 receivable, net</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25,729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6,884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6,775</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94,421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79,031</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90,373</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tax asset</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18,226</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16,150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18,125</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receivable</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9,898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3,099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pPr>
            <w:r>
              <w:rPr/>
              <w:t>—</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and other assets</w:t>
            </w:r>
          </w:p>
        </w:tc>
        <w:tc>
          <w:tcPr>
            <w:tcW w:w="13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40,268</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21,932</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30,611</w:t>
            </w:r>
          </w:p>
        </w:tc>
        <w:tc>
          <w:tcPr>
            <w:tcW w:w="1280"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assets</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442,449</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328,030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356,237</w:t>
            </w:r>
          </w:p>
        </w:tc>
        <w:tc>
          <w:tcPr>
            <w:tcW w:w="12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Investments in unconsolidated affiliates</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125,309</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114,777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120,319</w:t>
            </w:r>
          </w:p>
        </w:tc>
        <w:tc>
          <w:tcPr>
            <w:tcW w:w="12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Property and equipment, net</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100,196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75,049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78,498</w:t>
            </w:r>
          </w:p>
        </w:tc>
        <w:tc>
          <w:tcPr>
            <w:tcW w:w="12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Goodwill</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321,423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167,017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173,206</w:t>
            </w:r>
          </w:p>
        </w:tc>
        <w:tc>
          <w:tcPr>
            <w:tcW w:w="12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Intangible assets, net</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78,666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20,192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19,790</w:t>
            </w:r>
          </w:p>
        </w:tc>
        <w:tc>
          <w:tcPr>
            <w:tcW w:w="12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Non-current consumer loans, net</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50,587</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12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assets, net</w:t>
            </w:r>
          </w:p>
        </w:tc>
        <w:tc>
          <w:tcPr>
            <w:tcW w:w="13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19,443</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8,556</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8,400</w:t>
            </w:r>
          </w:p>
        </w:tc>
        <w:tc>
          <w:tcPr>
            <w:tcW w:w="1280"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assets</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1,138,073</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7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713,621</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756,450</w:t>
            </w:r>
          </w:p>
        </w:tc>
        <w:tc>
          <w:tcPr>
            <w:tcW w:w="128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Liabilities and stockholders’ equity:</w:t>
            </w:r>
          </w:p>
        </w:tc>
        <w:tc>
          <w:tcPr>
            <w:tcW w:w="1551"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454"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2543" w:type="dxa"/>
            <w:gridSpan w:val="3"/>
            <w:tcBorders/>
            <w:shd w:fill="CCEEFF" w:val="clear"/>
            <w:vAlign w:val="center"/>
          </w:tcPr>
          <w:p>
            <w:pPr>
              <w:pStyle w:val="TableContents"/>
              <w:spacing w:before="0" w:after="0"/>
              <w:ind w:left="0" w:right="0" w:firstLine="420"/>
              <w:rPr/>
            </w:pPr>
            <w:r>
              <w:rPr/>
              <w:t> </w:t>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liabilities:</w:t>
            </w:r>
          </w:p>
        </w:tc>
        <w:tc>
          <w:tcPr>
            <w:tcW w:w="155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2543" w:type="dxa"/>
            <w:gridSpan w:val="3"/>
            <w:tcBorders/>
            <w:shd w:fill="auto" w:val="clear"/>
            <w:vAlign w:val="center"/>
          </w:tcPr>
          <w:p>
            <w:pPr>
              <w:pStyle w:val="TableContents"/>
              <w:spacing w:before="0" w:after="0"/>
              <w:ind w:left="0" w:right="0" w:firstLine="780"/>
              <w:rPr/>
            </w:pPr>
            <w:r>
              <w:rPr/>
              <w:t> </w:t>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Current maturities of long-term debt</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35" w:type="dxa"/>
            <w:tcBorders/>
            <w:shd w:fill="CCEEFF" w:val="clear"/>
            <w:vAlign w:val="center"/>
          </w:tcPr>
          <w:p>
            <w:pPr>
              <w:pStyle w:val="TableContents"/>
              <w:spacing w:before="0" w:after="0"/>
              <w:jc w:val="right"/>
              <w:rPr>
                <w:rFonts w:ascii="inherit" w:hAnsi="inherit"/>
                <w:sz w:val="13"/>
              </w:rPr>
            </w:pPr>
            <w:r>
              <w:rPr>
                <w:rFonts w:ascii="inherit" w:hAnsi="inherit"/>
                <w:sz w:val="13"/>
              </w:rPr>
              <w:t>31,126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94"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8"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5" w:type="dxa"/>
            <w:tcBorders/>
            <w:shd w:fill="CCEEFF" w:val="clear"/>
            <w:vAlign w:val="center"/>
          </w:tcPr>
          <w:p>
            <w:pPr>
              <w:pStyle w:val="TableContents"/>
              <w:spacing w:before="0" w:after="0"/>
              <w:jc w:val="right"/>
              <w:rPr/>
            </w:pPr>
            <w:r>
              <w:rPr/>
              <w:t>—</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Current capital lease obligations</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395</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other accrued expenses</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70,696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53,242</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57,400</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6,740</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6,131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6,176</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taxes payable</w:t>
            </w:r>
          </w:p>
        </w:tc>
        <w:tc>
          <w:tcPr>
            <w:tcW w:w="139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693</w:t>
            </w:r>
          </w:p>
        </w:tc>
        <w:tc>
          <w:tcPr>
            <w:tcW w:w="1280"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current liabilities</w:t>
            </w:r>
          </w:p>
        </w:tc>
        <w:tc>
          <w:tcPr>
            <w:tcW w:w="139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108,957</w:t>
            </w:r>
          </w:p>
        </w:tc>
        <w:tc>
          <w:tcPr>
            <w:tcW w:w="15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59,373</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64,269</w:t>
            </w:r>
          </w:p>
        </w:tc>
        <w:tc>
          <w:tcPr>
            <w:tcW w:w="12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Long-term debt, less current maturities</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175,740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26,500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17,500</w:t>
            </w:r>
          </w:p>
        </w:tc>
        <w:tc>
          <w:tcPr>
            <w:tcW w:w="12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Long-term capital lease obligations</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764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12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tax liability</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7,788</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1,237</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8,331</w:t>
            </w:r>
          </w:p>
        </w:tc>
        <w:tc>
          <w:tcPr>
            <w:tcW w:w="12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3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14,187</w:t>
            </w:r>
          </w:p>
        </w:tc>
        <w:tc>
          <w:tcPr>
            <w:tcW w:w="15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2,209</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2,102</w:t>
            </w:r>
          </w:p>
        </w:tc>
        <w:tc>
          <w:tcPr>
            <w:tcW w:w="1280"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307,436</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89,319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92,202</w:t>
            </w:r>
          </w:p>
        </w:tc>
        <w:tc>
          <w:tcPr>
            <w:tcW w:w="12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Commitments and contingencies</w:t>
            </w:r>
          </w:p>
        </w:tc>
        <w:tc>
          <w:tcPr>
            <w:tcW w:w="155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54"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2543" w:type="dxa"/>
            <w:gridSpan w:val="3"/>
            <w:tcBorders/>
            <w:shd w:fill="auto" w:val="clear"/>
            <w:vAlign w:val="center"/>
          </w:tcPr>
          <w:p>
            <w:pPr>
              <w:pStyle w:val="TableContents"/>
              <w:spacing w:before="0" w:after="0"/>
              <w:ind w:left="0" w:right="0" w:firstLine="420"/>
              <w:rPr/>
            </w:pPr>
            <w:r>
              <w:rPr/>
              <w:t> </w:t>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Temporary equity:</w:t>
            </w:r>
          </w:p>
        </w:tc>
        <w:tc>
          <w:tcPr>
            <w:tcW w:w="1551"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454"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2543" w:type="dxa"/>
            <w:gridSpan w:val="3"/>
            <w:tcBorders/>
            <w:shd w:fill="CCEEFF" w:val="clear"/>
            <w:vAlign w:val="center"/>
          </w:tcPr>
          <w:p>
            <w:pPr>
              <w:pStyle w:val="TableContents"/>
              <w:spacing w:before="0" w:after="0"/>
              <w:ind w:left="0" w:right="0" w:firstLine="780"/>
              <w:rPr/>
            </w:pPr>
            <w:r>
              <w:rPr/>
              <w:t> </w:t>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Redeemable noncontrolling interest</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44,864</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pPr>
            <w:r>
              <w:rPr/>
              <w:t>—</w:t>
            </w:r>
          </w:p>
        </w:tc>
        <w:tc>
          <w:tcPr>
            <w:tcW w:w="12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Stockholders’ equity:</w:t>
            </w:r>
          </w:p>
        </w:tc>
        <w:tc>
          <w:tcPr>
            <w:tcW w:w="1551"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1454" w:type="dxa"/>
            <w:gridSpan w:val="3"/>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ind w:left="0" w:right="0" w:firstLine="30"/>
              <w:rPr/>
            </w:pPr>
            <w:r>
              <w:rPr/>
              <w:t> </w:t>
            </w:r>
          </w:p>
        </w:tc>
        <w:tc>
          <w:tcPr>
            <w:tcW w:w="2543" w:type="dxa"/>
            <w:gridSpan w:val="3"/>
            <w:tcBorders/>
            <w:shd w:fill="CCEEFF" w:val="clear"/>
            <w:vAlign w:val="center"/>
          </w:tcPr>
          <w:p>
            <w:pPr>
              <w:pStyle w:val="TableContents"/>
              <w:spacing w:before="0" w:after="0"/>
              <w:ind w:left="0" w:right="0" w:firstLine="780"/>
              <w:rPr/>
            </w:pPr>
            <w:r>
              <w:rPr/>
              <w:t> </w:t>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Class A Non-voting Common Stock, par value $.01 per share; authorized 54 million shares; issued and outstanding: 48,223,698 at June 30, 2012; 46,971,535 at June 30, 2011; and 47,228,610 at September 30, 2011</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482</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469</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471</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Class B Voting Common Stock, convertible, par value $.01 per share; 3 million shares authorized; issued and outstanding: 2,970,171</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30</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Additional paid-in capital</w:t>
            </w:r>
          </w:p>
        </w:tc>
        <w:tc>
          <w:tcPr>
            <w:tcW w:w="139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266,653</w:t>
            </w:r>
          </w:p>
        </w:tc>
        <w:tc>
          <w:tcPr>
            <w:tcW w:w="15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233,056</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242,398</w:t>
            </w:r>
          </w:p>
        </w:tc>
        <w:tc>
          <w:tcPr>
            <w:tcW w:w="1280"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Retained earnings</w:t>
            </w:r>
          </w:p>
        </w:tc>
        <w:tc>
          <w:tcPr>
            <w:tcW w:w="139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527,231</w:t>
            </w:r>
          </w:p>
        </w:tc>
        <w:tc>
          <w:tcPr>
            <w:tcW w:w="15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385,730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422,095</w:t>
            </w:r>
          </w:p>
        </w:tc>
        <w:tc>
          <w:tcPr>
            <w:tcW w:w="1280"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Accumulated other comprehensive income (loss)</w:t>
            </w:r>
          </w:p>
        </w:tc>
        <w:tc>
          <w:tcPr>
            <w:tcW w:w="139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(8,623</w:t>
            </w:r>
          </w:p>
        </w:tc>
        <w:tc>
          <w:tcPr>
            <w:tcW w:w="15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36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5,017</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(746</w:t>
            </w:r>
          </w:p>
        </w:tc>
        <w:tc>
          <w:tcPr>
            <w:tcW w:w="1280"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438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EZCORP, Inc. stockholders’ equity</w:t>
            </w:r>
          </w:p>
        </w:tc>
        <w:tc>
          <w:tcPr>
            <w:tcW w:w="139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785,773</w:t>
            </w:r>
          </w:p>
        </w:tc>
        <w:tc>
          <w:tcPr>
            <w:tcW w:w="15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36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624,302</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664,248</w:t>
            </w:r>
          </w:p>
        </w:tc>
        <w:tc>
          <w:tcPr>
            <w:tcW w:w="1280"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38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liabilities and stockholders’ equity</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3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1,138,073</w:t>
            </w:r>
          </w:p>
        </w:tc>
        <w:tc>
          <w:tcPr>
            <w:tcW w:w="15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7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713,621</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756,450</w:t>
            </w:r>
          </w:p>
        </w:tc>
        <w:tc>
          <w:tcPr>
            <w:tcW w:w="1280"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See accompanying notes to interim condensed consolidated financial statements (unaudited).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w:t>
      </w:r>
      <w:r>
        <w:br w:type="page"/>
      </w:r>
    </w:p>
    <w:p>
      <w:pPr>
        <w:pStyle w:val="TextBody"/>
        <w:spacing w:lineRule="auto" w:line="288" w:before="0" w:after="0"/>
        <w:rPr/>
      </w:pPr>
      <w:hyperlink w:anchor="s1D4031A326A2D05AEEF6A412554D06A6">
        <w:bookmarkStart w:id="8" w:name="s4D5E80973D134AEF9161A41247B4E813"/>
        <w:bookmarkEnd w:id="8"/>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60"/>
        <w:gridCol w:w="153"/>
        <w:gridCol w:w="1071"/>
        <w:gridCol w:w="153"/>
        <w:gridCol w:w="135"/>
        <w:gridCol w:w="153"/>
        <w:gridCol w:w="1071"/>
        <w:gridCol w:w="153"/>
        <w:gridCol w:w="135"/>
        <w:gridCol w:w="153"/>
        <w:gridCol w:w="1071"/>
        <w:gridCol w:w="153"/>
        <w:gridCol w:w="135"/>
        <w:gridCol w:w="153"/>
        <w:gridCol w:w="1071"/>
        <w:gridCol w:w="885"/>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Condensed Consolidated Statements of Operations (Unaudited)</w:t>
            </w:r>
          </w:p>
        </w:tc>
      </w:tr>
      <w:tr>
        <w:trPr/>
        <w:tc>
          <w:tcPr>
            <w:tcW w:w="3560"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71"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60" w:type="dxa"/>
            <w:tcBorders/>
            <w:shd w:fill="auto" w:val="clear"/>
            <w:vAlign w:val="center"/>
          </w:tcPr>
          <w:p>
            <w:pPr>
              <w:pStyle w:val="TableContents"/>
              <w:spacing w:before="0" w:after="0"/>
              <w:ind w:left="0" w:right="0" w:firstLine="30"/>
              <w:rPr/>
            </w:pPr>
            <w:r>
              <w:rPr/>
              <w:t> </w:t>
            </w:r>
          </w:p>
        </w:tc>
        <w:tc>
          <w:tcPr>
            <w:tcW w:w="288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br/>
              <w:t>June 30,</w:t>
            </w:r>
          </w:p>
        </w:tc>
        <w:tc>
          <w:tcPr>
            <w:tcW w:w="135" w:type="dxa"/>
            <w:tcBorders/>
            <w:shd w:fill="auto" w:val="clear"/>
            <w:vAlign w:val="center"/>
          </w:tcPr>
          <w:p>
            <w:pPr>
              <w:pStyle w:val="TableContents"/>
              <w:spacing w:before="0" w:after="0"/>
              <w:ind w:left="0" w:right="0" w:firstLine="30"/>
              <w:rPr/>
            </w:pPr>
            <w:r>
              <w:rPr/>
              <w:t> </w:t>
            </w:r>
          </w:p>
        </w:tc>
        <w:tc>
          <w:tcPr>
            <w:tcW w:w="362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3560" w:type="dxa"/>
            <w:tcBorders/>
            <w:shd w:fill="auto" w:val="clear"/>
            <w:vAlign w:val="center"/>
          </w:tcPr>
          <w:p>
            <w:pPr>
              <w:pStyle w:val="TableContents"/>
              <w:spacing w:before="0" w:after="0"/>
              <w:ind w:left="0" w:right="0" w:firstLine="30"/>
              <w:jc w:val="left"/>
              <w:rPr/>
            </w:pPr>
            <w:r>
              <w:rPr/>
              <w:t> </w:t>
            </w:r>
          </w:p>
        </w:tc>
        <w:tc>
          <w:tcPr>
            <w:tcW w:w="13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35" w:type="dxa"/>
            <w:tcBorders/>
            <w:shd w:fill="auto" w:val="clear"/>
            <w:vAlign w:val="center"/>
          </w:tcPr>
          <w:p>
            <w:pPr>
              <w:pStyle w:val="TableContents"/>
              <w:spacing w:before="0" w:after="0"/>
              <w:ind w:left="0" w:right="0" w:firstLine="30"/>
              <w:rPr/>
            </w:pPr>
            <w:r>
              <w:rPr/>
              <w:t> </w:t>
            </w:r>
          </w:p>
        </w:tc>
        <w:tc>
          <w:tcPr>
            <w:tcW w:w="13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35" w:type="dxa"/>
            <w:tcBorders/>
            <w:shd w:fill="auto" w:val="clear"/>
            <w:vAlign w:val="center"/>
          </w:tcPr>
          <w:p>
            <w:pPr>
              <w:pStyle w:val="TableContents"/>
              <w:spacing w:before="0" w:after="0"/>
              <w:ind w:left="0" w:right="0" w:firstLine="30"/>
              <w:rPr/>
            </w:pPr>
            <w:r>
              <w:rPr/>
              <w:t> </w:t>
            </w:r>
          </w:p>
        </w:tc>
        <w:tc>
          <w:tcPr>
            <w:tcW w:w="13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35" w:type="dxa"/>
            <w:tcBorders/>
            <w:shd w:fill="auto" w:val="clear"/>
            <w:vAlign w:val="center"/>
          </w:tcPr>
          <w:p>
            <w:pPr>
              <w:pStyle w:val="TableContents"/>
              <w:spacing w:before="0" w:after="0"/>
              <w:ind w:left="0" w:right="0" w:firstLine="30"/>
              <w:rPr/>
            </w:pPr>
            <w:r>
              <w:rPr/>
              <w:t> </w:t>
            </w:r>
          </w:p>
        </w:tc>
        <w:tc>
          <w:tcPr>
            <w:tcW w:w="21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3560" w:type="dxa"/>
            <w:tcBorders/>
            <w:shd w:fill="auto" w:val="clear"/>
            <w:vAlign w:val="center"/>
          </w:tcPr>
          <w:p>
            <w:pPr>
              <w:pStyle w:val="TableContents"/>
              <w:spacing w:before="0" w:after="0"/>
              <w:ind w:left="0" w:right="0" w:firstLine="30"/>
              <w:jc w:val="left"/>
              <w:rPr/>
            </w:pPr>
            <w:r>
              <w:rPr/>
              <w:t> </w:t>
            </w:r>
          </w:p>
        </w:tc>
        <w:tc>
          <w:tcPr>
            <w:tcW w:w="664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Revenues:</w:t>
            </w:r>
          </w:p>
        </w:tc>
        <w:tc>
          <w:tcPr>
            <w:tcW w:w="137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2109" w:type="dxa"/>
            <w:gridSpan w:val="3"/>
            <w:tcBorders/>
            <w:shd w:fill="CCEEFF" w:val="clear"/>
            <w:vAlign w:val="center"/>
          </w:tcPr>
          <w:p>
            <w:pPr>
              <w:pStyle w:val="TableContents"/>
              <w:spacing w:before="0" w:after="0"/>
              <w:ind w:left="0" w:right="0" w:firstLine="420"/>
              <w:rPr/>
            </w:pPr>
            <w:r>
              <w:rPr/>
              <w:t> </w:t>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Sales</w:t>
            </w:r>
          </w:p>
        </w:tc>
        <w:tc>
          <w:tcPr>
            <w:tcW w:w="153"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shd w:fill="auto" w:val="clear"/>
            <w:vAlign w:val="center"/>
          </w:tcPr>
          <w:p>
            <w:pPr>
              <w:pStyle w:val="TableContents"/>
              <w:spacing w:before="0" w:after="0"/>
              <w:jc w:val="right"/>
              <w:rPr>
                <w:rFonts w:ascii="inherit" w:hAnsi="inherit"/>
                <w:sz w:val="13"/>
              </w:rPr>
            </w:pPr>
            <w:r>
              <w:rPr>
                <w:rFonts w:ascii="inherit" w:hAnsi="inherit"/>
                <w:sz w:val="13"/>
              </w:rPr>
              <w:t>117,932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shd w:fill="auto" w:val="clear"/>
            <w:vAlign w:val="center"/>
          </w:tcPr>
          <w:p>
            <w:pPr>
              <w:pStyle w:val="TableContents"/>
              <w:spacing w:before="0" w:after="0"/>
              <w:jc w:val="right"/>
              <w:rPr>
                <w:rFonts w:ascii="inherit" w:hAnsi="inherit"/>
                <w:sz w:val="13"/>
              </w:rPr>
            </w:pPr>
            <w:r>
              <w:rPr>
                <w:rFonts w:ascii="inherit" w:hAnsi="inherit"/>
                <w:sz w:val="13"/>
              </w:rPr>
              <w:t>115,345</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shd w:fill="auto" w:val="clear"/>
            <w:vAlign w:val="center"/>
          </w:tcPr>
          <w:p>
            <w:pPr>
              <w:pStyle w:val="TableContents"/>
              <w:spacing w:before="0" w:after="0"/>
              <w:jc w:val="right"/>
              <w:rPr>
                <w:rFonts w:ascii="inherit" w:hAnsi="inherit"/>
                <w:sz w:val="13"/>
              </w:rPr>
            </w:pPr>
            <w:r>
              <w:rPr>
                <w:rFonts w:ascii="inherit" w:hAnsi="inherit"/>
                <w:sz w:val="13"/>
              </w:rPr>
              <w:t>409,401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shd w:fill="auto" w:val="clear"/>
            <w:vAlign w:val="center"/>
          </w:tcPr>
          <w:p>
            <w:pPr>
              <w:pStyle w:val="TableContents"/>
              <w:spacing w:before="0" w:after="0"/>
              <w:jc w:val="right"/>
              <w:rPr>
                <w:rFonts w:ascii="inherit" w:hAnsi="inherit"/>
                <w:sz w:val="13"/>
              </w:rPr>
            </w:pPr>
            <w:r>
              <w:rPr>
                <w:rFonts w:ascii="inherit" w:hAnsi="inherit"/>
                <w:sz w:val="13"/>
              </w:rPr>
              <w:t>363,658</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Pawn service charges</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56,163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48,365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172,399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144,944</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fees</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53,504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38,870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148,911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125,652</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 revenues</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1,365</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572</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3,404</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978</w:t>
            </w:r>
          </w:p>
        </w:tc>
        <w:tc>
          <w:tcPr>
            <w:tcW w:w="88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revenues</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228,964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203,152</w:t>
            </w:r>
          </w:p>
        </w:tc>
        <w:tc>
          <w:tcPr>
            <w:tcW w:w="15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734,115</w:t>
            </w:r>
          </w:p>
        </w:tc>
        <w:tc>
          <w:tcPr>
            <w:tcW w:w="153"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3"/>
              </w:rPr>
            </w:pPr>
            <w:r>
              <w:rPr>
                <w:rFonts w:ascii="inherit" w:hAnsi="inherit"/>
                <w:sz w:val="13"/>
              </w:rPr>
              <w:t>635,232</w:t>
            </w:r>
          </w:p>
        </w:tc>
        <w:tc>
          <w:tcPr>
            <w:tcW w:w="88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Cost of goods sold</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72,453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69,128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244,463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219,258</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bad debt</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11,251</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11,027</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28,742</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27,795</w:t>
            </w:r>
          </w:p>
        </w:tc>
        <w:tc>
          <w:tcPr>
            <w:tcW w:w="88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revenues</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145,260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122,997</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460,910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388,179</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Operating expenses:</w:t>
            </w:r>
          </w:p>
        </w:tc>
        <w:tc>
          <w:tcPr>
            <w:tcW w:w="137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2109" w:type="dxa"/>
            <w:gridSpan w:val="3"/>
            <w:tcBorders/>
            <w:shd w:fill="auto" w:val="clear"/>
            <w:vAlign w:val="center"/>
          </w:tcPr>
          <w:p>
            <w:pPr>
              <w:pStyle w:val="TableContents"/>
              <w:spacing w:before="0" w:after="0"/>
              <w:ind w:left="0" w:right="0" w:firstLine="420"/>
              <w:rPr/>
            </w:pPr>
            <w:r>
              <w:rPr/>
              <w:t> </w:t>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Operations</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75,709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66,753</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227,479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197,302</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Administrative</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22,697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14,379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63,761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56,250</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Depreciation</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6,215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4,458</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16,805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12,670</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Amortization</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1,162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3,086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654</w:t>
            </w:r>
          </w:p>
        </w:tc>
        <w:tc>
          <w:tcPr>
            <w:tcW w:w="8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(Gain) loss on sale or disposal of assets</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312</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169</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138</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w:t>
            </w:r>
          </w:p>
        </w:tc>
        <w:tc>
          <w:tcPr>
            <w:tcW w:w="885"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Total operating expenses</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106,095</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85,980</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311,269</w:t>
            </w:r>
          </w:p>
        </w:tc>
        <w:tc>
          <w:tcPr>
            <w:tcW w:w="15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266,874</w:t>
            </w:r>
          </w:p>
        </w:tc>
        <w:tc>
          <w:tcPr>
            <w:tcW w:w="8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income</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39,165</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37,017</w:t>
            </w:r>
          </w:p>
        </w:tc>
        <w:tc>
          <w:tcPr>
            <w:tcW w:w="1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149,641</w:t>
            </w:r>
          </w:p>
        </w:tc>
        <w:tc>
          <w:tcPr>
            <w:tcW w:w="15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121,305</w:t>
            </w:r>
          </w:p>
        </w:tc>
        <w:tc>
          <w:tcPr>
            <w:tcW w:w="88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Interest income</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(133</w:t>
            </w:r>
          </w:p>
        </w:tc>
        <w:tc>
          <w:tcPr>
            <w:tcW w:w="1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(21</w:t>
            </w:r>
          </w:p>
        </w:tc>
        <w:tc>
          <w:tcPr>
            <w:tcW w:w="1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(486</w:t>
            </w:r>
          </w:p>
        </w:tc>
        <w:tc>
          <w:tcPr>
            <w:tcW w:w="1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(35</w:t>
            </w:r>
          </w:p>
        </w:tc>
        <w:tc>
          <w:tcPr>
            <w:tcW w:w="88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Interest expense</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1,030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586</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4,180</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1,186</w:t>
            </w:r>
          </w:p>
        </w:tc>
        <w:tc>
          <w:tcPr>
            <w:tcW w:w="8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Equity in net income of unconsolidated affiliates</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(4,197</w:t>
            </w:r>
          </w:p>
        </w:tc>
        <w:tc>
          <w:tcPr>
            <w:tcW w:w="1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(4,099</w:t>
            </w:r>
          </w:p>
        </w:tc>
        <w:tc>
          <w:tcPr>
            <w:tcW w:w="1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(12,935</w:t>
            </w:r>
          </w:p>
        </w:tc>
        <w:tc>
          <w:tcPr>
            <w:tcW w:w="153"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(12,157</w:t>
            </w:r>
          </w:p>
        </w:tc>
        <w:tc>
          <w:tcPr>
            <w:tcW w:w="885"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Other</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160</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(103</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(157</w:t>
            </w:r>
          </w:p>
        </w:tc>
        <w:tc>
          <w:tcPr>
            <w:tcW w:w="15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(160</w:t>
            </w:r>
          </w:p>
        </w:tc>
        <w:tc>
          <w:tcPr>
            <w:tcW w:w="88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before income taxes</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42,305</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40,654</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159,039</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132,471</w:t>
            </w:r>
          </w:p>
        </w:tc>
        <w:tc>
          <w:tcPr>
            <w:tcW w:w="8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expense</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12,594</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14,127</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52,603</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46,677</w:t>
            </w:r>
          </w:p>
        </w:tc>
        <w:tc>
          <w:tcPr>
            <w:tcW w:w="8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29,711</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26,527</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106,436</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85,794</w:t>
            </w:r>
          </w:p>
        </w:tc>
        <w:tc>
          <w:tcPr>
            <w:tcW w:w="8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redeemable noncontrolling interest</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1,188</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1,300</w:t>
            </w:r>
          </w:p>
        </w:tc>
        <w:tc>
          <w:tcPr>
            <w:tcW w:w="1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28,523</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26,527</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105,136</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85,794</w:t>
            </w:r>
          </w:p>
        </w:tc>
        <w:tc>
          <w:tcPr>
            <w:tcW w:w="88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per common share:</w:t>
            </w:r>
          </w:p>
        </w:tc>
        <w:tc>
          <w:tcPr>
            <w:tcW w:w="137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377" w:type="dxa"/>
            <w:gridSpan w:val="3"/>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2109" w:type="dxa"/>
            <w:gridSpan w:val="3"/>
            <w:tcBorders/>
            <w:shd w:fill="CCEEFF" w:val="clear"/>
            <w:vAlign w:val="center"/>
          </w:tcPr>
          <w:p>
            <w:pPr>
              <w:pStyle w:val="TableContents"/>
              <w:spacing w:before="0" w:after="0"/>
              <w:ind w:left="0" w:right="0" w:firstLine="420"/>
              <w:rPr/>
            </w:pPr>
            <w:r>
              <w:rPr/>
              <w:t> </w:t>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0.56</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0.53</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2.07</w:t>
            </w:r>
          </w:p>
        </w:tc>
        <w:tc>
          <w:tcPr>
            <w:tcW w:w="1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5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1.72</w:t>
            </w:r>
          </w:p>
        </w:tc>
        <w:tc>
          <w:tcPr>
            <w:tcW w:w="885" w:type="dxa"/>
            <w:tcBorders>
              <w:bottom w:val="double" w:sz="6"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0.56</w:t>
            </w:r>
          </w:p>
        </w:tc>
        <w:tc>
          <w:tcPr>
            <w:tcW w:w="15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0.53</w:t>
            </w:r>
          </w:p>
        </w:tc>
        <w:tc>
          <w:tcPr>
            <w:tcW w:w="15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2.06</w:t>
            </w:r>
          </w:p>
        </w:tc>
        <w:tc>
          <w:tcPr>
            <w:tcW w:w="15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5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7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1.71</w:t>
            </w:r>
          </w:p>
        </w:tc>
        <w:tc>
          <w:tcPr>
            <w:tcW w:w="88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Weighted average shares outstanding:</w:t>
            </w:r>
          </w:p>
        </w:tc>
        <w:tc>
          <w:tcPr>
            <w:tcW w:w="137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1377" w:type="dxa"/>
            <w:gridSpan w:val="3"/>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ind w:left="0" w:right="0" w:firstLine="30"/>
              <w:rPr/>
            </w:pPr>
            <w:r>
              <w:rPr/>
              <w:t> </w:t>
            </w:r>
          </w:p>
        </w:tc>
        <w:tc>
          <w:tcPr>
            <w:tcW w:w="2109" w:type="dxa"/>
            <w:gridSpan w:val="3"/>
            <w:tcBorders/>
            <w:shd w:fill="auto" w:val="clear"/>
            <w:vAlign w:val="center"/>
          </w:tcPr>
          <w:p>
            <w:pPr>
              <w:pStyle w:val="TableContents"/>
              <w:spacing w:before="0" w:after="0"/>
              <w:ind w:left="0" w:right="0" w:firstLine="420"/>
              <w:rPr/>
            </w:pPr>
            <w:r>
              <w:rPr/>
              <w:t> </w:t>
            </w:r>
          </w:p>
        </w:tc>
      </w:tr>
      <w:tr>
        <w:trPr/>
        <w:tc>
          <w:tcPr>
            <w:tcW w:w="356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Basic</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51,162</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49,926</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50,769</w:t>
            </w:r>
          </w:p>
        </w:tc>
        <w:tc>
          <w:tcPr>
            <w:tcW w:w="1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224"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49,849</w:t>
            </w:r>
          </w:p>
        </w:tc>
        <w:tc>
          <w:tcPr>
            <w:tcW w:w="8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Diluted</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51,340</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50,385</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51,042</w:t>
            </w:r>
          </w:p>
        </w:tc>
        <w:tc>
          <w:tcPr>
            <w:tcW w:w="1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224"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50,292</w:t>
            </w:r>
          </w:p>
        </w:tc>
        <w:tc>
          <w:tcPr>
            <w:tcW w:w="885"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See accompanying notes to interim condensed consolidated financial statements (unaudited).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w:t>
      </w:r>
      <w:r>
        <w:br w:type="page"/>
      </w:r>
    </w:p>
    <w:p>
      <w:pPr>
        <w:pStyle w:val="TextBody"/>
        <w:spacing w:lineRule="auto" w:line="288" w:before="0" w:after="0"/>
        <w:rPr/>
      </w:pPr>
      <w:hyperlink w:anchor="s1D4031A326A2D05AEEF6A412554D06A6">
        <w:bookmarkStart w:id="9" w:name="sBC098214D365EAB94DF5A41247C2F2EC"/>
        <w:bookmarkEnd w:id="9"/>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730"/>
        <w:gridCol w:w="156"/>
        <w:gridCol w:w="1019"/>
        <w:gridCol w:w="156"/>
        <w:gridCol w:w="138"/>
        <w:gridCol w:w="156"/>
        <w:gridCol w:w="1019"/>
        <w:gridCol w:w="156"/>
        <w:gridCol w:w="138"/>
        <w:gridCol w:w="156"/>
        <w:gridCol w:w="1104"/>
        <w:gridCol w:w="156"/>
        <w:gridCol w:w="138"/>
        <w:gridCol w:w="156"/>
        <w:gridCol w:w="1019"/>
        <w:gridCol w:w="808"/>
      </w:tblGrid>
      <w:tr>
        <w:trPr/>
        <w:tc>
          <w:tcPr>
            <w:tcW w:w="10205" w:type="dxa"/>
            <w:gridSpan w:val="16"/>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Condensed Consolidated Statements of Comprehensive Income (Unaudited)</w:t>
            </w:r>
          </w:p>
        </w:tc>
      </w:tr>
      <w:tr>
        <w:trPr/>
        <w:tc>
          <w:tcPr>
            <w:tcW w:w="373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19" w:type="dxa"/>
            <w:tcBorders/>
            <w:shd w:fill="auto" w:val="clear"/>
            <w:vAlign w:val="center"/>
          </w:tcPr>
          <w:p>
            <w:pPr>
              <w:pStyle w:val="TableContents"/>
              <w:spacing w:before="0" w:after="283"/>
              <w:rPr>
                <w:sz w:val="4"/>
                <w:szCs w:val="4"/>
              </w:rPr>
            </w:pPr>
            <w:r>
              <w:rPr>
                <w:sz w:val="4"/>
                <w:szCs w:val="4"/>
              </w:rPr>
            </w:r>
          </w:p>
        </w:tc>
        <w:tc>
          <w:tcPr>
            <w:tcW w:w="80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30" w:type="dxa"/>
            <w:tcBorders/>
            <w:shd w:fill="auto" w:val="clear"/>
            <w:vAlign w:val="center"/>
          </w:tcPr>
          <w:p>
            <w:pPr>
              <w:pStyle w:val="TableContents"/>
              <w:spacing w:before="0" w:after="0"/>
              <w:ind w:left="0" w:right="0" w:firstLine="30"/>
              <w:rPr/>
            </w:pPr>
            <w:r>
              <w:rPr/>
              <w:t> </w:t>
            </w:r>
          </w:p>
        </w:tc>
        <w:tc>
          <w:tcPr>
            <w:tcW w:w="2800"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br/>
              <w:t>June 30,</w:t>
            </w:r>
          </w:p>
        </w:tc>
        <w:tc>
          <w:tcPr>
            <w:tcW w:w="138" w:type="dxa"/>
            <w:tcBorders/>
            <w:shd w:fill="auto" w:val="clear"/>
            <w:vAlign w:val="center"/>
          </w:tcPr>
          <w:p>
            <w:pPr>
              <w:pStyle w:val="TableContents"/>
              <w:spacing w:before="0" w:after="0"/>
              <w:ind w:left="0" w:right="0" w:firstLine="30"/>
              <w:rPr/>
            </w:pPr>
            <w:r>
              <w:rPr/>
              <w:t> </w:t>
            </w:r>
          </w:p>
        </w:tc>
        <w:tc>
          <w:tcPr>
            <w:tcW w:w="353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3730" w:type="dxa"/>
            <w:tcBorders/>
            <w:shd w:fill="auto" w:val="clear"/>
            <w:vAlign w:val="center"/>
          </w:tcPr>
          <w:p>
            <w:pPr>
              <w:pStyle w:val="TableContents"/>
              <w:spacing w:before="0" w:after="0"/>
              <w:ind w:left="0" w:right="0" w:firstLine="30"/>
              <w:jc w:val="left"/>
              <w:rPr/>
            </w:pPr>
            <w:r>
              <w:rPr/>
              <w:t> </w:t>
            </w:r>
          </w:p>
        </w:tc>
        <w:tc>
          <w:tcPr>
            <w:tcW w:w="13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38" w:type="dxa"/>
            <w:tcBorders/>
            <w:shd w:fill="auto" w:val="clear"/>
            <w:vAlign w:val="center"/>
          </w:tcPr>
          <w:p>
            <w:pPr>
              <w:pStyle w:val="TableContents"/>
              <w:spacing w:before="0" w:after="0"/>
              <w:ind w:left="0" w:right="0" w:firstLine="30"/>
              <w:rPr/>
            </w:pPr>
            <w:r>
              <w:rPr/>
              <w:t> </w:t>
            </w:r>
          </w:p>
        </w:tc>
        <w:tc>
          <w:tcPr>
            <w:tcW w:w="13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38" w:type="dxa"/>
            <w:tcBorders/>
            <w:shd w:fill="auto" w:val="clear"/>
            <w:vAlign w:val="center"/>
          </w:tcPr>
          <w:p>
            <w:pPr>
              <w:pStyle w:val="TableContents"/>
              <w:spacing w:before="0" w:after="0"/>
              <w:ind w:left="0" w:right="0" w:firstLine="30"/>
              <w:rPr/>
            </w:pPr>
            <w:r>
              <w:rPr/>
              <w:t> </w:t>
            </w:r>
          </w:p>
        </w:tc>
        <w:tc>
          <w:tcPr>
            <w:tcW w:w="14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38" w:type="dxa"/>
            <w:tcBorders/>
            <w:shd w:fill="auto" w:val="clear"/>
            <w:vAlign w:val="center"/>
          </w:tcPr>
          <w:p>
            <w:pPr>
              <w:pStyle w:val="TableContents"/>
              <w:spacing w:before="0" w:after="0"/>
              <w:ind w:left="0" w:right="0" w:firstLine="30"/>
              <w:rPr/>
            </w:pPr>
            <w:r>
              <w:rPr/>
              <w:t> </w:t>
            </w:r>
          </w:p>
        </w:tc>
        <w:tc>
          <w:tcPr>
            <w:tcW w:w="19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3730" w:type="dxa"/>
            <w:tcBorders/>
            <w:shd w:fill="auto" w:val="clear"/>
            <w:vAlign w:val="center"/>
          </w:tcPr>
          <w:p>
            <w:pPr>
              <w:pStyle w:val="TableContents"/>
              <w:spacing w:before="0" w:after="0"/>
              <w:ind w:left="0" w:right="0" w:firstLine="30"/>
              <w:jc w:val="left"/>
              <w:rPr/>
            </w:pPr>
            <w:r>
              <w:rPr/>
              <w:t> </w:t>
            </w:r>
          </w:p>
        </w:tc>
        <w:tc>
          <w:tcPr>
            <w:tcW w:w="2800"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38" w:type="dxa"/>
            <w:tcBorders/>
            <w:shd w:fill="auto" w:val="clear"/>
            <w:vAlign w:val="center"/>
          </w:tcPr>
          <w:p>
            <w:pPr>
              <w:pStyle w:val="TableContents"/>
              <w:spacing w:before="0" w:after="0"/>
              <w:ind w:left="0" w:right="0" w:firstLine="30"/>
              <w:rPr/>
            </w:pPr>
            <w:r>
              <w:rPr/>
              <w:t> </w:t>
            </w:r>
          </w:p>
        </w:tc>
        <w:tc>
          <w:tcPr>
            <w:tcW w:w="353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shd w:fill="CCEEFF" w:val="clear"/>
            <w:vAlign w:val="center"/>
          </w:tcPr>
          <w:p>
            <w:pPr>
              <w:pStyle w:val="TableContents"/>
              <w:spacing w:before="0" w:after="0"/>
              <w:jc w:val="right"/>
              <w:rPr>
                <w:rFonts w:ascii="inherit" w:hAnsi="inherit"/>
                <w:sz w:val="13"/>
              </w:rPr>
            </w:pPr>
            <w:r>
              <w:rPr>
                <w:rFonts w:ascii="inherit" w:hAnsi="inherit"/>
                <w:sz w:val="13"/>
              </w:rPr>
              <w:t>29,711</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shd w:fill="CCEEFF" w:val="clear"/>
            <w:vAlign w:val="center"/>
          </w:tcPr>
          <w:p>
            <w:pPr>
              <w:pStyle w:val="TableContents"/>
              <w:spacing w:before="0" w:after="0"/>
              <w:jc w:val="right"/>
              <w:rPr>
                <w:rFonts w:ascii="inherit" w:hAnsi="inherit"/>
                <w:sz w:val="13"/>
              </w:rPr>
            </w:pPr>
            <w:r>
              <w:rPr>
                <w:rFonts w:ascii="inherit" w:hAnsi="inherit"/>
                <w:sz w:val="13"/>
              </w:rPr>
              <w:t>26,527</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104" w:type="dxa"/>
            <w:tcBorders/>
            <w:shd w:fill="CCEEFF" w:val="clear"/>
            <w:vAlign w:val="center"/>
          </w:tcPr>
          <w:p>
            <w:pPr>
              <w:pStyle w:val="TableContents"/>
              <w:spacing w:before="0" w:after="0"/>
              <w:jc w:val="right"/>
              <w:rPr>
                <w:rFonts w:ascii="inherit" w:hAnsi="inherit"/>
                <w:sz w:val="13"/>
              </w:rPr>
            </w:pPr>
            <w:r>
              <w:rPr>
                <w:rFonts w:ascii="inherit" w:hAnsi="inherit"/>
                <w:sz w:val="13"/>
              </w:rPr>
              <w:t>106,436</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shd w:fill="CCEEFF" w:val="clear"/>
            <w:vAlign w:val="center"/>
          </w:tcPr>
          <w:p>
            <w:pPr>
              <w:pStyle w:val="TableContents"/>
              <w:spacing w:before="0" w:after="0"/>
              <w:jc w:val="right"/>
              <w:rPr>
                <w:rFonts w:ascii="inherit" w:hAnsi="inherit"/>
                <w:sz w:val="13"/>
              </w:rPr>
            </w:pPr>
            <w:r>
              <w:rPr>
                <w:rFonts w:ascii="inherit" w:hAnsi="inherit"/>
                <w:sz w:val="13"/>
              </w:rPr>
              <w:t>85,794</w:t>
            </w:r>
          </w:p>
        </w:tc>
        <w:tc>
          <w:tcPr>
            <w:tcW w:w="8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w:t>
            </w:r>
          </w:p>
        </w:tc>
        <w:tc>
          <w:tcPr>
            <w:tcW w:w="13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983" w:type="dxa"/>
            <w:gridSpan w:val="3"/>
            <w:tcBorders/>
            <w:shd w:fill="auto" w:val="clear"/>
            <w:vAlign w:val="center"/>
          </w:tcPr>
          <w:p>
            <w:pPr>
              <w:pStyle w:val="TableContents"/>
              <w:spacing w:before="0" w:after="0"/>
              <w:ind w:left="0" w:right="0" w:firstLine="420"/>
              <w:rPr/>
            </w:pPr>
            <w:r>
              <w:rPr/>
              <w:t> </w:t>
            </w:r>
          </w:p>
        </w:tc>
      </w:tr>
      <w:tr>
        <w:trPr/>
        <w:tc>
          <w:tcPr>
            <w:tcW w:w="37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7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(8,513</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2,445</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(10,887</w:t>
            </w:r>
          </w:p>
        </w:tc>
        <w:tc>
          <w:tcPr>
            <w:tcW w:w="156"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15,333</w:t>
            </w:r>
          </w:p>
        </w:tc>
        <w:tc>
          <w:tcPr>
            <w:tcW w:w="80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Unrealized holding gains (loss) arising during period</w:t>
            </w:r>
          </w:p>
        </w:tc>
        <w:tc>
          <w:tcPr>
            <w:tcW w:w="117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(108</w:t>
            </w:r>
          </w:p>
        </w:tc>
        <w:tc>
          <w:tcPr>
            <w:tcW w:w="15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(846</w:t>
            </w:r>
          </w:p>
        </w:tc>
        <w:tc>
          <w:tcPr>
            <w:tcW w:w="156"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7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986</w:t>
            </w:r>
          </w:p>
        </w:tc>
        <w:tc>
          <w:tcPr>
            <w:tcW w:w="80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tax benefit (provision)</w:t>
            </w:r>
          </w:p>
        </w:tc>
        <w:tc>
          <w:tcPr>
            <w:tcW w:w="11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(948</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(1,000</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26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1,563</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(4,927</w:t>
            </w:r>
          </w:p>
        </w:tc>
        <w:tc>
          <w:tcPr>
            <w:tcW w:w="80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3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Other comprehensive income (loss), net of tax</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(9,569</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2,193</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(10,170</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11,392</w:t>
            </w:r>
          </w:p>
        </w:tc>
        <w:tc>
          <w:tcPr>
            <w:tcW w:w="80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w:t>
            </w:r>
          </w:p>
        </w:tc>
        <w:tc>
          <w:tcPr>
            <w:tcW w:w="15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20,142</w:t>
            </w:r>
          </w:p>
        </w:tc>
        <w:tc>
          <w:tcPr>
            <w:tcW w:w="15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28,720</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96,266</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5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97,186</w:t>
            </w:r>
          </w:p>
        </w:tc>
        <w:tc>
          <w:tcPr>
            <w:tcW w:w="808"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Attributable to redeemable noncontrolling interest:</w:t>
            </w:r>
          </w:p>
        </w:tc>
        <w:tc>
          <w:tcPr>
            <w:tcW w:w="13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331"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416" w:type="dxa"/>
            <w:gridSpan w:val="3"/>
            <w:tcBorders/>
            <w:shd w:fill="auto" w:val="clear"/>
            <w:vAlign w:val="center"/>
          </w:tcPr>
          <w:p>
            <w:pPr>
              <w:pStyle w:val="TableContents"/>
              <w:spacing w:before="0" w:after="0"/>
              <w:ind w:left="0" w:right="0" w:firstLine="30"/>
              <w:rPr/>
            </w:pPr>
            <w:r>
              <w:rPr/>
              <w:t> </w:t>
            </w:r>
          </w:p>
        </w:tc>
        <w:tc>
          <w:tcPr>
            <w:tcW w:w="138" w:type="dxa"/>
            <w:tcBorders/>
            <w:shd w:fill="auto" w:val="clear"/>
            <w:vAlign w:val="center"/>
          </w:tcPr>
          <w:p>
            <w:pPr>
              <w:pStyle w:val="TableContents"/>
              <w:spacing w:before="0" w:after="0"/>
              <w:ind w:left="0" w:right="0" w:firstLine="30"/>
              <w:rPr/>
            </w:pPr>
            <w:r>
              <w:rPr/>
              <w:t> </w:t>
            </w:r>
          </w:p>
        </w:tc>
        <w:tc>
          <w:tcPr>
            <w:tcW w:w="1983" w:type="dxa"/>
            <w:gridSpan w:val="3"/>
            <w:tcBorders/>
            <w:shd w:fill="auto" w:val="clear"/>
            <w:vAlign w:val="center"/>
          </w:tcPr>
          <w:p>
            <w:pPr>
              <w:pStyle w:val="TableContents"/>
              <w:spacing w:before="0" w:after="0"/>
              <w:ind w:left="0" w:right="0" w:firstLine="780"/>
              <w:rPr/>
            </w:pPr>
            <w:r>
              <w:rPr/>
              <w:t> </w:t>
            </w:r>
          </w:p>
        </w:tc>
      </w:tr>
      <w:tr>
        <w:trPr/>
        <w:tc>
          <w:tcPr>
            <w:tcW w:w="37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17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1,188</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1,300</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shd w:fill="CCEEFF" w:val="clear"/>
            <w:vAlign w:val="center"/>
          </w:tcPr>
          <w:p>
            <w:pPr>
              <w:pStyle w:val="TableContents"/>
              <w:spacing w:before="0" w:after="0"/>
              <w:jc w:val="right"/>
              <w:rPr/>
            </w:pPr>
            <w:r>
              <w:rPr/>
              <w:t>—</w:t>
            </w:r>
          </w:p>
        </w:tc>
        <w:tc>
          <w:tcPr>
            <w:tcW w:w="80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gain (loss)</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(2,789</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2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(2,293</w:t>
            </w:r>
          </w:p>
        </w:tc>
        <w:tc>
          <w:tcPr>
            <w:tcW w:w="15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auto"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8"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73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(loss)</w:t>
            </w:r>
          </w:p>
        </w:tc>
        <w:tc>
          <w:tcPr>
            <w:tcW w:w="11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(1,601</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CCEEFF" w:val="clear"/>
            <w:vAlign w:val="center"/>
          </w:tcPr>
          <w:p>
            <w:pPr>
              <w:pStyle w:val="TableContents"/>
              <w:spacing w:before="0" w:after="0"/>
              <w:ind w:left="0" w:right="0" w:firstLine="30"/>
              <w:rPr/>
            </w:pPr>
            <w:r>
              <w:rPr/>
              <w:t> </w:t>
            </w:r>
          </w:p>
        </w:tc>
        <w:tc>
          <w:tcPr>
            <w:tcW w:w="126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(993</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38" w:type="dxa"/>
            <w:tcBorders/>
            <w:shd w:fill="CCEEFF" w:val="clear"/>
            <w:vAlign w:val="center"/>
          </w:tcPr>
          <w:p>
            <w:pPr>
              <w:pStyle w:val="TableContents"/>
              <w:spacing w:before="0" w:after="0"/>
              <w:ind w:left="0" w:right="0" w:firstLine="30"/>
              <w:rPr/>
            </w:pPr>
            <w:r>
              <w:rPr/>
              <w:t> </w:t>
            </w:r>
          </w:p>
        </w:tc>
        <w:tc>
          <w:tcPr>
            <w:tcW w:w="117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Comprehensive income attributable to EZCORP, Inc.</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21,743</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28,720</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10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97,259</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8"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01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97,186</w:t>
            </w:r>
          </w:p>
        </w:tc>
        <w:tc>
          <w:tcPr>
            <w:tcW w:w="808"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See accompanying notes to interim condensed consolidated financial statements (unaudited).</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w:t>
      </w:r>
      <w:r>
        <w:br w:type="page"/>
      </w:r>
    </w:p>
    <w:p>
      <w:pPr>
        <w:pStyle w:val="TextBody"/>
        <w:spacing w:lineRule="auto" w:line="288" w:before="0" w:after="0"/>
        <w:rPr/>
      </w:pPr>
      <w:hyperlink w:anchor="s1D4031A326A2D05AEEF6A412554D06A6">
        <w:bookmarkStart w:id="10" w:name="sBC997CACDF29E297CDF9A41247A38E23"/>
        <w:bookmarkEnd w:id="10"/>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790"/>
        <w:gridCol w:w="167"/>
        <w:gridCol w:w="1201"/>
        <w:gridCol w:w="167"/>
        <w:gridCol w:w="148"/>
        <w:gridCol w:w="167"/>
        <w:gridCol w:w="1201"/>
        <w:gridCol w:w="1364"/>
      </w:tblGrid>
      <w:tr>
        <w:trPr/>
        <w:tc>
          <w:tcPr>
            <w:tcW w:w="10205" w:type="dxa"/>
            <w:gridSpan w:val="8"/>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Condensed Consolidated Statements of Cash Flows (Unaudited)</w:t>
            </w:r>
          </w:p>
        </w:tc>
      </w:tr>
      <w:tr>
        <w:trPr/>
        <w:tc>
          <w:tcPr>
            <w:tcW w:w="579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136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5790" w:type="dxa"/>
            <w:tcBorders/>
            <w:shd w:fill="auto" w:val="clear"/>
            <w:vAlign w:val="center"/>
          </w:tcPr>
          <w:p>
            <w:pPr>
              <w:pStyle w:val="TableContents"/>
              <w:spacing w:before="0" w:after="0"/>
              <w:ind w:left="0" w:right="0" w:firstLine="30"/>
              <w:jc w:val="left"/>
              <w:rPr/>
            </w:pPr>
            <w:r>
              <w:rPr/>
              <w:t> </w:t>
            </w:r>
          </w:p>
        </w:tc>
        <w:tc>
          <w:tcPr>
            <w:tcW w:w="15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790" w:type="dxa"/>
            <w:tcBorders/>
            <w:shd w:fill="auto" w:val="clear"/>
            <w:vAlign w:val="center"/>
          </w:tcPr>
          <w:p>
            <w:pPr>
              <w:pStyle w:val="TableContents"/>
              <w:spacing w:before="0" w:after="0"/>
              <w:ind w:left="0" w:right="0" w:firstLine="30"/>
              <w:jc w:val="left"/>
              <w:rPr/>
            </w:pPr>
            <w:r>
              <w:rPr/>
              <w:t> </w:t>
            </w:r>
          </w:p>
        </w:tc>
        <w:tc>
          <w:tcPr>
            <w:tcW w:w="441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Operating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42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106,436</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85,794</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Adjustments to reconcile net income to net cash provided by operating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78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Depreciation and amortization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19,891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13,324</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Consumer loan loss provision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12,136</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11,255</w:t>
            </w:r>
          </w:p>
        </w:tc>
        <w:tc>
          <w:tcPr>
            <w:tcW w:w="136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income taxes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(644</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8,571</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(Gain) loss on sale or disposal of assets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138</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5,191</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11,536</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Income from investments in unconsolidated affiliates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(12,935</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(12,157</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Changes in operating assets and liabilities, net of business acquisitions:</w:t>
            </w:r>
          </w:p>
        </w:tc>
        <w:tc>
          <w:tcPr>
            <w:tcW w:w="1535" w:type="dxa"/>
            <w:gridSpan w:val="3"/>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Service charges and fees receivable, net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1,150</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(984</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Inventory, net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(874</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(1,206</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Prepaid expenses, other current assets, and other assets, net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(4,845</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(4,845</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Accounts payable and accrued expenses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(12,100</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3,068</w:t>
            </w:r>
          </w:p>
        </w:tc>
        <w:tc>
          <w:tcPr>
            <w:tcW w:w="1364"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Customer layaway deposits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(182</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Deferred gains and other long-term liabilities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722</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(275</w:t>
            </w:r>
          </w:p>
        </w:tc>
        <w:tc>
          <w:tcPr>
            <w:tcW w:w="1364" w:type="dxa"/>
            <w:tcBorders/>
            <w:shd w:fill="auto"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(1,582</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(3,166</w:t>
            </w:r>
          </w:p>
        </w:tc>
        <w:tc>
          <w:tcPr>
            <w:tcW w:w="1364" w:type="dxa"/>
            <w:tcBorders/>
            <w:shd w:fill="CCEEFF" w:val="clear"/>
            <w:vAlign w:val="center"/>
          </w:tcPr>
          <w:p>
            <w:pPr>
              <w:pStyle w:val="TableContents"/>
              <w:spacing w:before="0" w:after="0"/>
              <w:ind w:left="0" w:right="0" w:firstLine="78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Income taxes receivable/payable</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(8,370</w:t>
            </w:r>
          </w:p>
        </w:tc>
        <w:tc>
          <w:tcPr>
            <w:tcW w:w="16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(3,453</w:t>
            </w:r>
          </w:p>
        </w:tc>
        <w:tc>
          <w:tcPr>
            <w:tcW w:w="1364"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operating activities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104,132</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107,298</w:t>
            </w:r>
          </w:p>
        </w:tc>
        <w:tc>
          <w:tcPr>
            <w:tcW w:w="136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Investing Activities: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42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Loans made</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(571,683</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(466,137</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Loans repaid</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382,854</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297,016</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Recovery of pawn loan principal through sale of forfeited collateral</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179,681</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149,954</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Additions to property and equipment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(33,193</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(24,324</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Acquisitions, net of cash acquired</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(125,249</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(64,823</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Dividends from unconsolidated affiliates</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5,560</w:t>
            </w:r>
          </w:p>
        </w:tc>
        <w:tc>
          <w:tcPr>
            <w:tcW w:w="16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7,274</w:t>
            </w:r>
          </w:p>
        </w:tc>
        <w:tc>
          <w:tcPr>
            <w:tcW w:w="1364"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cash used in investing activities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(162,030</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(101,040</w:t>
            </w:r>
          </w:p>
        </w:tc>
        <w:tc>
          <w:tcPr>
            <w:tcW w:w="1364"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Financing Activities:</w:t>
            </w:r>
          </w:p>
        </w:tc>
        <w:tc>
          <w:tcPr>
            <w:tcW w:w="1535" w:type="dxa"/>
            <w:gridSpan w:val="3"/>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ind w:left="0" w:right="0" w:firstLine="30"/>
              <w:rPr/>
            </w:pPr>
            <w:r>
              <w:rPr/>
              <w:t> </w:t>
            </w:r>
          </w:p>
        </w:tc>
        <w:tc>
          <w:tcPr>
            <w:tcW w:w="2732" w:type="dxa"/>
            <w:gridSpan w:val="3"/>
            <w:tcBorders/>
            <w:shd w:fill="auto" w:val="clear"/>
            <w:vAlign w:val="center"/>
          </w:tcPr>
          <w:p>
            <w:pPr>
              <w:pStyle w:val="TableContents"/>
              <w:spacing w:before="0" w:after="0"/>
              <w:ind w:left="0" w:right="0" w:firstLine="420"/>
              <w:rPr/>
            </w:pPr>
            <w:r>
              <w:rPr/>
              <w:t> </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exercise of stock options</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647</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395</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1,582</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3,166</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Debt issuance cost</w:t>
            </w:r>
          </w:p>
        </w:tc>
        <w:tc>
          <w:tcPr>
            <w:tcW w:w="1368" w:type="dxa"/>
            <w:gridSpan w:val="2"/>
            <w:tcBorders/>
            <w:shd w:fill="CCEEFF" w:val="clear"/>
            <w:vAlign w:val="center"/>
          </w:tcPr>
          <w:p>
            <w:pPr>
              <w:pStyle w:val="TableContents"/>
              <w:spacing w:before="0" w:after="0"/>
              <w:jc w:val="right"/>
              <w:rPr/>
            </w:pPr>
            <w:r>
              <w:rPr/>
              <w:t>—</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(2,397</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(1,153</w:t>
            </w:r>
          </w:p>
        </w:tc>
        <w:tc>
          <w:tcPr>
            <w:tcW w:w="167"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(7,409</w:t>
            </w:r>
          </w:p>
        </w:tc>
        <w:tc>
          <w:tcPr>
            <w:tcW w:w="1364"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Change in restricted cash</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(1,085</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pPr>
            <w:r>
              <w:rPr/>
              <w:t>—</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revolving line of credit</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594,809</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70,000</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revolving line of credit</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(502,575</w:t>
            </w:r>
          </w:p>
        </w:tc>
        <w:tc>
          <w:tcPr>
            <w:tcW w:w="167"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(43,500</w:t>
            </w:r>
          </w:p>
        </w:tc>
        <w:tc>
          <w:tcPr>
            <w:tcW w:w="1364" w:type="dxa"/>
            <w:tcBorders/>
            <w:shd w:fill="CCEEFF"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Proceeds from bank borrowings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343</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pPr>
            <w:r>
              <w:rPr/>
              <w:t>—</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Payments on bank borrowings and capital lease obligations</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(8,164</w:t>
            </w:r>
          </w:p>
        </w:tc>
        <w:tc>
          <w:tcPr>
            <w:tcW w:w="167"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(25,004</w:t>
            </w:r>
          </w:p>
        </w:tc>
        <w:tc>
          <w:tcPr>
            <w:tcW w:w="1364"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3"/>
              </w:rPr>
            </w:pPr>
            <w:r>
              <w:rPr>
                <w:rFonts w:ascii="inherit" w:hAnsi="inherit"/>
                <w:sz w:val="13"/>
              </w:rPr>
              <w:t>)</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cash provided by (used) in financing activities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84,404</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(4,749</w:t>
            </w:r>
          </w:p>
        </w:tc>
        <w:tc>
          <w:tcPr>
            <w:tcW w:w="136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Effect of exchange rate changes on cash and cash equivalents</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299</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129</w:t>
            </w:r>
          </w:p>
        </w:tc>
        <w:tc>
          <w:tcPr>
            <w:tcW w:w="136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increase in cash and cash equivalents</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26,805</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368"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1,638</w:t>
            </w:r>
          </w:p>
        </w:tc>
        <w:tc>
          <w:tcPr>
            <w:tcW w:w="13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beginning of period</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23,969</w:t>
            </w:r>
          </w:p>
        </w:tc>
        <w:tc>
          <w:tcPr>
            <w:tcW w:w="16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36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25,854</w:t>
            </w:r>
          </w:p>
        </w:tc>
        <w:tc>
          <w:tcPr>
            <w:tcW w:w="136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Cash and cash equivalents at end of period</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50,774</w:t>
            </w:r>
          </w:p>
        </w:tc>
        <w:tc>
          <w:tcPr>
            <w:tcW w:w="16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27,492</w:t>
            </w:r>
          </w:p>
        </w:tc>
        <w:tc>
          <w:tcPr>
            <w:tcW w:w="136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Non-cash Investing and Financing Activities:</w:t>
            </w:r>
          </w:p>
        </w:tc>
        <w:tc>
          <w:tcPr>
            <w:tcW w:w="1535" w:type="dxa"/>
            <w:gridSpan w:val="3"/>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ind w:left="0" w:right="0" w:firstLine="30"/>
              <w:rPr/>
            </w:pPr>
            <w:r>
              <w:rPr/>
              <w:t> </w:t>
            </w:r>
          </w:p>
        </w:tc>
        <w:tc>
          <w:tcPr>
            <w:tcW w:w="2732" w:type="dxa"/>
            <w:gridSpan w:val="3"/>
            <w:tcBorders/>
            <w:shd w:fill="CCEEFF" w:val="clear"/>
            <w:vAlign w:val="center"/>
          </w:tcPr>
          <w:p>
            <w:pPr>
              <w:pStyle w:val="TableContents"/>
              <w:spacing w:before="0" w:after="0"/>
              <w:ind w:left="0" w:right="0" w:firstLine="420"/>
              <w:rPr/>
            </w:pPr>
            <w:r>
              <w:rPr/>
              <w:t> </w:t>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Pawn loans forfeited and transferred to inventory</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177,490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152,415</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17,984</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pPr>
            <w:r>
              <w:rPr/>
              <w:t>—</w:t>
            </w:r>
          </w:p>
        </w:tc>
        <w:tc>
          <w:tcPr>
            <w:tcW w:w="136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Contingent consideration</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rFonts w:ascii="inherit" w:hAnsi="inherit"/>
                <w:sz w:val="13"/>
              </w:rPr>
            </w:pPr>
            <w:r>
              <w:rPr>
                <w:rFonts w:ascii="inherit" w:hAnsi="inherit"/>
                <w:sz w:val="13"/>
              </w:rPr>
              <w:t>23,000</w:t>
            </w:r>
          </w:p>
        </w:tc>
        <w:tc>
          <w:tcPr>
            <w:tcW w:w="16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auto" w:val="clear"/>
            <w:vAlign w:val="center"/>
          </w:tcPr>
          <w:p>
            <w:pPr>
              <w:pStyle w:val="TableContents"/>
              <w:spacing w:before="0" w:after="0"/>
              <w:jc w:val="right"/>
              <w:rPr/>
            </w:pPr>
            <w:r>
              <w:rPr/>
              <w:t>—</w:t>
            </w:r>
          </w:p>
        </w:tc>
        <w:tc>
          <w:tcPr>
            <w:tcW w:w="136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790"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Deferred consideration</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rFonts w:ascii="inherit" w:hAnsi="inherit"/>
                <w:sz w:val="13"/>
              </w:rPr>
            </w:pPr>
            <w:r>
              <w:rPr>
                <w:rFonts w:ascii="inherit" w:hAnsi="inherit"/>
                <w:sz w:val="13"/>
              </w:rPr>
              <w:t>916</w:t>
            </w:r>
          </w:p>
        </w:tc>
        <w:tc>
          <w:tcPr>
            <w:tcW w:w="16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1201" w:type="dxa"/>
            <w:tcBorders/>
            <w:shd w:fill="CCEEFF" w:val="clear"/>
            <w:vAlign w:val="center"/>
          </w:tcPr>
          <w:p>
            <w:pPr>
              <w:pStyle w:val="TableContents"/>
              <w:spacing w:before="0" w:after="0"/>
              <w:jc w:val="right"/>
              <w:rPr/>
            </w:pPr>
            <w:r>
              <w:rPr/>
              <w:t>—</w:t>
            </w:r>
          </w:p>
        </w:tc>
        <w:tc>
          <w:tcPr>
            <w:tcW w:w="136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See accompanying notes to interim condensed consolidated financial statements (unaudited).</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w:t>
      </w:r>
      <w:r>
        <w:br w:type="page"/>
      </w:r>
    </w:p>
    <w:p>
      <w:pPr>
        <w:pStyle w:val="TextBody"/>
        <w:spacing w:lineRule="auto" w:line="288" w:before="0" w:after="0"/>
        <w:rPr/>
      </w:pPr>
      <w:hyperlink w:anchor="s1D4031A326A2D05AEEF6A412554D06A6">
        <w:bookmarkStart w:id="11" w:name="sB2217725A565C135C933A41248FFA140"/>
        <w:bookmarkEnd w:id="11"/>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1982"/>
        <w:gridCol w:w="700"/>
        <w:gridCol w:w="54"/>
        <w:gridCol w:w="111"/>
        <w:gridCol w:w="201"/>
        <w:gridCol w:w="648"/>
        <w:gridCol w:w="75"/>
        <w:gridCol w:w="111"/>
        <w:gridCol w:w="130"/>
        <w:gridCol w:w="759"/>
        <w:gridCol w:w="130"/>
        <w:gridCol w:w="111"/>
        <w:gridCol w:w="130"/>
        <w:gridCol w:w="759"/>
        <w:gridCol w:w="54"/>
        <w:gridCol w:w="111"/>
        <w:gridCol w:w="197"/>
        <w:gridCol w:w="995"/>
        <w:gridCol w:w="199"/>
        <w:gridCol w:w="111"/>
        <w:gridCol w:w="149"/>
        <w:gridCol w:w="866"/>
        <w:gridCol w:w="151"/>
        <w:gridCol w:w="111"/>
        <w:gridCol w:w="130"/>
        <w:gridCol w:w="700"/>
        <w:gridCol w:w="530"/>
      </w:tblGrid>
      <w:tr>
        <w:trPr/>
        <w:tc>
          <w:tcPr>
            <w:tcW w:w="10205" w:type="dxa"/>
            <w:gridSpan w:val="27"/>
            <w:tcBorders/>
            <w:shd w:fill="auto" w:val="clear"/>
            <w:vAlign w:val="center"/>
          </w:tcPr>
          <w:p>
            <w:pPr>
              <w:pStyle w:val="TableContents"/>
              <w:spacing w:lineRule="auto" w:line="288" w:before="0" w:after="0"/>
              <w:jc w:val="center"/>
              <w:rPr>
                <w:rFonts w:ascii="inherit" w:hAnsi="inherit"/>
                <w:b/>
                <w:sz w:val="15"/>
              </w:rPr>
            </w:pPr>
            <w:r>
              <w:rPr>
                <w:rFonts w:ascii="inherit" w:hAnsi="inherit"/>
                <w:b/>
                <w:sz w:val="15"/>
              </w:rPr>
              <w:t>Consolidated Statements of Stockholders’ Equity (Unaudited)</w:t>
            </w:r>
          </w:p>
        </w:tc>
      </w:tr>
      <w:tr>
        <w:trPr/>
        <w:tc>
          <w:tcPr>
            <w:tcW w:w="1982"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59" w:type="dxa"/>
            <w:tcBorders/>
            <w:shd w:fill="auto" w:val="clear"/>
            <w:vAlign w:val="center"/>
          </w:tcPr>
          <w:p>
            <w:pPr>
              <w:pStyle w:val="TableContents"/>
              <w:spacing w:before="0" w:after="283"/>
              <w:rPr>
                <w:sz w:val="4"/>
                <w:szCs w:val="4"/>
              </w:rPr>
            </w:pPr>
            <w:r>
              <w:rPr>
                <w:sz w:val="4"/>
                <w:szCs w:val="4"/>
              </w:rPr>
            </w:r>
          </w:p>
        </w:tc>
        <w:tc>
          <w:tcPr>
            <w:tcW w:w="54"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c>
          <w:tcPr>
            <w:tcW w:w="99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86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982" w:type="dxa"/>
            <w:tcBorders/>
            <w:shd w:fill="auto" w:val="clear"/>
            <w:vAlign w:val="center"/>
          </w:tcPr>
          <w:p>
            <w:pPr>
              <w:pStyle w:val="TableContents"/>
              <w:spacing w:before="0" w:after="0"/>
              <w:ind w:left="0" w:right="0" w:firstLine="30"/>
              <w:jc w:val="left"/>
              <w:rPr/>
            </w:pPr>
            <w:r>
              <w:rPr/>
              <w:t> </w:t>
            </w:r>
          </w:p>
        </w:tc>
        <w:tc>
          <w:tcPr>
            <w:tcW w:w="1789" w:type="dxa"/>
            <w:gridSpan w:val="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Common Stock</w:t>
            </w:r>
          </w:p>
        </w:tc>
        <w:tc>
          <w:tcPr>
            <w:tcW w:w="111" w:type="dxa"/>
            <w:tcBorders/>
            <w:shd w:fill="auto" w:val="clear"/>
            <w:vAlign w:val="center"/>
          </w:tcPr>
          <w:p>
            <w:pPr>
              <w:pStyle w:val="TableContents"/>
              <w:spacing w:before="0" w:after="0"/>
              <w:ind w:left="0" w:right="0" w:firstLine="30"/>
              <w:rPr/>
            </w:pPr>
            <w:r>
              <w:rPr/>
              <w:t> </w:t>
            </w:r>
          </w:p>
        </w:tc>
        <w:tc>
          <w:tcPr>
            <w:tcW w:w="1019"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Additional</w:t>
            </w:r>
          </w:p>
          <w:p>
            <w:pPr>
              <w:pStyle w:val="TableContents"/>
              <w:spacing w:before="0" w:after="0"/>
              <w:jc w:val="center"/>
              <w:rPr>
                <w:rFonts w:ascii="inherit" w:hAnsi="inherit"/>
                <w:sz w:val="13"/>
              </w:rPr>
            </w:pPr>
            <w:r>
              <w:rPr>
                <w:rFonts w:ascii="inherit" w:hAnsi="inherit"/>
                <w:sz w:val="13"/>
              </w:rPr>
              <w:t>Paid In</w:t>
            </w:r>
          </w:p>
          <w:p>
            <w:pPr>
              <w:pStyle w:val="TableContents"/>
              <w:spacing w:before="0" w:after="0"/>
              <w:ind w:left="0" w:right="0" w:firstLine="30"/>
              <w:jc w:val="center"/>
              <w:rPr>
                <w:rFonts w:ascii="inherit" w:hAnsi="inherit"/>
                <w:sz w:val="13"/>
              </w:rPr>
            </w:pPr>
            <w:r>
              <w:rPr>
                <w:rFonts w:ascii="inherit" w:hAnsi="inherit"/>
                <w:sz w:val="13"/>
              </w:rPr>
              <w:t>Capital</w:t>
            </w:r>
          </w:p>
        </w:tc>
        <w:tc>
          <w:tcPr>
            <w:tcW w:w="111" w:type="dxa"/>
            <w:vMerge w:val="restart"/>
            <w:tcBorders/>
            <w:shd w:fill="auto" w:val="clear"/>
            <w:vAlign w:val="center"/>
          </w:tcPr>
          <w:p>
            <w:pPr>
              <w:pStyle w:val="TableContents"/>
              <w:spacing w:before="0" w:after="0"/>
              <w:ind w:left="0" w:right="0" w:firstLine="30"/>
              <w:rPr/>
            </w:pPr>
            <w:r>
              <w:rPr/>
              <w:t> </w:t>
            </w:r>
          </w:p>
        </w:tc>
        <w:tc>
          <w:tcPr>
            <w:tcW w:w="943"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Retained</w:t>
            </w:r>
          </w:p>
          <w:p>
            <w:pPr>
              <w:pStyle w:val="TableContents"/>
              <w:spacing w:before="0" w:after="0"/>
              <w:ind w:left="0" w:right="0" w:firstLine="30"/>
              <w:jc w:val="center"/>
              <w:rPr>
                <w:rFonts w:ascii="inherit" w:hAnsi="inherit"/>
                <w:sz w:val="13"/>
              </w:rPr>
            </w:pPr>
            <w:r>
              <w:rPr>
                <w:rFonts w:ascii="inherit" w:hAnsi="inherit"/>
                <w:sz w:val="13"/>
              </w:rPr>
              <w:t>Earnings</w:t>
            </w:r>
          </w:p>
        </w:tc>
        <w:tc>
          <w:tcPr>
            <w:tcW w:w="111" w:type="dxa"/>
            <w:vMerge w:val="restart"/>
            <w:tcBorders/>
            <w:shd w:fill="auto" w:val="clear"/>
            <w:vAlign w:val="center"/>
          </w:tcPr>
          <w:p>
            <w:pPr>
              <w:pStyle w:val="TableContents"/>
              <w:spacing w:before="0" w:after="0"/>
              <w:ind w:left="0" w:right="0" w:firstLine="30"/>
              <w:rPr/>
            </w:pPr>
            <w:r>
              <w:rPr/>
              <w:t> </w:t>
            </w:r>
          </w:p>
        </w:tc>
        <w:tc>
          <w:tcPr>
            <w:tcW w:w="1391"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 xml:space="preserve">Comprehensive Income </w:t>
            </w:r>
          </w:p>
        </w:tc>
        <w:tc>
          <w:tcPr>
            <w:tcW w:w="111" w:type="dxa"/>
            <w:vMerge w:val="restart"/>
            <w:tcBorders/>
            <w:shd w:fill="auto" w:val="clear"/>
            <w:vAlign w:val="center"/>
          </w:tcPr>
          <w:p>
            <w:pPr>
              <w:pStyle w:val="TableContents"/>
              <w:spacing w:before="0" w:after="0"/>
              <w:ind w:left="0" w:right="0" w:firstLine="30"/>
              <w:rPr/>
            </w:pPr>
            <w:r>
              <w:rPr/>
              <w:t> </w:t>
            </w:r>
          </w:p>
        </w:tc>
        <w:tc>
          <w:tcPr>
            <w:tcW w:w="1166"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Total</w:t>
            </w:r>
          </w:p>
          <w:p>
            <w:pPr>
              <w:pStyle w:val="TableContents"/>
              <w:spacing w:before="0" w:after="0"/>
              <w:jc w:val="center"/>
              <w:rPr>
                <w:rFonts w:ascii="inherit" w:hAnsi="inherit"/>
                <w:sz w:val="13"/>
              </w:rPr>
            </w:pPr>
            <w:r>
              <w:rPr>
                <w:rFonts w:ascii="inherit" w:hAnsi="inherit"/>
                <w:sz w:val="13"/>
              </w:rPr>
              <w:t>Shareholders’</w:t>
            </w:r>
          </w:p>
          <w:p>
            <w:pPr>
              <w:pStyle w:val="TableContents"/>
              <w:spacing w:before="0" w:after="0"/>
              <w:ind w:left="0" w:right="0" w:firstLine="30"/>
              <w:jc w:val="center"/>
              <w:rPr>
                <w:rFonts w:ascii="inherit" w:hAnsi="inherit"/>
                <w:sz w:val="13"/>
              </w:rPr>
            </w:pPr>
            <w:r>
              <w:rPr>
                <w:rFonts w:ascii="inherit" w:hAnsi="inherit"/>
                <w:sz w:val="13"/>
              </w:rPr>
              <w:t>Equity</w:t>
            </w:r>
          </w:p>
        </w:tc>
        <w:tc>
          <w:tcPr>
            <w:tcW w:w="111" w:type="dxa"/>
            <w:vMerge w:val="restart"/>
            <w:tcBorders/>
            <w:shd w:fill="auto" w:val="clear"/>
            <w:vAlign w:val="center"/>
          </w:tcPr>
          <w:p>
            <w:pPr>
              <w:pStyle w:val="TableContents"/>
              <w:spacing w:before="0" w:after="0"/>
              <w:ind w:left="0" w:right="0" w:firstLine="30"/>
              <w:rPr/>
            </w:pPr>
            <w:r>
              <w:rPr/>
              <w:t> </w:t>
            </w:r>
          </w:p>
        </w:tc>
        <w:tc>
          <w:tcPr>
            <w:tcW w:w="1360" w:type="dxa"/>
            <w:gridSpan w:val="3"/>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Redeemable</w:t>
            </w:r>
          </w:p>
          <w:p>
            <w:pPr>
              <w:pStyle w:val="TableContents"/>
              <w:spacing w:before="0" w:after="0"/>
              <w:jc w:val="center"/>
              <w:rPr>
                <w:rFonts w:ascii="inherit" w:hAnsi="inherit"/>
                <w:sz w:val="13"/>
              </w:rPr>
            </w:pPr>
            <w:r>
              <w:rPr>
                <w:rFonts w:ascii="inherit" w:hAnsi="inherit"/>
                <w:sz w:val="13"/>
              </w:rPr>
              <w:t>Noncontrolling</w:t>
            </w:r>
          </w:p>
          <w:p>
            <w:pPr>
              <w:pStyle w:val="TableContents"/>
              <w:spacing w:before="0" w:after="0"/>
              <w:ind w:left="0" w:right="0" w:firstLine="30"/>
              <w:jc w:val="center"/>
              <w:rPr>
                <w:rFonts w:ascii="inherit" w:hAnsi="inherit"/>
                <w:sz w:val="13"/>
              </w:rPr>
            </w:pPr>
            <w:r>
              <w:rPr>
                <w:rFonts w:ascii="inherit" w:hAnsi="inherit"/>
                <w:sz w:val="13"/>
              </w:rPr>
              <w:t>Interest</w:t>
            </w:r>
          </w:p>
        </w:tc>
      </w:tr>
      <w:tr>
        <w:trPr/>
        <w:tc>
          <w:tcPr>
            <w:tcW w:w="1982" w:type="dxa"/>
            <w:tcBorders/>
            <w:shd w:fill="auto" w:val="clear"/>
            <w:vAlign w:val="center"/>
          </w:tcPr>
          <w:p>
            <w:pPr>
              <w:pStyle w:val="TableContents"/>
              <w:spacing w:before="0" w:after="0"/>
              <w:ind w:left="0" w:right="0" w:firstLine="30"/>
              <w:jc w:val="left"/>
              <w:rPr/>
            </w:pPr>
            <w:r>
              <w:rPr/>
              <w:t> </w:t>
            </w:r>
          </w:p>
        </w:tc>
        <w:tc>
          <w:tcPr>
            <w:tcW w:w="754"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Shares</w:t>
            </w:r>
          </w:p>
        </w:tc>
        <w:tc>
          <w:tcPr>
            <w:tcW w:w="111" w:type="dxa"/>
            <w:tcBorders/>
            <w:shd w:fill="auto" w:val="clear"/>
            <w:vAlign w:val="center"/>
          </w:tcPr>
          <w:p>
            <w:pPr>
              <w:pStyle w:val="TableContents"/>
              <w:spacing w:before="0" w:after="0"/>
              <w:ind w:left="0" w:right="0" w:firstLine="30"/>
              <w:rPr/>
            </w:pPr>
            <w:r>
              <w:rPr/>
              <w:t> </w:t>
            </w:r>
          </w:p>
        </w:tc>
        <w:tc>
          <w:tcPr>
            <w:tcW w:w="92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 Value</w:t>
            </w:r>
          </w:p>
        </w:tc>
        <w:tc>
          <w:tcPr>
            <w:tcW w:w="111" w:type="dxa"/>
            <w:tcBorders/>
            <w:shd w:fill="auto" w:val="clear"/>
            <w:vAlign w:val="center"/>
          </w:tcPr>
          <w:p>
            <w:pPr>
              <w:pStyle w:val="TableContents"/>
              <w:spacing w:before="0" w:after="0"/>
              <w:ind w:left="0" w:right="0" w:firstLine="30"/>
              <w:rPr/>
            </w:pPr>
            <w:r>
              <w:rPr/>
              <w:t> </w:t>
            </w:r>
          </w:p>
        </w:tc>
        <w:tc>
          <w:tcPr>
            <w:tcW w:w="1019" w:type="dxa"/>
            <w:gridSpan w:val="3"/>
            <w:vMerge w:val="continue"/>
            <w:tcBorders>
              <w:bottom w:val="single" w:sz="2" w:space="0" w:color="000000"/>
            </w:tcBorders>
            <w:shd w:fill="auto" w:val="clear"/>
            <w:tcMar>
              <w:bottom w:w="30" w:type="dxa"/>
            </w:tcMar>
            <w:vAlign w:val="center"/>
          </w:tcPr>
          <w:p>
            <w:pPr>
              <w:pStyle w:val="Normal"/>
              <w:rPr/>
            </w:pPr>
            <w:r>
              <w:rPr/>
            </w:r>
          </w:p>
        </w:tc>
        <w:tc>
          <w:tcPr>
            <w:tcW w:w="111" w:type="dxa"/>
            <w:vMerge w:val="continue"/>
            <w:tcBorders/>
            <w:shd w:fill="auto" w:val="clear"/>
            <w:vAlign w:val="center"/>
          </w:tcPr>
          <w:p>
            <w:pPr>
              <w:pStyle w:val="Normal"/>
              <w:rPr/>
            </w:pPr>
            <w:r>
              <w:rPr/>
            </w:r>
          </w:p>
        </w:tc>
        <w:tc>
          <w:tcPr>
            <w:tcW w:w="943" w:type="dxa"/>
            <w:gridSpan w:val="3"/>
            <w:vMerge w:val="continue"/>
            <w:tcBorders>
              <w:bottom w:val="single" w:sz="2" w:space="0" w:color="000000"/>
            </w:tcBorders>
            <w:shd w:fill="auto" w:val="clear"/>
            <w:tcMar>
              <w:bottom w:w="30" w:type="dxa"/>
            </w:tcMar>
            <w:vAlign w:val="center"/>
          </w:tcPr>
          <w:p>
            <w:pPr>
              <w:pStyle w:val="Normal"/>
              <w:rPr/>
            </w:pPr>
            <w:r>
              <w:rPr/>
            </w:r>
          </w:p>
        </w:tc>
        <w:tc>
          <w:tcPr>
            <w:tcW w:w="111" w:type="dxa"/>
            <w:vMerge w:val="continue"/>
            <w:tcBorders/>
            <w:shd w:fill="auto" w:val="clear"/>
            <w:vAlign w:val="center"/>
          </w:tcPr>
          <w:p>
            <w:pPr>
              <w:pStyle w:val="Normal"/>
              <w:rPr/>
            </w:pPr>
            <w:r>
              <w:rPr/>
            </w:r>
          </w:p>
        </w:tc>
        <w:tc>
          <w:tcPr>
            <w:tcW w:w="1391" w:type="dxa"/>
            <w:gridSpan w:val="3"/>
            <w:vMerge w:val="continue"/>
            <w:tcBorders>
              <w:bottom w:val="single" w:sz="2" w:space="0" w:color="000000"/>
            </w:tcBorders>
            <w:shd w:fill="auto" w:val="clear"/>
            <w:tcMar>
              <w:bottom w:w="30" w:type="dxa"/>
            </w:tcMar>
            <w:vAlign w:val="center"/>
          </w:tcPr>
          <w:p>
            <w:pPr>
              <w:pStyle w:val="Normal"/>
              <w:rPr/>
            </w:pPr>
            <w:r>
              <w:rPr/>
            </w:r>
          </w:p>
        </w:tc>
        <w:tc>
          <w:tcPr>
            <w:tcW w:w="111" w:type="dxa"/>
            <w:vMerge w:val="continue"/>
            <w:tcBorders/>
            <w:shd w:fill="auto" w:val="clear"/>
            <w:vAlign w:val="center"/>
          </w:tcPr>
          <w:p>
            <w:pPr>
              <w:pStyle w:val="Normal"/>
              <w:rPr/>
            </w:pPr>
            <w:r>
              <w:rPr/>
            </w:r>
          </w:p>
        </w:tc>
        <w:tc>
          <w:tcPr>
            <w:tcW w:w="1166" w:type="dxa"/>
            <w:gridSpan w:val="3"/>
            <w:vMerge w:val="continue"/>
            <w:tcBorders>
              <w:bottom w:val="single" w:sz="2" w:space="0" w:color="000000"/>
            </w:tcBorders>
            <w:shd w:fill="auto" w:val="clear"/>
            <w:tcMar>
              <w:bottom w:w="30" w:type="dxa"/>
            </w:tcMar>
            <w:vAlign w:val="center"/>
          </w:tcPr>
          <w:p>
            <w:pPr>
              <w:pStyle w:val="Normal"/>
              <w:rPr/>
            </w:pPr>
            <w:r>
              <w:rPr/>
            </w:r>
          </w:p>
        </w:tc>
        <w:tc>
          <w:tcPr>
            <w:tcW w:w="111" w:type="dxa"/>
            <w:vMerge w:val="continue"/>
            <w:tcBorders/>
            <w:shd w:fill="auto" w:val="clear"/>
            <w:vAlign w:val="center"/>
          </w:tcPr>
          <w:p>
            <w:pPr>
              <w:pStyle w:val="Normal"/>
              <w:rPr/>
            </w:pPr>
            <w:r>
              <w:rPr/>
            </w:r>
          </w:p>
        </w:tc>
        <w:tc>
          <w:tcPr>
            <w:tcW w:w="1360" w:type="dxa"/>
            <w:gridSpan w:val="3"/>
            <w:vMerge w:val="continue"/>
            <w:tcBorders>
              <w:bottom w:val="single" w:sz="2" w:space="0" w:color="000000"/>
            </w:tcBorders>
            <w:shd w:fill="auto" w:val="clear"/>
            <w:tcMar>
              <w:bottom w:w="30" w:type="dxa"/>
            </w:tcMar>
            <w:vAlign w:val="center"/>
          </w:tcPr>
          <w:p>
            <w:pPr>
              <w:pStyle w:val="Normal"/>
              <w:rPr/>
            </w:pPr>
            <w:r>
              <w:rPr/>
            </w:r>
          </w:p>
        </w:tc>
      </w:tr>
      <w:tr>
        <w:trPr/>
        <w:tc>
          <w:tcPr>
            <w:tcW w:w="1982" w:type="dxa"/>
            <w:tcBorders/>
            <w:shd w:fill="auto" w:val="clear"/>
            <w:vAlign w:val="center"/>
          </w:tcPr>
          <w:p>
            <w:pPr>
              <w:pStyle w:val="TableContents"/>
              <w:spacing w:before="0" w:after="0"/>
              <w:ind w:left="0" w:right="0" w:firstLine="30"/>
              <w:jc w:val="left"/>
              <w:rPr/>
            </w:pPr>
            <w:r>
              <w:rPr/>
              <w:t> </w:t>
            </w:r>
          </w:p>
        </w:tc>
        <w:tc>
          <w:tcPr>
            <w:tcW w:w="8223" w:type="dxa"/>
            <w:gridSpan w:val="26"/>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September 30, 2010</w:t>
            </w:r>
          </w:p>
        </w:tc>
        <w:tc>
          <w:tcPr>
            <w:tcW w:w="700"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49,226</w:t>
            </w:r>
          </w:p>
        </w:tc>
        <w:tc>
          <w:tcPr>
            <w:tcW w:w="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201"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648"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493</w:t>
            </w:r>
          </w:p>
        </w:tc>
        <w:tc>
          <w:tcPr>
            <w:tcW w:w="75"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225,374</w:t>
            </w:r>
          </w:p>
        </w:tc>
        <w:tc>
          <w:tcPr>
            <w:tcW w:w="130"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30"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299,936</w:t>
            </w:r>
          </w:p>
        </w:tc>
        <w:tc>
          <w:tcPr>
            <w:tcW w:w="5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97"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995"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(6,375</w:t>
            </w:r>
          </w:p>
        </w:tc>
        <w:tc>
          <w:tcPr>
            <w:tcW w:w="199"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14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3"/>
              </w:rPr>
            </w:pPr>
            <w:r>
              <w:rPr>
                <w:rFonts w:ascii="inherit" w:hAnsi="inherit"/>
                <w:sz w:val="13"/>
              </w:rPr>
              <w:t>$</w:t>
            </w:r>
          </w:p>
        </w:tc>
        <w:tc>
          <w:tcPr>
            <w:tcW w:w="866"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3"/>
              </w:rPr>
            </w:pPr>
            <w:r>
              <w:rPr>
                <w:rFonts w:ascii="inherit" w:hAnsi="inherit"/>
                <w:sz w:val="13"/>
              </w:rPr>
              <w:t>519,428</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top w:val="single" w:sz="2" w:space="0" w:color="000000"/>
            </w:tcBorders>
            <w:shd w:fill="CCEEFF" w:val="clear"/>
            <w:tcMar>
              <w:top w:w="30" w:type="dxa"/>
            </w:tcMar>
            <w:vAlign w:val="center"/>
          </w:tcPr>
          <w:p>
            <w:pPr>
              <w:pStyle w:val="TableContents"/>
              <w:spacing w:before="0" w:after="0"/>
              <w:ind w:left="0" w:right="0" w:firstLine="30"/>
              <w:rPr/>
            </w:pPr>
            <w:r>
              <w:rPr/>
              <w:t> </w:t>
            </w:r>
          </w:p>
        </w:tc>
        <w:tc>
          <w:tcPr>
            <w:tcW w:w="830" w:type="dxa"/>
            <w:gridSpan w:val="2"/>
            <w:tcBorders>
              <w:top w:val="single" w:sz="2" w:space="0" w:color="000000"/>
            </w:tcBorders>
            <w:shd w:fill="CCEEFF" w:val="clear"/>
            <w:tcMar>
              <w:top w:w="30" w:type="dxa"/>
            </w:tcMar>
            <w:vAlign w:val="center"/>
          </w:tcPr>
          <w:p>
            <w:pPr>
              <w:pStyle w:val="TableContents"/>
              <w:spacing w:before="0" w:after="0"/>
              <w:jc w:val="right"/>
              <w:rPr/>
            </w:pPr>
            <w:r>
              <w:rPr/>
              <w:t>—</w:t>
            </w:r>
          </w:p>
        </w:tc>
        <w:tc>
          <w:tcPr>
            <w:tcW w:w="530" w:type="dxa"/>
            <w:tcBorders>
              <w:top w:val="single" w:sz="2" w:space="0" w:color="000000"/>
            </w:tcBorders>
            <w:shd w:fill="CCEEFF"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700" w:type="dxa"/>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11,536</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11,536</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 options exercised</w:t>
            </w:r>
          </w:p>
        </w:tc>
        <w:tc>
          <w:tcPr>
            <w:tcW w:w="700" w:type="dxa"/>
            <w:tcBorders/>
            <w:shd w:fill="CCEEFF" w:val="clear"/>
            <w:vAlign w:val="center"/>
          </w:tcPr>
          <w:p>
            <w:pPr>
              <w:pStyle w:val="TableContents"/>
              <w:spacing w:before="0" w:after="0"/>
              <w:jc w:val="right"/>
              <w:rPr>
                <w:rFonts w:ascii="inherit" w:hAnsi="inherit"/>
                <w:sz w:val="13"/>
              </w:rPr>
            </w:pPr>
            <w:r>
              <w:rPr>
                <w:rFonts w:ascii="inherit" w:hAnsi="inherit"/>
                <w:sz w:val="13"/>
              </w:rPr>
              <w:t>41</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394</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395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Release of restricted stock</w:t>
            </w:r>
          </w:p>
        </w:tc>
        <w:tc>
          <w:tcPr>
            <w:tcW w:w="700" w:type="dxa"/>
            <w:tcBorders/>
            <w:shd w:fill="auto" w:val="clear"/>
            <w:vAlign w:val="center"/>
          </w:tcPr>
          <w:p>
            <w:pPr>
              <w:pStyle w:val="TableContents"/>
              <w:spacing w:before="0" w:after="0"/>
              <w:jc w:val="right"/>
              <w:rPr>
                <w:rFonts w:ascii="inherit" w:hAnsi="inherit"/>
                <w:sz w:val="13"/>
              </w:rPr>
            </w:pPr>
            <w:r>
              <w:rPr>
                <w:rFonts w:ascii="inherit" w:hAnsi="inherit"/>
                <w:sz w:val="13"/>
              </w:rPr>
              <w:t>675</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700" w:type="dxa"/>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3,161</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3,166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700" w:type="dxa"/>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(7,409</w:t>
            </w:r>
          </w:p>
        </w:tc>
        <w:tc>
          <w:tcPr>
            <w:tcW w:w="1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(7,409</w:t>
            </w:r>
          </w:p>
        </w:tc>
        <w:tc>
          <w:tcPr>
            <w:tcW w:w="15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gain on available-for-sale securities</w:t>
            </w:r>
          </w:p>
        </w:tc>
        <w:tc>
          <w:tcPr>
            <w:tcW w:w="700" w:type="dxa"/>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642</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adjustment</w:t>
            </w:r>
          </w:p>
        </w:tc>
        <w:tc>
          <w:tcPr>
            <w:tcW w:w="700" w:type="dxa"/>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10,750</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10,750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70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7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85,794</w:t>
            </w:r>
          </w:p>
        </w:tc>
        <w:tc>
          <w:tcPr>
            <w:tcW w:w="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9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85,794</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3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Balances at June 30, 2011</w:t>
            </w:r>
          </w:p>
        </w:tc>
        <w:tc>
          <w:tcPr>
            <w:tcW w:w="7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49,942</w:t>
            </w:r>
          </w:p>
        </w:tc>
        <w:tc>
          <w:tcPr>
            <w:tcW w:w="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20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4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499</w:t>
            </w:r>
          </w:p>
        </w:tc>
        <w:tc>
          <w:tcPr>
            <w:tcW w:w="7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3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233,056</w:t>
            </w:r>
          </w:p>
        </w:tc>
        <w:tc>
          <w:tcPr>
            <w:tcW w:w="1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3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385,730</w:t>
            </w:r>
          </w:p>
        </w:tc>
        <w:tc>
          <w:tcPr>
            <w:tcW w:w="54"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9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9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5,017</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6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624,302</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3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0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53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September 30, 2011</w:t>
            </w:r>
          </w:p>
        </w:tc>
        <w:tc>
          <w:tcPr>
            <w:tcW w:w="700" w:type="dxa"/>
            <w:tcBorders/>
            <w:shd w:fill="CCEEFF" w:val="clear"/>
            <w:vAlign w:val="center"/>
          </w:tcPr>
          <w:p>
            <w:pPr>
              <w:pStyle w:val="TableContents"/>
              <w:spacing w:before="0" w:after="0"/>
              <w:jc w:val="right"/>
              <w:rPr>
                <w:rFonts w:ascii="inherit" w:hAnsi="inherit"/>
                <w:sz w:val="13"/>
              </w:rPr>
            </w:pPr>
            <w:r>
              <w:rPr>
                <w:rFonts w:ascii="inherit" w:hAnsi="inherit"/>
                <w:sz w:val="13"/>
              </w:rPr>
              <w:t>50,199</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201"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648" w:type="dxa"/>
            <w:tcBorders/>
            <w:shd w:fill="CCEEFF" w:val="clear"/>
            <w:vAlign w:val="center"/>
          </w:tcPr>
          <w:p>
            <w:pPr>
              <w:pStyle w:val="TableContents"/>
              <w:spacing w:before="0" w:after="0"/>
              <w:jc w:val="right"/>
              <w:rPr>
                <w:rFonts w:ascii="inherit" w:hAnsi="inherit"/>
                <w:sz w:val="13"/>
              </w:rPr>
            </w:pPr>
            <w:r>
              <w:rPr>
                <w:rFonts w:ascii="inherit" w:hAnsi="inherit"/>
                <w:sz w:val="13"/>
              </w:rPr>
              <w:t>501</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shd w:fill="CCEEFF" w:val="clear"/>
            <w:vAlign w:val="center"/>
          </w:tcPr>
          <w:p>
            <w:pPr>
              <w:pStyle w:val="TableContents"/>
              <w:spacing w:before="0" w:after="0"/>
              <w:jc w:val="right"/>
              <w:rPr>
                <w:rFonts w:ascii="inherit" w:hAnsi="inherit"/>
                <w:sz w:val="13"/>
              </w:rPr>
            </w:pPr>
            <w:r>
              <w:rPr>
                <w:rFonts w:ascii="inherit" w:hAnsi="inherit"/>
                <w:sz w:val="13"/>
              </w:rPr>
              <w:t>242,398</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shd w:fill="CCEEFF" w:val="clear"/>
            <w:vAlign w:val="center"/>
          </w:tcPr>
          <w:p>
            <w:pPr>
              <w:pStyle w:val="TableContents"/>
              <w:spacing w:before="0" w:after="0"/>
              <w:jc w:val="right"/>
              <w:rPr>
                <w:rFonts w:ascii="inherit" w:hAnsi="inherit"/>
                <w:sz w:val="13"/>
              </w:rPr>
            </w:pPr>
            <w:r>
              <w:rPr>
                <w:rFonts w:ascii="inherit" w:hAnsi="inherit"/>
                <w:sz w:val="13"/>
              </w:rPr>
              <w:t>422,095</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97"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995" w:type="dxa"/>
            <w:tcBorders/>
            <w:shd w:fill="CCEEFF" w:val="clear"/>
            <w:vAlign w:val="center"/>
          </w:tcPr>
          <w:p>
            <w:pPr>
              <w:pStyle w:val="TableContents"/>
              <w:spacing w:before="0" w:after="0"/>
              <w:jc w:val="right"/>
              <w:rPr>
                <w:rFonts w:ascii="inherit" w:hAnsi="inherit"/>
                <w:sz w:val="13"/>
              </w:rPr>
            </w:pPr>
            <w:r>
              <w:rPr>
                <w:rFonts w:ascii="inherit" w:hAnsi="inherit"/>
                <w:sz w:val="13"/>
              </w:rPr>
              <w:t>(746</w:t>
            </w:r>
          </w:p>
        </w:tc>
        <w:tc>
          <w:tcPr>
            <w:tcW w:w="19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3"/>
              </w:rPr>
            </w:pPr>
            <w:r>
              <w:rPr>
                <w:rFonts w:ascii="inherit" w:hAnsi="inherit"/>
                <w:sz w:val="13"/>
              </w:rPr>
              <w:t>$</w:t>
            </w:r>
          </w:p>
        </w:tc>
        <w:tc>
          <w:tcPr>
            <w:tcW w:w="866" w:type="dxa"/>
            <w:tcBorders/>
            <w:shd w:fill="CCEEFF" w:val="clear"/>
            <w:vAlign w:val="center"/>
          </w:tcPr>
          <w:p>
            <w:pPr>
              <w:pStyle w:val="TableContents"/>
              <w:spacing w:before="0" w:after="0"/>
              <w:jc w:val="right"/>
              <w:rPr>
                <w:rFonts w:ascii="inherit" w:hAnsi="inherit"/>
                <w:sz w:val="13"/>
              </w:rPr>
            </w:pPr>
            <w:r>
              <w:rPr>
                <w:rFonts w:ascii="inherit" w:hAnsi="inherit"/>
                <w:sz w:val="13"/>
              </w:rPr>
              <w:t>664,248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Stock compensation</w:t>
            </w:r>
          </w:p>
        </w:tc>
        <w:tc>
          <w:tcPr>
            <w:tcW w:w="700" w:type="dxa"/>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5,191</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5,191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Stock options exercised</w:t>
            </w:r>
          </w:p>
        </w:tc>
        <w:tc>
          <w:tcPr>
            <w:tcW w:w="700" w:type="dxa"/>
            <w:tcBorders/>
            <w:shd w:fill="CCEEFF" w:val="clear"/>
            <w:vAlign w:val="center"/>
          </w:tcPr>
          <w:p>
            <w:pPr>
              <w:pStyle w:val="TableContents"/>
              <w:spacing w:before="0" w:after="0"/>
              <w:jc w:val="right"/>
              <w:rPr>
                <w:rFonts w:ascii="inherit" w:hAnsi="inherit"/>
                <w:sz w:val="13"/>
              </w:rPr>
            </w:pPr>
            <w:r>
              <w:rPr>
                <w:rFonts w:ascii="inherit" w:hAnsi="inherit"/>
                <w:sz w:val="13"/>
              </w:rPr>
              <w:t>201</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645</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647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Issuance of common stock due to acquisitions</w:t>
            </w:r>
          </w:p>
        </w:tc>
        <w:tc>
          <w:tcPr>
            <w:tcW w:w="700" w:type="dxa"/>
            <w:tcBorders/>
            <w:shd w:fill="auto" w:val="clear"/>
            <w:vAlign w:val="center"/>
          </w:tcPr>
          <w:p>
            <w:pPr>
              <w:pStyle w:val="TableContents"/>
              <w:spacing w:before="0" w:after="0"/>
              <w:jc w:val="right"/>
              <w:rPr>
                <w:rFonts w:ascii="inherit" w:hAnsi="inherit"/>
                <w:sz w:val="13"/>
              </w:rPr>
            </w:pPr>
            <w:r>
              <w:rPr>
                <w:rFonts w:ascii="inherit" w:hAnsi="inherit"/>
                <w:sz w:val="13"/>
              </w:rPr>
              <w:t>635</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17,992</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17,999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Acquisition of redeemable noncontrolling interest</w:t>
            </w:r>
          </w:p>
        </w:tc>
        <w:tc>
          <w:tcPr>
            <w:tcW w:w="700" w:type="dxa"/>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45,857</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Release of restricted stock</w:t>
            </w:r>
          </w:p>
        </w:tc>
        <w:tc>
          <w:tcPr>
            <w:tcW w:w="700" w:type="dxa"/>
            <w:tcBorders/>
            <w:shd w:fill="auto" w:val="clear"/>
            <w:vAlign w:val="center"/>
          </w:tcPr>
          <w:p>
            <w:pPr>
              <w:pStyle w:val="TableContents"/>
              <w:spacing w:before="0" w:after="0"/>
              <w:jc w:val="right"/>
              <w:rPr>
                <w:rFonts w:ascii="inherit" w:hAnsi="inherit"/>
                <w:sz w:val="13"/>
              </w:rPr>
            </w:pPr>
            <w:r>
              <w:rPr>
                <w:rFonts w:ascii="inherit" w:hAnsi="inherit"/>
                <w:sz w:val="13"/>
              </w:rPr>
              <w:t>159</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Excess tax benefit from stock compensation</w:t>
            </w:r>
          </w:p>
        </w:tc>
        <w:tc>
          <w:tcPr>
            <w:tcW w:w="700" w:type="dxa"/>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2</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1,580</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1,582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Taxes paid related to net share settlement of equity awards</w:t>
            </w:r>
          </w:p>
        </w:tc>
        <w:tc>
          <w:tcPr>
            <w:tcW w:w="700" w:type="dxa"/>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(1,153</w:t>
            </w:r>
          </w:p>
        </w:tc>
        <w:tc>
          <w:tcPr>
            <w:tcW w:w="13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(1,153</w:t>
            </w:r>
          </w:p>
        </w:tc>
        <w:tc>
          <w:tcPr>
            <w:tcW w:w="15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pPr>
            <w:r>
              <w:rPr/>
              <w:t>—</w:t>
            </w:r>
          </w:p>
        </w:tc>
        <w:tc>
          <w:tcPr>
            <w:tcW w:w="53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Unrealized (loss) on available-for-sale securities</w:t>
            </w:r>
          </w:p>
        </w:tc>
        <w:tc>
          <w:tcPr>
            <w:tcW w:w="700" w:type="dxa"/>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(550</w:t>
            </w:r>
          </w:p>
        </w:tc>
        <w:tc>
          <w:tcPr>
            <w:tcW w:w="199"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(550</w:t>
            </w:r>
          </w:p>
        </w:tc>
        <w:tc>
          <w:tcPr>
            <w:tcW w:w="151"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Foreign currency translation adjustment</w:t>
            </w:r>
          </w:p>
        </w:tc>
        <w:tc>
          <w:tcPr>
            <w:tcW w:w="700" w:type="dxa"/>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shd w:fill="auto" w:val="clear"/>
            <w:vAlign w:val="center"/>
          </w:tcPr>
          <w:p>
            <w:pPr>
              <w:pStyle w:val="TableContents"/>
              <w:spacing w:before="0" w:after="0"/>
              <w:jc w:val="right"/>
              <w:rPr/>
            </w:pPr>
            <w:r>
              <w:rPr/>
              <w:t>—</w:t>
            </w:r>
          </w:p>
        </w:tc>
        <w:tc>
          <w:tcPr>
            <w:tcW w:w="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13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shd w:fill="auto" w:val="clear"/>
            <w:vAlign w:val="center"/>
          </w:tcPr>
          <w:p>
            <w:pPr>
              <w:pStyle w:val="TableContents"/>
              <w:spacing w:before="0" w:after="0"/>
              <w:jc w:val="right"/>
              <w:rPr/>
            </w:pPr>
            <w:r>
              <w:rPr/>
              <w:t>—</w:t>
            </w:r>
          </w:p>
        </w:tc>
        <w:tc>
          <w:tcPr>
            <w:tcW w:w="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(7,327</w:t>
            </w:r>
          </w:p>
        </w:tc>
        <w:tc>
          <w:tcPr>
            <w:tcW w:w="199"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(7,327</w:t>
            </w:r>
          </w:p>
        </w:tc>
        <w:tc>
          <w:tcPr>
            <w:tcW w:w="151"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shd w:fill="auto" w:val="clear"/>
            <w:vAlign w:val="center"/>
          </w:tcPr>
          <w:p>
            <w:pPr>
              <w:pStyle w:val="TableContents"/>
              <w:spacing w:before="0" w:after="0"/>
              <w:jc w:val="right"/>
              <w:rPr>
                <w:rFonts w:ascii="inherit" w:hAnsi="inherit"/>
                <w:sz w:val="13"/>
              </w:rPr>
            </w:pPr>
            <w:r>
              <w:rPr>
                <w:rFonts w:ascii="inherit" w:hAnsi="inherit"/>
                <w:sz w:val="13"/>
              </w:rPr>
              <w:t>(2,293</w:t>
            </w:r>
          </w:p>
        </w:tc>
        <w:tc>
          <w:tcPr>
            <w:tcW w:w="530" w:type="dxa"/>
            <w:tcBorders/>
            <w:shd w:fill="auto" w:val="clear"/>
            <w:vAlign w:val="center"/>
          </w:tcPr>
          <w:p>
            <w:pPr>
              <w:pStyle w:val="TableContents"/>
              <w:spacing w:before="0" w:after="0"/>
              <w:ind w:left="0" w:right="0" w:firstLine="420"/>
              <w:jc w:val="left"/>
              <w:rPr>
                <w:rFonts w:ascii="inherit" w:hAnsi="inherit"/>
                <w:sz w:val="13"/>
              </w:rPr>
            </w:pPr>
            <w:r>
              <w:rPr>
                <w:rFonts w:ascii="inherit" w:hAnsi="inherit"/>
                <w:sz w:val="13"/>
              </w:rPr>
              <w:t>)</w:t>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EZCORP, Inc.</w:t>
            </w:r>
          </w:p>
        </w:tc>
        <w:tc>
          <w:tcPr>
            <w:tcW w:w="700" w:type="dxa"/>
            <w:tcBorders/>
            <w:shd w:fill="CCEEFF" w:val="clear"/>
            <w:vAlign w:val="center"/>
          </w:tcPr>
          <w:p>
            <w:pPr>
              <w:pStyle w:val="TableContents"/>
              <w:spacing w:before="0" w:after="0"/>
              <w:jc w:val="right"/>
              <w:rPr/>
            </w:pPr>
            <w:r>
              <w:rPr/>
              <w:t>—</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49" w:type="dxa"/>
            <w:gridSpan w:val="2"/>
            <w:tcBorders/>
            <w:shd w:fill="CCEEFF" w:val="clear"/>
            <w:vAlign w:val="center"/>
          </w:tcPr>
          <w:p>
            <w:pPr>
              <w:pStyle w:val="TableContents"/>
              <w:spacing w:before="0" w:after="0"/>
              <w:jc w:val="right"/>
              <w:rPr/>
            </w:pPr>
            <w:r>
              <w:rPr/>
              <w:t>—</w:t>
            </w:r>
          </w:p>
        </w:tc>
        <w:tc>
          <w:tcPr>
            <w:tcW w:w="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pPr>
            <w:r>
              <w:rPr/>
              <w:t>—</w:t>
            </w:r>
          </w:p>
        </w:tc>
        <w:tc>
          <w:tcPr>
            <w:tcW w:w="13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89"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105,136</w:t>
            </w:r>
          </w:p>
        </w:tc>
        <w:tc>
          <w:tcPr>
            <w:tcW w:w="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192" w:type="dxa"/>
            <w:gridSpan w:val="2"/>
            <w:tcBorders/>
            <w:shd w:fill="CCEEFF" w:val="clear"/>
            <w:vAlign w:val="center"/>
          </w:tcPr>
          <w:p>
            <w:pPr>
              <w:pStyle w:val="TableContents"/>
              <w:spacing w:before="0" w:after="0"/>
              <w:jc w:val="right"/>
              <w:rPr/>
            </w:pPr>
            <w:r>
              <w:rPr/>
              <w:t>—</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015" w:type="dxa"/>
            <w:gridSpan w:val="2"/>
            <w:tcBorders/>
            <w:shd w:fill="CCEEFF" w:val="clear"/>
            <w:vAlign w:val="center"/>
          </w:tcPr>
          <w:p>
            <w:pPr>
              <w:pStyle w:val="TableContents"/>
              <w:spacing w:before="0" w:after="0"/>
              <w:jc w:val="right"/>
              <w:rPr>
                <w:rFonts w:ascii="inherit" w:hAnsi="inherit"/>
                <w:sz w:val="13"/>
              </w:rPr>
            </w:pPr>
            <w:r>
              <w:rPr>
                <w:rFonts w:ascii="inherit" w:hAnsi="inherit"/>
                <w:sz w:val="13"/>
              </w:rPr>
              <w:t>105,136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830" w:type="dxa"/>
            <w:gridSpan w:val="2"/>
            <w:tcBorders/>
            <w:shd w:fill="CCEEFF" w:val="clear"/>
            <w:vAlign w:val="center"/>
          </w:tcPr>
          <w:p>
            <w:pPr>
              <w:pStyle w:val="TableContents"/>
              <w:spacing w:before="0" w:after="0"/>
              <w:jc w:val="right"/>
              <w:rPr/>
            </w:pPr>
            <w:r>
              <w:rPr/>
              <w:t>—</w:t>
            </w:r>
          </w:p>
        </w:tc>
        <w:tc>
          <w:tcPr>
            <w:tcW w:w="53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1982"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Net income attributable to redeemable noncontrolling interest</w:t>
            </w:r>
          </w:p>
        </w:tc>
        <w:tc>
          <w:tcPr>
            <w:tcW w:w="700" w:type="dxa"/>
            <w:tcBorders>
              <w:bottom w:val="single" w:sz="2" w:space="0" w:color="000000"/>
            </w:tcBorders>
            <w:shd w:fill="auto" w:val="clear"/>
            <w:tcMar>
              <w:bottom w:w="30" w:type="dxa"/>
            </w:tcMar>
            <w:vAlign w:val="center"/>
          </w:tcPr>
          <w:p>
            <w:pPr>
              <w:pStyle w:val="TableContents"/>
              <w:spacing w:before="0" w:after="0"/>
              <w:jc w:val="right"/>
              <w:rPr/>
            </w:pPr>
            <w:r>
              <w:rPr/>
              <w:t>—</w:t>
            </w:r>
          </w:p>
        </w:tc>
        <w:tc>
          <w:tcPr>
            <w:tcW w:w="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4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8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1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101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auto" w:val="clear"/>
            <w:vAlign w:val="center"/>
          </w:tcPr>
          <w:p>
            <w:pPr>
              <w:pStyle w:val="TableContents"/>
              <w:spacing w:before="0" w:after="0"/>
              <w:ind w:left="0" w:right="0" w:firstLine="30"/>
              <w:rPr/>
            </w:pPr>
            <w:r>
              <w:rPr/>
              <w:t> </w:t>
            </w:r>
          </w:p>
        </w:tc>
        <w:tc>
          <w:tcPr>
            <w:tcW w:w="83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3"/>
              </w:rPr>
            </w:pPr>
            <w:r>
              <w:rPr>
                <w:rFonts w:ascii="inherit" w:hAnsi="inherit"/>
                <w:sz w:val="13"/>
              </w:rPr>
              <w:t>1,300</w:t>
            </w:r>
          </w:p>
        </w:tc>
        <w:tc>
          <w:tcPr>
            <w:tcW w:w="53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982" w:type="dxa"/>
            <w:tcBorders/>
            <w:shd w:fill="CCEEFF" w:val="clear"/>
            <w:vAlign w:val="center"/>
          </w:tcPr>
          <w:p>
            <w:pPr>
              <w:pStyle w:val="TableContents"/>
              <w:spacing w:before="0" w:after="0"/>
              <w:ind w:left="0" w:right="0" w:firstLine="30"/>
              <w:jc w:val="left"/>
              <w:rPr>
                <w:rFonts w:ascii="inherit" w:hAnsi="inherit"/>
                <w:sz w:val="13"/>
              </w:rPr>
            </w:pPr>
            <w:r>
              <w:rPr>
                <w:rFonts w:ascii="inherit" w:hAnsi="inherit"/>
                <w:sz w:val="13"/>
              </w:rPr>
              <w:t>Balances at June 30, 2012</w:t>
            </w:r>
          </w:p>
        </w:tc>
        <w:tc>
          <w:tcPr>
            <w:tcW w:w="70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51,194</w:t>
            </w:r>
          </w:p>
        </w:tc>
        <w:tc>
          <w:tcPr>
            <w:tcW w:w="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20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64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512</w:t>
            </w:r>
          </w:p>
        </w:tc>
        <w:tc>
          <w:tcPr>
            <w:tcW w:w="7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3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266,653</w:t>
            </w:r>
          </w:p>
        </w:tc>
        <w:tc>
          <w:tcPr>
            <w:tcW w:w="13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3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5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527,231</w:t>
            </w:r>
          </w:p>
        </w:tc>
        <w:tc>
          <w:tcPr>
            <w:tcW w:w="5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9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99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3"/>
              </w:rPr>
            </w:pPr>
            <w:r>
              <w:rPr>
                <w:rFonts w:ascii="inherit" w:hAnsi="inherit"/>
                <w:sz w:val="13"/>
              </w:rPr>
              <w:t>(8,623</w:t>
            </w:r>
          </w:p>
        </w:tc>
        <w:tc>
          <w:tcPr>
            <w:tcW w:w="19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w:t>
            </w:r>
          </w:p>
        </w:tc>
        <w:tc>
          <w:tcPr>
            <w:tcW w:w="111" w:type="dxa"/>
            <w:tcBorders/>
            <w:shd w:fill="CCEEFF" w:val="clear"/>
            <w:vAlign w:val="center"/>
          </w:tcPr>
          <w:p>
            <w:pPr>
              <w:pStyle w:val="TableContents"/>
              <w:spacing w:before="0" w:after="0"/>
              <w:ind w:left="0" w:right="0" w:firstLine="30"/>
              <w:rPr/>
            </w:pPr>
            <w:r>
              <w:rPr/>
              <w:t> </w:t>
            </w:r>
          </w:p>
        </w:tc>
        <w:tc>
          <w:tcPr>
            <w:tcW w:w="14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866"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785,773</w:t>
            </w:r>
          </w:p>
        </w:tc>
        <w:tc>
          <w:tcPr>
            <w:tcW w:w="151"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1" w:type="dxa"/>
            <w:tcBorders/>
            <w:shd w:fill="CCEEFF" w:val="clear"/>
            <w:vAlign w:val="center"/>
          </w:tcPr>
          <w:p>
            <w:pPr>
              <w:pStyle w:val="TableContents"/>
              <w:spacing w:before="0" w:after="0"/>
              <w:ind w:left="0" w:right="0" w:firstLine="30"/>
              <w:rPr/>
            </w:pPr>
            <w:r>
              <w:rPr/>
              <w:t> </w:t>
            </w:r>
          </w:p>
        </w:tc>
        <w:tc>
          <w:tcPr>
            <w:tcW w:w="13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3"/>
              </w:rPr>
            </w:pPr>
            <w:r>
              <w:rPr>
                <w:rFonts w:ascii="inherit" w:hAnsi="inherit"/>
                <w:sz w:val="13"/>
              </w:rPr>
              <w:t>$</w:t>
            </w:r>
          </w:p>
        </w:tc>
        <w:tc>
          <w:tcPr>
            <w:tcW w:w="700"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3"/>
              </w:rPr>
            </w:pPr>
            <w:r>
              <w:rPr>
                <w:rFonts w:ascii="inherit" w:hAnsi="inherit"/>
                <w:sz w:val="13"/>
              </w:rPr>
              <w:t>44,864</w:t>
            </w:r>
          </w:p>
        </w:tc>
        <w:tc>
          <w:tcPr>
            <w:tcW w:w="530"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5"/>
        </w:rPr>
      </w:pPr>
      <w:r>
        <w:rPr>
          <w:rFonts w:ascii="inherit" w:hAnsi="inherit"/>
          <w:sz w:val="15"/>
        </w:rPr>
        <w:t>See accompanying notes to interim condensed consolidated financial statements (unaudited).</w:t>
      </w:r>
    </w:p>
    <w:p>
      <w:pPr>
        <w:pStyle w:val="TextBody"/>
        <w:spacing w:lineRule="auto" w:line="288" w:before="0" w:after="0"/>
        <w:jc w:val="left"/>
        <w:rPr>
          <w:rFonts w:ascii="inherit" w:hAnsi="inherit"/>
          <w:sz w:val="13"/>
        </w:rPr>
      </w:pPr>
      <w:r>
        <w:rPr>
          <w:rFonts w:ascii="inherit" w:hAnsi="inherit"/>
          <w:sz w:val="13"/>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w:t>
      </w:r>
      <w:r>
        <w:br w:type="page"/>
      </w:r>
    </w:p>
    <w:p>
      <w:pPr>
        <w:pStyle w:val="TextBody"/>
        <w:spacing w:lineRule="auto" w:line="288" w:before="0" w:after="0"/>
        <w:rPr/>
      </w:pPr>
      <w:hyperlink w:anchor="s1D4031A326A2D05AEEF6A412554D06A6">
        <w:bookmarkStart w:id="12" w:name="s894B149C169C7B8C86B3A41256CCCC27"/>
        <w:bookmarkEnd w:id="12"/>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sz w:val="17"/>
        </w:rPr>
      </w:pPr>
      <w:r>
        <w:rPr>
          <w:rFonts w:ascii="inherit" w:hAnsi="inherit"/>
          <w:b/>
          <w:sz w:val="17"/>
        </w:rPr>
        <w:t>EZCORP, I</w:t>
      </w:r>
      <w:r>
        <w:rPr>
          <w:rFonts w:ascii="inherit" w:hAnsi="inherit"/>
          <w:b/>
          <w:sz w:val="13"/>
        </w:rPr>
        <w:t>NC</w:t>
      </w:r>
      <w:r>
        <w:rPr>
          <w:rFonts w:ascii="inherit" w:hAnsi="inherit"/>
          <w:b/>
          <w:sz w:val="17"/>
        </w:rPr>
        <w:t xml:space="preserve">. </w:t>
      </w:r>
      <w:r>
        <w:rPr>
          <w:rFonts w:ascii="inherit" w:hAnsi="inherit"/>
          <w:b/>
          <w:sz w:val="13"/>
        </w:rPr>
        <w:t>AND</w:t>
      </w:r>
      <w:r>
        <w:rPr>
          <w:sz w:val="17"/>
        </w:rPr>
        <w:t xml:space="preserve"> </w:t>
      </w:r>
      <w:r>
        <w:rPr>
          <w:rFonts w:ascii="inherit" w:hAnsi="inherit"/>
          <w:b/>
          <w:sz w:val="17"/>
        </w:rPr>
        <w:t>S</w:t>
      </w:r>
      <w:r>
        <w:rPr>
          <w:rFonts w:ascii="inherit" w:hAnsi="inherit"/>
          <w:b/>
          <w:sz w:val="13"/>
        </w:rPr>
        <w:t>UBSIDIARIES</w:t>
      </w:r>
    </w:p>
    <w:p>
      <w:pPr>
        <w:pStyle w:val="TextBody"/>
        <w:spacing w:lineRule="auto" w:line="288" w:before="0" w:after="0"/>
        <w:jc w:val="center"/>
        <w:rPr>
          <w:rFonts w:ascii="inherit" w:hAnsi="inherit"/>
          <w:b/>
          <w:sz w:val="17"/>
        </w:rPr>
      </w:pPr>
      <w:r>
        <w:rPr>
          <w:rFonts w:ascii="inherit" w:hAnsi="inherit"/>
          <w:b/>
          <w:sz w:val="17"/>
        </w:rPr>
        <w:t>Notes to Interim Condensed Consolidated Financial Statements (Unaudited)</w:t>
      </w:r>
    </w:p>
    <w:p>
      <w:pPr>
        <w:pStyle w:val="TextBody"/>
        <w:spacing w:lineRule="auto" w:line="288" w:before="0" w:after="0"/>
        <w:jc w:val="center"/>
        <w:rPr>
          <w:sz w:val="17"/>
        </w:rPr>
      </w:pPr>
      <w:r>
        <w:rPr>
          <w:rFonts w:ascii="inherit" w:hAnsi="inherit"/>
          <w:b/>
          <w:strike w:val="false"/>
          <w:dstrike w:val="false"/>
          <w:color w:val="000000"/>
          <w:sz w:val="17"/>
          <w:u w:val="none"/>
          <w:effect w:val="none"/>
        </w:rPr>
        <w:t>June 30, 2012</w:t>
      </w:r>
      <w:r>
        <w:rPr>
          <w:sz w:val="17"/>
        </w:rPr>
        <w:t xml:space="preserve"> </w:t>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13" w:name="s952FE00D7C1C00F9EB68A41247C477F4"/>
      <w:bookmarkEnd w:id="13"/>
      <w:r>
        <w:rPr>
          <w:rFonts w:ascii="inherit" w:hAnsi="inherit"/>
          <w:b/>
          <w:sz w:val="17"/>
        </w:rPr>
        <w:t>Note A: Significant Accounting Policies</w:t>
      </w:r>
    </w:p>
    <w:p>
      <w:pPr>
        <w:pStyle w:val="TextBody"/>
        <w:spacing w:lineRule="auto" w:line="288" w:before="0" w:after="0"/>
        <w:rPr>
          <w:rFonts w:ascii="inherit" w:hAnsi="inherit"/>
          <w:b/>
          <w:sz w:val="17"/>
          <w:u w:val="single"/>
        </w:rPr>
      </w:pPr>
      <w:r>
        <w:rPr>
          <w:rFonts w:ascii="inherit" w:hAnsi="inherit"/>
          <w:b/>
          <w:sz w:val="17"/>
          <w:u w:val="single"/>
        </w:rPr>
        <w:t>Basis of Presentation</w:t>
      </w:r>
    </w:p>
    <w:p>
      <w:pPr>
        <w:pStyle w:val="TextBody"/>
        <w:spacing w:lineRule="auto" w:line="288" w:before="0" w:after="0"/>
        <w:jc w:val="left"/>
        <w:rPr>
          <w:sz w:val="17"/>
        </w:rPr>
      </w:pPr>
      <w:r>
        <w:rPr>
          <w:rFonts w:ascii="inherit" w:hAnsi="inherit"/>
          <w:sz w:val="17"/>
        </w:rPr>
        <w:t xml:space="preserve">The accompanying unaudited interim condensed consolidated financial statements have been prepared in accordance with generally accepted accounting principles for interim financial information and with the instructions to Form 10-Q and Article 10 of Regulation S-X. Accordingly, they do not include all of the information and footnotes required by generally accepted accounting principles for complete financial statements. Our management has included all adjustments it considers necessary for a fair presentation. These adjustments are of a normal, recurring nature except for those related to acquired businesses (described in Note B). The accompanying financial statements should be read with the Notes to Consolidated Financial Statements included in our Annual Report on Form 10-K for the year ended </w:t>
      </w:r>
      <w:r>
        <w:rPr>
          <w:rFonts w:ascii="inherit" w:hAnsi="inherit"/>
          <w:strike w:val="false"/>
          <w:dstrike w:val="false"/>
          <w:color w:val="000000"/>
          <w:sz w:val="17"/>
          <w:u w:val="none"/>
          <w:effect w:val="none"/>
        </w:rPr>
        <w:t>September 30, 2011</w:t>
      </w:r>
      <w:r>
        <w:rPr>
          <w:rFonts w:ascii="inherit" w:hAnsi="inherit"/>
          <w:sz w:val="17"/>
        </w:rPr>
        <w:t xml:space="preserve">. The balance sheet at </w:t>
      </w:r>
      <w:r>
        <w:rPr>
          <w:rFonts w:ascii="inherit" w:hAnsi="inherit"/>
          <w:strike w:val="false"/>
          <w:dstrike w:val="false"/>
          <w:color w:val="000000"/>
          <w:sz w:val="17"/>
          <w:u w:val="none"/>
          <w:effect w:val="none"/>
        </w:rPr>
        <w:t>September 30, 2011</w:t>
      </w:r>
      <w:r>
        <w:rPr>
          <w:sz w:val="17"/>
        </w:rPr>
        <w:t xml:space="preserve"> </w:t>
      </w:r>
      <w:r>
        <w:rPr>
          <w:rFonts w:ascii="inherit" w:hAnsi="inherit"/>
          <w:sz w:val="17"/>
        </w:rPr>
        <w:t xml:space="preserve">has been derived from the audited financial statements at that date but does not include all of the information and footnotes required by generally accepted accounting principles for complete financial statements. Our business is subject to seasonal variations and operating results for the three and nine-month periods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(the “current quarter” and “current nine-month period”) are not necessarily indicative of the results of operations for the full fiscal year.</w:t>
      </w:r>
    </w:p>
    <w:p>
      <w:pPr>
        <w:pStyle w:val="TextBody"/>
        <w:spacing w:lineRule="auto" w:line="288" w:before="0" w:after="0"/>
        <w:rPr>
          <w:sz w:val="17"/>
        </w:rPr>
      </w:pPr>
      <w:r>
        <w:rPr>
          <w:rFonts w:ascii="inherit" w:hAnsi="inherit"/>
          <w:sz w:val="17"/>
        </w:rPr>
        <w:t xml:space="preserve">The consolidated financial statements include the accounts of EZCORP, Inc. and its consolidated subsidiaries. All significant inter-company accounts and transactions have been eliminated in consolidation. We own </w:t>
      </w:r>
      <w:r>
        <w:rPr>
          <w:rFonts w:ascii="Times New Roman" w:hAnsi="Times New Roman"/>
          <w:b w:val="false"/>
          <w:i w:val="false"/>
          <w:caps w:val="false"/>
          <w:smallCaps w:val="false"/>
          <w:strike w:val="false"/>
          <w:dstrike w:val="false"/>
          <w:color w:val="000000"/>
          <w:sz w:val="17"/>
          <w:u w:val="none"/>
          <w:effect w:val="none"/>
        </w:rPr>
        <w:t>60%</w:t>
      </w:r>
      <w:r>
        <w:rPr>
          <w:sz w:val="17"/>
        </w:rPr>
        <w:t xml:space="preserve"> </w:t>
      </w:r>
      <w:r>
        <w:rPr>
          <w:rFonts w:ascii="inherit" w:hAnsi="inherit"/>
          <w:sz w:val="17"/>
        </w:rPr>
        <w:t xml:space="preserve">of the outstanding equity interests in Prestaciones Finmart, S.A.P.I. de C.V., SOFOM, E.N.R. (“Crediamigo”) and </w:t>
      </w:r>
      <w:r>
        <w:rPr>
          <w:rFonts w:ascii="inherit" w:hAnsi="inherit"/>
          <w:strike w:val="false"/>
          <w:dstrike w:val="false"/>
          <w:color w:val="000000"/>
          <w:sz w:val="17"/>
          <w:u w:val="none"/>
          <w:effect w:val="none"/>
        </w:rPr>
        <w:t>72%</w:t>
      </w:r>
      <w:r>
        <w:rPr>
          <w:sz w:val="17"/>
        </w:rPr>
        <w:t xml:space="preserve"> </w:t>
      </w:r>
      <w:r>
        <w:rPr>
          <w:rFonts w:ascii="inherit" w:hAnsi="inherit"/>
          <w:sz w:val="17"/>
        </w:rPr>
        <w:t>of Ariste Holding Limited and its affiliates ("Cash Genie"), and therefore, include their results in our consolidated financial statements. We account for our investments in Albemarle &amp; Bond Holdings, PLC and Cash Converters International Limited using the equity method.</w:t>
      </w:r>
    </w:p>
    <w:p>
      <w:pPr>
        <w:pStyle w:val="TextBody"/>
        <w:spacing w:lineRule="auto" w:line="288" w:before="0" w:after="0"/>
        <w:rPr>
          <w:sz w:val="17"/>
        </w:rPr>
      </w:pPr>
      <w:r>
        <w:rPr>
          <w:rFonts w:ascii="inherit" w:hAnsi="inherit"/>
          <w:sz w:val="17"/>
        </w:rPr>
        <w:t xml:space="preserve">With the exception of the policies described in the section below, there have been no changes in significant accounting policies as described in our Annual Report on Form 10-K for the year ended </w:t>
      </w:r>
      <w:r>
        <w:rPr>
          <w:rFonts w:ascii="inherit" w:hAnsi="inherit"/>
          <w:strike w:val="false"/>
          <w:dstrike w:val="false"/>
          <w:color w:val="000000"/>
          <w:sz w:val="17"/>
          <w:u w:val="none"/>
          <w:effect w:val="none"/>
        </w:rPr>
        <w:t>September 30, 2011</w:t>
      </w:r>
      <w:r>
        <w:rPr>
          <w:rFonts w:ascii="inherit" w:hAnsi="inherit"/>
          <w:sz w:val="17"/>
        </w:rPr>
        <w:t>.</w:t>
      </w:r>
    </w:p>
    <w:p>
      <w:pPr>
        <w:pStyle w:val="TextBody"/>
        <w:spacing w:lineRule="auto" w:line="288" w:before="0" w:after="0"/>
        <w:rPr>
          <w:rFonts w:ascii="inherit" w:hAnsi="inherit"/>
          <w:b/>
          <w:sz w:val="17"/>
          <w:u w:val="single"/>
        </w:rPr>
      </w:pPr>
      <w:r>
        <w:rPr>
          <w:rFonts w:ascii="inherit" w:hAnsi="inherit"/>
          <w:b/>
          <w:sz w:val="17"/>
          <w:u w:val="single"/>
        </w:rPr>
        <w:t>Consumer Loans</w:t>
      </w:r>
    </w:p>
    <w:p>
      <w:pPr>
        <w:pStyle w:val="TextBody"/>
        <w:spacing w:lineRule="auto" w:line="288" w:before="0" w:after="0"/>
        <w:rPr>
          <w:rFonts w:ascii="inherit" w:hAnsi="inherit"/>
          <w:sz w:val="17"/>
        </w:rPr>
      </w:pPr>
      <w:r>
        <w:rPr>
          <w:rFonts w:ascii="inherit" w:hAnsi="inherit"/>
          <w:sz w:val="17"/>
        </w:rPr>
        <w:t>We provide a variety of short-term consumer loans including payday loans, installment loans and auto title loans, and in Texas only, fee-based credit services to customers seeking loans. In Mexico, Crediamigo enters into agreements with employers that permit it to market long-term consumer loans to employees. Payments are withheld by the employers through payroll deductions and remitted to Crediamigo. With the exception of the consolidation of Crediamigo, there have been no changes to our consumer loans policy.</w:t>
      </w:r>
    </w:p>
    <w:p>
      <w:pPr>
        <w:pStyle w:val="TextBody"/>
        <w:spacing w:lineRule="auto" w:line="288" w:before="0" w:after="0"/>
        <w:rPr>
          <w:rFonts w:ascii="inherit" w:hAnsi="inherit"/>
          <w:i/>
          <w:sz w:val="17"/>
        </w:rPr>
      </w:pPr>
      <w:r>
        <w:rPr>
          <w:rFonts w:ascii="inherit" w:hAnsi="inherit"/>
          <w:i/>
          <w:sz w:val="17"/>
        </w:rPr>
        <w:t>Revenue Recognition</w:t>
      </w:r>
    </w:p>
    <w:p>
      <w:pPr>
        <w:pStyle w:val="TextBody"/>
        <w:spacing w:lineRule="auto" w:line="288" w:before="0" w:after="0"/>
        <w:rPr>
          <w:rFonts w:ascii="inherit" w:hAnsi="inherit"/>
          <w:sz w:val="17"/>
        </w:rPr>
      </w:pPr>
      <w:r>
        <w:rPr>
          <w:rFonts w:ascii="inherit" w:hAnsi="inherit"/>
          <w:sz w:val="17"/>
        </w:rPr>
        <w:t>We recognize consumer loan fees related to loans we directly originate based on the percentage of consumer loans made that we believe to be collectible. We earn credit service fees when we assist customers in obtaining consumer loans from unaffiliated lenders, and we recognize the fee revenue ratably over the life of the related loans. We reserve the percentage of interest and credit service fees we expect not to collect. Accrued fees related to defaulted loans reduce fee revenue upon loan default and increase fee revenue upon collection.</w:t>
      </w:r>
    </w:p>
    <w:p>
      <w:pPr>
        <w:pStyle w:val="TextBody"/>
        <w:spacing w:lineRule="auto" w:line="288" w:before="0" w:after="0"/>
        <w:rPr>
          <w:rFonts w:ascii="inherit" w:hAnsi="inherit"/>
          <w:i/>
          <w:sz w:val="17"/>
        </w:rPr>
      </w:pPr>
      <w:r>
        <w:rPr>
          <w:rFonts w:ascii="inherit" w:hAnsi="inherit"/>
          <w:i/>
          <w:sz w:val="17"/>
        </w:rPr>
        <w:t>Allowance for Losses and Bad Debt Expense</w:t>
      </w:r>
    </w:p>
    <w:p>
      <w:pPr>
        <w:pStyle w:val="TextBody"/>
        <w:spacing w:lineRule="auto" w:line="288" w:before="0" w:after="0"/>
        <w:rPr>
          <w:rFonts w:ascii="inherit" w:hAnsi="inherit"/>
          <w:sz w:val="17"/>
        </w:rPr>
      </w:pPr>
      <w:r>
        <w:rPr>
          <w:rFonts w:ascii="inherit" w:hAnsi="inherit"/>
          <w:sz w:val="17"/>
        </w:rPr>
        <w:t>See note K “Allowance for Losses and Credit Quality of Financing Receivables” for a discussion of the Company’s allowance for losses and bad debt expense on consumer loans.</w:t>
      </w:r>
    </w:p>
    <w:p>
      <w:pPr>
        <w:pStyle w:val="TextBody"/>
        <w:spacing w:lineRule="auto" w:line="288" w:before="0" w:after="0"/>
        <w:rPr>
          <w:rFonts w:ascii="inherit" w:hAnsi="inherit"/>
          <w:b/>
          <w:sz w:val="17"/>
          <w:u w:val="single"/>
        </w:rPr>
      </w:pPr>
      <w:r>
        <w:rPr>
          <w:rFonts w:ascii="inherit" w:hAnsi="inherit"/>
          <w:b/>
          <w:sz w:val="17"/>
          <w:u w:val="single"/>
        </w:rPr>
        <w:t>Derivative Instruments and Hedging Activities</w:t>
      </w:r>
    </w:p>
    <w:p>
      <w:pPr>
        <w:pStyle w:val="TextBody"/>
        <w:spacing w:lineRule="auto" w:line="288" w:before="0" w:after="0"/>
        <w:rPr>
          <w:rFonts w:ascii="inherit" w:hAnsi="inherit"/>
          <w:sz w:val="17"/>
        </w:rPr>
      </w:pPr>
      <w:r>
        <w:rPr>
          <w:rFonts w:ascii="inherit" w:hAnsi="inherit"/>
          <w:sz w:val="17"/>
        </w:rPr>
        <w:t xml:space="preserve">We record all derivative instruments according to Financial Accounting Standards Board (“FASB”) Accounting Standards Codification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 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intended to economically hedge certain of our risks, even though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hedge accounting does not apply or we elect not to apply hedge accounting.</w:t>
      </w:r>
    </w:p>
    <w:p>
      <w:pPr>
        <w:pStyle w:val="TextBody"/>
        <w:spacing w:lineRule="auto" w:line="288" w:before="0" w:after="0"/>
        <w:rPr>
          <w:sz w:val="17"/>
        </w:rPr>
      </w:pPr>
      <w:r>
        <w:rPr>
          <w:rFonts w:ascii="inherit" w:hAnsi="inherit"/>
          <w:sz w:val="17"/>
        </w:rPr>
        <w:t xml:space="preserve">We acquire significant amounts of gold either through purchases or from forfeited pawn loan collateral and sell it to refiners. In our first fiscal quarter of </w:t>
      </w:r>
      <w:r>
        <w:rPr>
          <w:rFonts w:ascii="inherit" w:hAnsi="inherit"/>
          <w:strike w:val="false"/>
          <w:dstrike w:val="false"/>
          <w:color w:val="000000"/>
          <w:sz w:val="17"/>
          <w:u w:val="none"/>
          <w:effect w:val="none"/>
        </w:rPr>
        <w:t>2012</w:t>
      </w:r>
      <w:r>
        <w:rPr>
          <w:rFonts w:ascii="inherit" w:hAnsi="inherit"/>
          <w:sz w:val="17"/>
        </w:rPr>
        <w:t>, we began using derivate financial instruments in order to manage our commodity price risk associated with the forecasted sales of gold scrap. From time to time, we purchase put options related to the future market price of gold, and simultaneously, we sell a call option for the same future period for a premium to offset the cost of the put. The combined put and call options, or collar, has the effect of providing us protection from the future downward gold price movement but also limits the extent we can participate in future upward price movement. These collars are not designated as hedges as they do not meet the hedge accounting requirements FASB ASC 851-20-25. The fair value of the derivative instruments is recognized in “Prepaid expenses and other assets” in the consolidated balance sheets and changes in fair value are recognized in “Other” in our consolidated statements of operations.</w:t>
      </w:r>
    </w:p>
    <w:p>
      <w:pPr>
        <w:pStyle w:val="TextBody"/>
        <w:spacing w:lineRule="auto" w:line="288" w:before="0" w:after="0"/>
        <w:rPr>
          <w:rFonts w:ascii="inherit" w:hAnsi="inherit"/>
          <w:b/>
          <w:sz w:val="17"/>
          <w:u w:val="single"/>
        </w:rPr>
      </w:pPr>
      <w:r>
        <w:rPr>
          <w:rFonts w:ascii="inherit" w:hAnsi="inherit"/>
          <w:b/>
          <w:sz w:val="17"/>
          <w:u w:val="single"/>
        </w:rPr>
        <w:t>Reclassifications</w:t>
      </w:r>
    </w:p>
    <w:p>
      <w:pPr>
        <w:pStyle w:val="TextBody"/>
        <w:spacing w:lineRule="auto" w:line="288" w:before="0" w:after="0"/>
        <w:rPr>
          <w:sz w:val="17"/>
        </w:rPr>
      </w:pPr>
      <w:r>
        <w:rPr>
          <w:rFonts w:ascii="inherit" w:hAnsi="inherit"/>
          <w:sz w:val="17"/>
        </w:rPr>
        <w:t xml:space="preserve">Previously, we reported segment information based primarily on product offerings. Beginning with the second quarter of fiscal </w:t>
      </w:r>
      <w:r>
        <w:rPr>
          <w:rFonts w:ascii="inherit" w:hAnsi="inherit"/>
          <w:strike w:val="false"/>
          <w:dstrike w:val="false"/>
          <w:color w:val="000000"/>
          <w:sz w:val="17"/>
          <w:u w:val="none"/>
          <w:effect w:val="none"/>
        </w:rPr>
        <w:t>2012</w:t>
      </w:r>
      <w:r>
        <w:rPr>
          <w:rFonts w:ascii="inherit" w:hAnsi="inherit"/>
          <w:sz w:val="17"/>
        </w:rPr>
        <w:t>,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items including administrative expenses, depreciation and amortization, interest and our equity in the net income of unconsolidated affiliates. When practical, these items are allocated to segments. Interest is also allocated to operating segments when debt is incurred at the local country level and is non-recourse to EZCORP, Inc. These items are now included in the segment’s measure of profit or loss (“segment contribution”). Expenses that cannot be allocated are included as corporate expenses.</w:t>
      </w:r>
    </w:p>
    <w:p>
      <w:pPr>
        <w:pStyle w:val="TextBody"/>
        <w:spacing w:lineRule="auto" w:line="288" w:before="0" w:after="0"/>
        <w:rPr>
          <w:sz w:val="17"/>
        </w:rPr>
      </w:pPr>
      <w:r>
        <w:rPr>
          <w:rFonts w:ascii="inherit" w:hAnsi="inherit"/>
          <w:sz w:val="17"/>
        </w:rPr>
        <w:t xml:space="preserve">In our second fiscal quarter of </w:t>
      </w:r>
      <w:r>
        <w:rPr>
          <w:rFonts w:ascii="inherit" w:hAnsi="inherit"/>
          <w:strike w:val="false"/>
          <w:dstrike w:val="false"/>
          <w:color w:val="000000"/>
          <w:sz w:val="17"/>
          <w:u w:val="none"/>
          <w:effect w:val="none"/>
        </w:rPr>
        <w:t>2011</w:t>
      </w:r>
      <w:r>
        <w:rPr>
          <w:rFonts w:ascii="inherit" w:hAnsi="inherit"/>
          <w:sz w:val="17"/>
        </w:rPr>
        <w:t>,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w:t>
      </w:r>
    </w:p>
    <w:p>
      <w:pPr>
        <w:pStyle w:val="TextBody"/>
        <w:spacing w:lineRule="auto" w:line="288" w:before="0" w:after="0"/>
        <w:rPr>
          <w:rFonts w:ascii="inherit" w:hAnsi="inherit"/>
          <w:b/>
          <w:sz w:val="17"/>
          <w:u w:val="single"/>
        </w:rPr>
      </w:pPr>
      <w:r>
        <w:rPr>
          <w:rFonts w:ascii="inherit" w:hAnsi="inherit"/>
          <w:b/>
          <w:sz w:val="17"/>
          <w:u w:val="single"/>
        </w:rPr>
        <w:t>Recently Issued Accounting Pronouncements</w:t>
      </w:r>
    </w:p>
    <w:p>
      <w:pPr>
        <w:pStyle w:val="TextBody"/>
        <w:spacing w:lineRule="auto" w:line="288" w:before="0" w:after="0"/>
        <w:rPr>
          <w:sz w:val="17"/>
        </w:rPr>
      </w:pPr>
      <w:r>
        <w:rPr>
          <w:rFonts w:ascii="inherit" w:hAnsi="inherit"/>
          <w:sz w:val="17"/>
        </w:rPr>
        <w:t xml:space="preserve">In July 2012, the FASB issued Accounting Standards Updates ("ASU") 2012-02, </w:t>
      </w:r>
      <w:r>
        <w:rPr>
          <w:rFonts w:ascii="inherit" w:hAnsi="inherit"/>
          <w:i/>
          <w:sz w:val="17"/>
        </w:rPr>
        <w:t xml:space="preserve">Testing Indefinite-Lived Intangible Assets for Impairment. </w:t>
      </w:r>
      <w:r>
        <w:rPr>
          <w:rFonts w:ascii="inherit" w:hAnsi="inherit"/>
          <w:sz w:val="17"/>
        </w:rPr>
        <w:t xml:space="preserve">This update amends FASB ASC 350 (Intangibles – Goodwill and Other) by allowing entities to first assess qualitative factors to determine whether it is necessary to perform a quantitative impairment test. The amendments in this update are effective for annual and interim impairment tests performed for fiscal years beginning on or after </w:t>
      </w:r>
      <w:r>
        <w:rPr>
          <w:rFonts w:ascii="inherit" w:hAnsi="inherit"/>
          <w:strike w:val="false"/>
          <w:dstrike w:val="false"/>
          <w:color w:val="000000"/>
          <w:sz w:val="17"/>
          <w:u w:val="none"/>
          <w:effect w:val="none"/>
        </w:rPr>
        <w:t>September 15, 2012</w:t>
      </w:r>
      <w:r>
        <w:rPr>
          <w:rFonts w:ascii="inherit" w:hAnsi="inherit"/>
          <w:sz w:val="17"/>
        </w:rPr>
        <w:t>. We do not anticipate the adoption of ASU 2012-02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FASB issued ASU 2011-11, </w:t>
      </w:r>
      <w:r>
        <w:rPr>
          <w:rFonts w:ascii="inherit" w:hAnsi="inherit"/>
          <w:i/>
          <w:sz w:val="17"/>
        </w:rPr>
        <w:t>Disclosures about Offsetting Assets and Liabilities.</w:t>
      </w:r>
      <w:r>
        <w:rPr>
          <w:sz w:val="17"/>
        </w:rPr>
        <w:t xml:space="preserve"> </w:t>
      </w:r>
      <w:r>
        <w:rPr>
          <w:rFonts w:ascii="inherit" w:hAnsi="inherit"/>
          <w:sz w:val="17"/>
        </w:rPr>
        <w:t xml:space="preserve">This update, which amends FASB ASC 210 (Balance Sheet), requires entities to disclose information about offsetting and related arrangements and the effect of those arrangements on its financial position. The amendments in ASU 2011-11 enhance disclosures required by FASB ASC 210 by requiring improved information about financial instruments and derivative instruments that are either offset in accordance with FASB ASC 210-20-45 or 815-10-45 or are subject to an enforceable master netting arrangement or similar agreement. ASU 2011-11 is effective for interim and annual periods beginning on or after </w:t>
      </w:r>
      <w:r>
        <w:rPr>
          <w:rFonts w:ascii="inherit" w:hAnsi="inherit"/>
          <w:strike w:val="false"/>
          <w:dstrike w:val="false"/>
          <w:color w:val="000000"/>
          <w:sz w:val="17"/>
          <w:u w:val="none"/>
          <w:effect w:val="none"/>
        </w:rPr>
        <w:t>January 1, 2013</w:t>
      </w:r>
      <w:r>
        <w:rPr>
          <w:rFonts w:ascii="inherit" w:hAnsi="inherit"/>
          <w:sz w:val="17"/>
        </w:rPr>
        <w:t>. Disclosures are required retrospectively for all comparative periods presented. Currently, we do not enter into any right of offset arrangements and we do not anticipate that the adoption of ASU 2011-11 will have a material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September 2011</w:t>
      </w:r>
      <w:r>
        <w:rPr>
          <w:rFonts w:ascii="inherit" w:hAnsi="inherit"/>
          <w:sz w:val="17"/>
        </w:rPr>
        <w:t xml:space="preserve">, the FASB issued ASU 2011-08, </w:t>
      </w:r>
      <w:r>
        <w:rPr>
          <w:rFonts w:ascii="inherit" w:hAnsi="inherit"/>
          <w:i/>
          <w:sz w:val="17"/>
        </w:rPr>
        <w:t>Testing Goodwill for Impairment.</w:t>
      </w:r>
      <w:r>
        <w:rPr>
          <w:sz w:val="17"/>
        </w:rPr>
        <w:t xml:space="preserve"> </w:t>
      </w:r>
      <w:r>
        <w:rPr>
          <w:rFonts w:ascii="inherit" w:hAnsi="inherit"/>
          <w:sz w:val="17"/>
        </w:rPr>
        <w:t xml:space="preserve">This update amends FASB ASC 350 (Intangibles – Goodwill and Other) by allowing entities to first assess qualitative factors to determine whether it is necessary to perform the two-step quantitative goodwill impairment test. The amendments in this update are effective for annual and interim goodwill impairment tests performed for fiscal years beginning on or after </w:t>
      </w:r>
      <w:r>
        <w:rPr>
          <w:rFonts w:ascii="inherit" w:hAnsi="inherit"/>
          <w:strike w:val="false"/>
          <w:dstrike w:val="false"/>
          <w:color w:val="000000"/>
          <w:sz w:val="17"/>
          <w:u w:val="none"/>
          <w:effect w:val="none"/>
        </w:rPr>
        <w:t>December 15, 2011</w:t>
      </w:r>
      <w:r>
        <w:rPr>
          <w:rFonts w:ascii="inherit" w:hAnsi="inherit"/>
          <w:sz w:val="17"/>
        </w:rPr>
        <w:t>. We do not anticipate the adoption of ASU 2011-08 will have a material effect on our financial position, results of operations or cash flows.</w:t>
      </w:r>
    </w:p>
    <w:p>
      <w:pPr>
        <w:pStyle w:val="TextBody"/>
        <w:spacing w:lineRule="auto" w:line="288" w:before="0" w:after="0"/>
        <w:rPr>
          <w:rFonts w:ascii="inherit" w:hAnsi="inherit"/>
          <w:b/>
          <w:sz w:val="17"/>
          <w:u w:val="single"/>
        </w:rPr>
      </w:pPr>
      <w:r>
        <w:rPr>
          <w:rFonts w:ascii="inherit" w:hAnsi="inherit"/>
          <w:b/>
          <w:sz w:val="17"/>
          <w:u w:val="single"/>
        </w:rPr>
        <w:t>Recently Adopted Accounting Pronouncements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May 2011</w:t>
      </w:r>
      <w:r>
        <w:rPr>
          <w:rFonts w:ascii="inherit" w:hAnsi="inherit"/>
          <w:sz w:val="17"/>
        </w:rPr>
        <w:t xml:space="preserve">, the FASB issued ASU 2011-04, </w:t>
      </w:r>
      <w:r>
        <w:rPr>
          <w:rFonts w:ascii="inherit" w:hAnsi="inherit"/>
          <w:i/>
          <w:sz w:val="17"/>
        </w:rPr>
        <w:t>Amendments to Achieve Common Fair Value Measurement and Disclosure Requirements in U.S. Generally Accepted Accounting Principles (“GAAP”) and International Financial Reporting Standards (“IFRS”).</w:t>
      </w:r>
      <w:r>
        <w:rPr>
          <w:sz w:val="17"/>
        </w:rPr>
        <w:t xml:space="preserve"> </w:t>
      </w:r>
      <w:r>
        <w:rPr>
          <w:rFonts w:ascii="inherit" w:hAnsi="inherit"/>
          <w:sz w:val="17"/>
        </w:rPr>
        <w:t xml:space="preserve">This update amends FASB ASC 820 (Fair Value Measurement) by providing common principles and requirements for measuring fair value, as well as similar disclosure requirements between U.S. GAAP and IFRS. It changes certain fair value measurement principles, clarifies the application of existing fair value concepts, and expands disclosure requirements, particularly for Level 3 fair value measurements. ASU 2011-04 is effective for interim and annual periods beginning on or after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7</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trike w:val="false"/>
          <w:dstrike w:val="false"/>
          <w:color w:val="000000"/>
          <w:sz w:val="17"/>
          <w:u w:val="none"/>
          <w:effect w:val="none"/>
        </w:rPr>
        <w:t>December 15, 2011</w:t>
      </w:r>
      <w:r>
        <w:rPr>
          <w:rFonts w:ascii="inherit" w:hAnsi="inherit"/>
          <w:sz w:val="17"/>
        </w:rPr>
        <w:t xml:space="preserve">. We adopted ASU 2011-04 in our interim period beginning </w:t>
      </w:r>
      <w:r>
        <w:rPr>
          <w:rFonts w:ascii="inherit" w:hAnsi="inherit"/>
          <w:strike w:val="false"/>
          <w:dstrike w:val="false"/>
          <w:color w:val="000000"/>
          <w:sz w:val="17"/>
          <w:u w:val="none"/>
          <w:effect w:val="none"/>
        </w:rPr>
        <w:t>January 1, 2012</w:t>
      </w:r>
      <w:r>
        <w:rPr>
          <w:sz w:val="17"/>
        </w:rPr>
        <w:t xml:space="preserve"> </w:t>
      </w:r>
      <w:r>
        <w:rPr>
          <w:rFonts w:ascii="inherit" w:hAnsi="inherit"/>
          <w:sz w:val="17"/>
        </w:rPr>
        <w:t>with no material effect on our financial position, results of operations or cash flows.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2011</w:t>
      </w:r>
      <w:r>
        <w:rPr>
          <w:rFonts w:ascii="inherit" w:hAnsi="inherit"/>
          <w:sz w:val="17"/>
        </w:rPr>
        <w:t xml:space="preserve">, the FASB issued ASU 2011-12, </w:t>
      </w:r>
      <w:r>
        <w:rPr>
          <w:rFonts w:ascii="inherit" w:hAnsi="inherit"/>
          <w:i/>
          <w:sz w:val="17"/>
        </w:rPr>
        <w:t>Deferral of the Effective Date for Amendments to the Presentation of Reclassifications of Items Out of Accumulated Other Comprehensive Income in ASU 2011-05.</w:t>
      </w:r>
      <w:r>
        <w:rPr>
          <w:sz w:val="17"/>
        </w:rPr>
        <w:t xml:space="preserve"> </w:t>
      </w:r>
      <w:r>
        <w:rPr>
          <w:rFonts w:ascii="inherit" w:hAnsi="inherit"/>
          <w:sz w:val="17"/>
        </w:rPr>
        <w:t xml:space="preserve">This update supersedes certain content in ASU 2011-05 </w:t>
      </w:r>
      <w:r>
        <w:rPr>
          <w:rFonts w:ascii="inherit" w:hAnsi="inherit"/>
          <w:i/>
          <w:sz w:val="17"/>
        </w:rPr>
        <w:t>Presentation of Comprehensive Income</w:t>
      </w:r>
      <w:r>
        <w:rPr>
          <w:sz w:val="17"/>
        </w:rPr>
        <w:t xml:space="preserve"> </w:t>
      </w:r>
      <w:r>
        <w:rPr>
          <w:rFonts w:ascii="inherit" w:hAnsi="inherit"/>
          <w:sz w:val="17"/>
        </w:rPr>
        <w:t xml:space="preserve">that requires entities to present on the face of the financial statements reclassification adjustments for items that are reclassified from other comprehensive income to net income in the statements where the components of net income and the components of other comprehensive income are presented. This update is effective for fiscal years, and interim periods within those years, beginning after </w:t>
      </w:r>
      <w:r>
        <w:rPr>
          <w:rFonts w:ascii="inherit" w:hAnsi="inherit"/>
          <w:strike w:val="false"/>
          <w:dstrike w:val="false"/>
          <w:color w:val="000000"/>
          <w:sz w:val="17"/>
          <w:u w:val="none"/>
          <w:effect w:val="none"/>
        </w:rPr>
        <w:t>December 15, 2011</w:t>
      </w:r>
      <w:r>
        <w:rPr>
          <w:rFonts w:ascii="inherit" w:hAnsi="inherit"/>
          <w:sz w:val="17"/>
        </w:rPr>
        <w:t xml:space="preserve">. All other requirements in ASU 2011-05, including the requirement to report comprehensive income in either a single continuous financial statement or in two separate but consecutive financial statements, were not affected by ASU 2011-12. This update is effective for fiscal years beginning on or after </w:t>
      </w:r>
      <w:r>
        <w:rPr>
          <w:rFonts w:ascii="inherit" w:hAnsi="inherit"/>
          <w:strike w:val="false"/>
          <w:dstrike w:val="false"/>
          <w:color w:val="000000"/>
          <w:sz w:val="17"/>
          <w:u w:val="none"/>
          <w:effect w:val="none"/>
        </w:rPr>
        <w:t>December 15, 2011</w:t>
      </w:r>
      <w:r>
        <w:rPr>
          <w:rFonts w:ascii="inherit" w:hAnsi="inherit"/>
          <w:sz w:val="17"/>
        </w:rPr>
        <w:t xml:space="preserve">. We early adopted this amended standard in our fiscal year beginning </w:t>
      </w:r>
      <w:r>
        <w:rPr>
          <w:rFonts w:ascii="inherit" w:hAnsi="inherit"/>
          <w:strike w:val="false"/>
          <w:dstrike w:val="false"/>
          <w:color w:val="000000"/>
          <w:sz w:val="17"/>
          <w:u w:val="none"/>
          <w:effect w:val="none"/>
        </w:rPr>
        <w:t>October 1, 2011</w:t>
      </w:r>
      <w:r>
        <w:rPr>
          <w:sz w:val="17"/>
        </w:rPr>
        <w:t xml:space="preserve"> </w:t>
      </w:r>
      <w:r>
        <w:rPr>
          <w:rFonts w:ascii="inherit" w:hAnsi="inherit"/>
          <w:sz w:val="17"/>
        </w:rPr>
        <w:t>with no effect on our financial position, results of operations or cash flows.</w:t>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December 2010</w:t>
      </w:r>
      <w:r>
        <w:rPr>
          <w:rFonts w:ascii="inherit" w:hAnsi="inherit"/>
          <w:sz w:val="17"/>
        </w:rPr>
        <w:t xml:space="preserve">, the FASB issued ASU 2010-29, </w:t>
      </w:r>
      <w:r>
        <w:rPr>
          <w:rFonts w:ascii="inherit" w:hAnsi="inherit"/>
          <w:i/>
          <w:sz w:val="17"/>
        </w:rPr>
        <w:t>Disclosure of Supplementary Pro Forma Information for Business Combinations</w:t>
      </w:r>
      <w:r>
        <w:rPr>
          <w:rFonts w:ascii="inherit" w:hAnsi="inherit"/>
          <w:sz w:val="17"/>
        </w:rPr>
        <w:t xml:space="preserve">. The amendments in this update specify that, when presenting comparative financial statements, entities should disclose revenue and earnings of the combined entity as though the business combinations that occurred during the current year had occurred as of the beginning of the comparable prior annual reporting period. ASU 2010-29 also expands the supplemental pro forma disclosures to include a description of the nature and amount of material, nonrecurring pro forma adjustments directly attributable to the business combination included in the reported pro forma revenue and earnings. The amendments are effective prospectively for material (on an individual or an aggregate basis) business combinations entered into in fiscal years beginning on or after </w:t>
      </w:r>
      <w:r>
        <w:rPr>
          <w:rFonts w:ascii="inherit" w:hAnsi="inherit"/>
          <w:strike w:val="false"/>
          <w:dstrike w:val="false"/>
          <w:color w:val="000000"/>
          <w:sz w:val="17"/>
          <w:u w:val="none"/>
          <w:effect w:val="none"/>
        </w:rPr>
        <w:t>December 15, 2010</w:t>
      </w:r>
      <w:r>
        <w:rPr>
          <w:rFonts w:ascii="inherit" w:hAnsi="inherit"/>
          <w:sz w:val="17"/>
        </w:rPr>
        <w:t xml:space="preserve">. We adopted this amended standard on </w:t>
      </w:r>
      <w:r>
        <w:rPr>
          <w:rFonts w:ascii="inherit" w:hAnsi="inherit"/>
          <w:strike w:val="false"/>
          <w:dstrike w:val="false"/>
          <w:color w:val="000000"/>
          <w:sz w:val="17"/>
          <w:u w:val="none"/>
          <w:effect w:val="none"/>
        </w:rPr>
        <w:t>October 1, 2011</w:t>
      </w:r>
      <w:r>
        <w:rPr>
          <w:rFonts w:ascii="inherit" w:hAnsi="inherit"/>
          <w:sz w:val="17"/>
        </w:rPr>
        <w:t>, resulting in no effect on our financial position, operations or cash flows.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14" w:name="s5AAB78D13B3286B9886CA41247EE2911"/>
      <w:bookmarkEnd w:id="14"/>
      <w:r>
        <w:rPr>
          <w:rFonts w:ascii="inherit" w:hAnsi="inherit"/>
          <w:b/>
          <w:sz w:val="17"/>
        </w:rPr>
        <w:t>Note B: Acquisitions</w:t>
      </w:r>
    </w:p>
    <w:p>
      <w:pPr>
        <w:pStyle w:val="TextBody"/>
        <w:spacing w:lineRule="auto" w:line="288" w:before="0" w:after="0"/>
        <w:rPr>
          <w:rFonts w:ascii="inherit" w:hAnsi="inherit"/>
          <w:sz w:val="17"/>
          <w:u w:val="single"/>
        </w:rPr>
      </w:pPr>
      <w:r>
        <w:rPr>
          <w:rFonts w:ascii="inherit" w:hAnsi="inherit"/>
          <w:sz w:val="17"/>
          <w:u w:val="single"/>
        </w:rPr>
        <w:t>Crediamigo</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xml:space="preserve">,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interest in Crediamigo, a specialty consumer finance company, headquartered in Mexico City, with </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loan servicing locations throughout the country, for total consideration of </w:t>
      </w:r>
      <w:r>
        <w:rPr>
          <w:rFonts w:ascii="inherit" w:hAnsi="inherit"/>
          <w:strike w:val="false"/>
          <w:dstrike w:val="false"/>
          <w:color w:val="000000"/>
          <w:sz w:val="17"/>
          <w:u w:val="none"/>
          <w:effect w:val="none"/>
        </w:rPr>
        <w:t>$60.1 million</w:t>
      </w:r>
      <w:r>
        <w:rPr>
          <w:rFonts w:ascii="inherit" w:hAnsi="inherit"/>
          <w:sz w:val="17"/>
        </w:rPr>
        <w:t xml:space="preserve">, net of cash acquired. This amount includes contingent consideration related to </w:t>
      </w:r>
      <w:r>
        <w:rPr>
          <w:rFonts w:ascii="inherit" w:hAnsi="inherit"/>
          <w:strike w:val="false"/>
          <w:dstrike w:val="false"/>
          <w:color w:val="000000"/>
          <w:sz w:val="17"/>
          <w:u w:val="none"/>
          <w:effect w:val="none"/>
        </w:rPr>
        <w:t>two</w:t>
      </w:r>
      <w:r>
        <w:rPr>
          <w:sz w:val="17"/>
        </w:rPr>
        <w:t xml:space="preserve"> </w:t>
      </w:r>
      <w:r>
        <w:rPr>
          <w:rFonts w:ascii="inherit" w:hAnsi="inherit"/>
          <w:sz w:val="17"/>
        </w:rPr>
        <w:t xml:space="preserve">earn out payments. If certain financial performance targets are achieved, during calendar years 2012 and 2013, we will make a payment to the sellers of </w:t>
      </w:r>
      <w:r>
        <w:rPr>
          <w:rFonts w:ascii="inherit" w:hAnsi="inherit"/>
          <w:strike w:val="false"/>
          <w:dstrike w:val="false"/>
          <w:color w:val="000000"/>
          <w:sz w:val="17"/>
          <w:u w:val="none"/>
          <w:effect w:val="none"/>
        </w:rPr>
        <w:t>$12.0 million</w:t>
      </w:r>
      <w:r>
        <w:rPr>
          <w:sz w:val="17"/>
        </w:rPr>
        <w:t xml:space="preserve"> </w:t>
      </w:r>
      <w:r>
        <w:rPr>
          <w:rFonts w:ascii="inherit" w:hAnsi="inherit"/>
          <w:sz w:val="17"/>
        </w:rPr>
        <w:t xml:space="preserve">dollars, each year, for a total amount of </w:t>
      </w:r>
      <w:r>
        <w:rPr>
          <w:rFonts w:ascii="inherit" w:hAnsi="inherit"/>
          <w:strike w:val="false"/>
          <w:dstrike w:val="false"/>
          <w:color w:val="000000"/>
          <w:sz w:val="17"/>
          <w:u w:val="none"/>
          <w:effect w:val="none"/>
        </w:rPr>
        <w:t>$24.0 million</w:t>
      </w:r>
      <w:r>
        <w:rPr>
          <w:sz w:val="17"/>
        </w:rPr>
        <w:t xml:space="preserve"> </w:t>
      </w:r>
      <w:r>
        <w:rPr>
          <w:rFonts w:ascii="inherit" w:hAnsi="inherit"/>
          <w:sz w:val="17"/>
        </w:rPr>
        <w:t xml:space="preserve">dollars. The purchase price above includes a fair value amount of </w:t>
      </w:r>
      <w:r>
        <w:rPr>
          <w:rFonts w:ascii="inherit" w:hAnsi="inherit"/>
          <w:strike w:val="false"/>
          <w:dstrike w:val="false"/>
          <w:color w:val="000000"/>
          <w:sz w:val="17"/>
          <w:u w:val="none"/>
          <w:effect w:val="none"/>
        </w:rPr>
        <w:t>$23.0 million</w:t>
      </w:r>
      <w:r>
        <w:rPr>
          <w:sz w:val="17"/>
        </w:rPr>
        <w:t xml:space="preserve"> </w:t>
      </w:r>
      <w:r>
        <w:rPr>
          <w:rFonts w:ascii="inherit" w:hAnsi="inherit"/>
          <w:sz w:val="17"/>
        </w:rPr>
        <w:t>attributable to the contingent consideration payments. This amount was calculated using a probability-weighted discounted cash flow approach, in which all outcomes were successful. The significant inputs used for the valuation are not observable in the market, and thus this fair value measurement represents a Level 3 measurement within the fair value hierarchy.</w:t>
      </w:r>
    </w:p>
    <w:p>
      <w:pPr>
        <w:pStyle w:val="TextBody"/>
        <w:spacing w:lineRule="auto" w:line="288" w:before="0" w:after="0"/>
        <w:rPr>
          <w:sz w:val="17"/>
        </w:rPr>
      </w:pPr>
      <w:r>
        <w:rPr>
          <w:rFonts w:ascii="inherit" w:hAnsi="inherit"/>
          <w:sz w:val="17"/>
        </w:rPr>
        <w:t xml:space="preserve">Pursuant to the Master Transaction Agreement, the sellers have a put option with respect to their remaining shares of Crediamigo. Each seller has the right to sell their Crediamigo shares to EZCORP, Inc., during the exercise period commencing on the </w:t>
      </w:r>
      <w:r>
        <w:rPr>
          <w:rFonts w:ascii="inherit" w:hAnsi="inherit"/>
          <w:strike w:val="false"/>
          <w:dstrike w:val="false"/>
          <w:color w:val="000000"/>
          <w:sz w:val="17"/>
          <w:u w:val="none"/>
          <w:effect w:val="none"/>
        </w:rPr>
        <w:t>second</w:t>
      </w:r>
      <w:r>
        <w:rPr>
          <w:sz w:val="17"/>
        </w:rPr>
        <w:t xml:space="preserve"> </w:t>
      </w:r>
      <w:r>
        <w:rPr>
          <w:rFonts w:ascii="inherit" w:hAnsi="inherit"/>
          <w:sz w:val="17"/>
        </w:rPr>
        <w:t xml:space="preserve">anniversary of the acquisition closing date and ending on the </w:t>
      </w:r>
      <w:r>
        <w:rPr>
          <w:rFonts w:ascii="inherit" w:hAnsi="inherit"/>
          <w:strike w:val="false"/>
          <w:dstrike w:val="false"/>
          <w:color w:val="000000"/>
          <w:sz w:val="17"/>
          <w:u w:val="none"/>
          <w:effect w:val="none"/>
        </w:rPr>
        <w:t>fifth</w:t>
      </w:r>
      <w:r>
        <w:rPr>
          <w:sz w:val="17"/>
        </w:rPr>
        <w:t xml:space="preserve"> </w:t>
      </w:r>
      <w:r>
        <w:rPr>
          <w:rFonts w:ascii="inherit" w:hAnsi="inherit"/>
          <w:sz w:val="17"/>
        </w:rPr>
        <w:t xml:space="preserve">anniversary of the acquisition closing date, with no more than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of the seller’s shares being sold within a consecutive </w:t>
      </w:r>
      <w:r>
        <w:rPr>
          <w:rFonts w:ascii="inherit" w:hAnsi="inherit"/>
          <w:strike w:val="false"/>
          <w:dstrike w:val="false"/>
          <w:color w:val="000000"/>
          <w:sz w:val="17"/>
          <w:u w:val="none"/>
          <w:effect w:val="none"/>
        </w:rPr>
        <w:t>twelve</w:t>
      </w:r>
      <w:r>
        <w:rPr>
          <w:sz w:val="17"/>
        </w:rPr>
        <w:t xml:space="preserve"> </w:t>
      </w:r>
      <w:r>
        <w:rPr>
          <w:rFonts w:ascii="inherit" w:hAnsi="inherit"/>
          <w:sz w:val="17"/>
        </w:rPr>
        <w:t>-month period. Under the guidance in ASC 480-10-S99, securities that are redeemable for cash or other assets are to be classified outside of permanent equity; therefore, we have included the redeemable noncontrolling interest related to Crediamigo in temporary equity.</w:t>
      </w:r>
    </w:p>
    <w:p>
      <w:pPr>
        <w:pStyle w:val="TextBody"/>
        <w:spacing w:lineRule="auto" w:line="288" w:before="0" w:after="0"/>
        <w:rPr>
          <w:sz w:val="17"/>
        </w:rPr>
      </w:pPr>
      <w:r>
        <w:rPr>
          <w:rFonts w:ascii="inherit" w:hAnsi="inherit"/>
          <w:sz w:val="17"/>
        </w:rPr>
        <w:t xml:space="preserve">The fair value of the redeemable noncontrolling interest in Crediamigo was estimated by applying an income approach and a market approach. This fair value measurement is based on significant inputs that are not observable in the market and thus represents a Level 3 measurement. Key assumptions include discount rates ranging from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18%</w:t>
      </w:r>
      <w:r>
        <w:rPr>
          <w:rFonts w:ascii="inherit" w:hAnsi="inherit"/>
          <w:sz w:val="17"/>
        </w:rPr>
        <w:t>, representing discounts for lack of control and lack of marketability that market participants would consider when estimating the fair value of the noncontrolling interest. The fair market value of Crediamigo was determined using a multiple of future earnings.</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ended </w:t>
      </w:r>
      <w:r>
        <w:rPr>
          <w:rFonts w:ascii="inherit" w:hAnsi="inherit"/>
          <w:strike w:val="false"/>
          <w:dstrike w:val="false"/>
          <w:color w:val="000000"/>
          <w:sz w:val="17"/>
          <w:u w:val="none"/>
          <w:effect w:val="none"/>
        </w:rPr>
        <w:t>June 30, 2012</w:t>
      </w:r>
      <w:r>
        <w:rPr>
          <w:rFonts w:ascii="inherit" w:hAnsi="inherit"/>
          <w:sz w:val="17"/>
        </w:rPr>
        <w:t xml:space="preserve">, includes </w:t>
      </w:r>
      <w:r>
        <w:rPr>
          <w:rFonts w:ascii="inherit" w:hAnsi="inherit"/>
          <w:strike w:val="false"/>
          <w:dstrike w:val="false"/>
          <w:color w:val="000000"/>
          <w:sz w:val="17"/>
          <w:u w:val="none"/>
          <w:effect w:val="none"/>
        </w:rPr>
        <w:t>$18.2 million</w:t>
      </w:r>
      <w:r>
        <w:rPr>
          <w:sz w:val="17"/>
        </w:rPr>
        <w:t xml:space="preserve"> </w:t>
      </w:r>
      <w:r>
        <w:rPr>
          <w:rFonts w:ascii="inherit" w:hAnsi="inherit"/>
          <w:sz w:val="17"/>
        </w:rPr>
        <w:t xml:space="preserve">in revenues and </w:t>
      </w:r>
      <w:r>
        <w:rPr>
          <w:rFonts w:ascii="inherit" w:hAnsi="inherit"/>
          <w:strike w:val="false"/>
          <w:dstrike w:val="false"/>
          <w:color w:val="000000"/>
          <w:sz w:val="17"/>
          <w:u w:val="none"/>
          <w:effect w:val="none"/>
        </w:rPr>
        <w:t>$1.9 million</w:t>
      </w:r>
      <w:r>
        <w:rPr>
          <w:sz w:val="17"/>
        </w:rPr>
        <w:t xml:space="preserve"> </w:t>
      </w:r>
      <w:r>
        <w:rPr>
          <w:rFonts w:ascii="inherit" w:hAnsi="inherit"/>
          <w:sz w:val="17"/>
        </w:rPr>
        <w:t>in income related to the Crediamigo acquisition. The purchase price allocation is preliminary as we continue to receive information regarding the acquired assets. We have recorded provisional amounts for certain assets and liabilities for which we have not yet received all information necessary to finalize our assessment.</w:t>
      </w:r>
    </w:p>
    <w:p>
      <w:pPr>
        <w:pStyle w:val="TextBody"/>
        <w:spacing w:lineRule="auto" w:line="288" w:before="0" w:after="0"/>
        <w:rPr>
          <w:rFonts w:ascii="inherit" w:hAnsi="inherit"/>
          <w:sz w:val="17"/>
          <w:u w:val="single"/>
        </w:rPr>
      </w:pPr>
      <w:r>
        <w:rPr>
          <w:rFonts w:ascii="inherit" w:hAnsi="inherit"/>
          <w:sz w:val="17"/>
          <w:u w:val="single"/>
        </w:rPr>
        <w:t>Cash Genie</w:t>
      </w:r>
    </w:p>
    <w:p>
      <w:pPr>
        <w:pStyle w:val="TextBody"/>
        <w:spacing w:lineRule="auto" w:line="288" w:before="0" w:after="0"/>
        <w:rPr>
          <w:sz w:val="17"/>
        </w:rPr>
      </w:pPr>
      <w:r>
        <w:rPr>
          <w:rFonts w:ascii="inherit" w:hAnsi="inherit"/>
          <w:sz w:val="17"/>
        </w:rPr>
        <w:t xml:space="preserve">On April 14, 2012, we acquired a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interest in Ariste Holding Limited and its affiliates, which provides online loans in the U.K under the name "Cash Genie." As this acquisition was individually immaterial, we present its related information, other than information related to the redeemable noncontrolling interest, on a combined basis.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8</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Pursuant to the acquisition agreement, the seller has a put option with respect to his remaining shares of Cash Genie. The seller has the right to sell his Cash Genie shares to EZCORP, Inc, during the exercise period commencing on the </w:t>
      </w:r>
      <w:r>
        <w:rPr>
          <w:rFonts w:ascii="inherit" w:hAnsi="inherit"/>
          <w:strike w:val="false"/>
          <w:dstrike w:val="false"/>
          <w:color w:val="000000"/>
          <w:sz w:val="17"/>
          <w:u w:val="none"/>
          <w:effect w:val="none"/>
        </w:rPr>
        <w:t>second</w:t>
      </w:r>
      <w:r>
        <w:rPr>
          <w:sz w:val="17"/>
        </w:rPr>
        <w:t xml:space="preserve"> </w:t>
      </w:r>
      <w:r>
        <w:rPr>
          <w:rFonts w:ascii="inherit" w:hAnsi="inherit"/>
          <w:sz w:val="17"/>
        </w:rPr>
        <w:t xml:space="preserve">anniversary of the acquisition closing date and ending on the </w:t>
      </w:r>
      <w:r>
        <w:rPr>
          <w:rFonts w:ascii="inherit" w:hAnsi="inherit"/>
          <w:strike w:val="false"/>
          <w:dstrike w:val="false"/>
          <w:color w:val="000000"/>
          <w:sz w:val="17"/>
          <w:u w:val="none"/>
          <w:effect w:val="none"/>
        </w:rPr>
        <w:t>fourth</w:t>
      </w:r>
      <w:r>
        <w:rPr>
          <w:sz w:val="17"/>
        </w:rPr>
        <w:t xml:space="preserve"> </w:t>
      </w:r>
      <w:r>
        <w:rPr>
          <w:rFonts w:ascii="inherit" w:hAnsi="inherit"/>
          <w:sz w:val="17"/>
        </w:rPr>
        <w:t xml:space="preserve">anniversary of the acquisition closing date, with no more than </w:t>
      </w:r>
      <w:r>
        <w:rPr>
          <w:rFonts w:ascii="inherit" w:hAnsi="inherit"/>
          <w:strike w:val="false"/>
          <w:dstrike w:val="false"/>
          <w:color w:val="000000"/>
          <w:sz w:val="17"/>
          <w:u w:val="none"/>
          <w:effect w:val="none"/>
        </w:rPr>
        <w:t>50%</w:t>
      </w:r>
      <w:r>
        <w:rPr>
          <w:sz w:val="17"/>
        </w:rPr>
        <w:t xml:space="preserve"> </w:t>
      </w:r>
      <w:r>
        <w:rPr>
          <w:rFonts w:ascii="inherit" w:hAnsi="inherit"/>
          <w:sz w:val="17"/>
        </w:rPr>
        <w:t xml:space="preserve">of the seller's shares being sold within a consecutive </w:t>
      </w:r>
      <w:r>
        <w:rPr>
          <w:rFonts w:ascii="inherit" w:hAnsi="inherit"/>
          <w:strike w:val="false"/>
          <w:dstrike w:val="false"/>
          <w:color w:val="000000"/>
          <w:sz w:val="17"/>
          <w:u w:val="none"/>
          <w:effect w:val="none"/>
        </w:rPr>
        <w:t>12 month</w:t>
      </w:r>
      <w:r>
        <w:rPr>
          <w:sz w:val="17"/>
        </w:rPr>
        <w:t xml:space="preserve"> </w:t>
      </w:r>
      <w:r>
        <w:rPr>
          <w:rFonts w:ascii="inherit" w:hAnsi="inherit"/>
          <w:sz w:val="17"/>
        </w:rPr>
        <w:t>period. Under the guidance in ASC 480-10-S99, securities that are redeemable for cash or other assets are to be classified outside of permanent equity; therefore, we have included the redeemable noncontrolling interest related to Cash Genie in temporary equity.</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fair value of the Cash Genie redeemable noncontrolling interest was estimated by applying an income and market approach. This fair value measurement is based on significant inputs that are not observable in the market and thus represents a Level 3 measurement. Key assumptions include discount rates ranging from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18%</w:t>
      </w:r>
      <w:r>
        <w:rPr>
          <w:rFonts w:ascii="inherit" w:hAnsi="inherit"/>
          <w:sz w:val="17"/>
        </w:rPr>
        <w:t xml:space="preserve">, representing discounts for lack of control and lack of marketability that market participants would consider when estimating the fair value of the noncontrolling interest. The fair market value of Cash Genie was determined using a multiple of future earnings. </w:t>
      </w:r>
    </w:p>
    <w:p>
      <w:pPr>
        <w:pStyle w:val="TextBody"/>
        <w:spacing w:lineRule="auto" w:line="288" w:before="0" w:after="0"/>
        <w:rPr>
          <w:rFonts w:ascii="inherit" w:hAnsi="inherit"/>
          <w:sz w:val="17"/>
          <w:u w:val="single"/>
        </w:rPr>
      </w:pPr>
      <w:r>
        <w:rPr>
          <w:rFonts w:ascii="inherit" w:hAnsi="inherit"/>
          <w:sz w:val="17"/>
          <w:u w:val="single"/>
        </w:rPr>
        <w:t>Other</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ended </w:t>
      </w:r>
      <w:r>
        <w:rPr>
          <w:rFonts w:ascii="inherit" w:hAnsi="inherit"/>
          <w:strike w:val="false"/>
          <w:dstrike w:val="false"/>
          <w:color w:val="000000"/>
          <w:sz w:val="17"/>
          <w:u w:val="none"/>
          <w:effect w:val="none"/>
        </w:rPr>
        <w:t>June 30, 2012</w:t>
      </w:r>
      <w:r>
        <w:rPr>
          <w:rFonts w:ascii="inherit" w:hAnsi="inherit"/>
          <w:sz w:val="17"/>
        </w:rPr>
        <w:t xml:space="preserve">, includes the acquisition of </w:t>
      </w:r>
      <w:r>
        <w:rPr>
          <w:rFonts w:ascii="inherit" w:hAnsi="inherit"/>
          <w:strike w:val="false"/>
          <w:dstrike w:val="false"/>
          <w:color w:val="000000"/>
          <w:sz w:val="17"/>
          <w:u w:val="none"/>
          <w:effect w:val="none"/>
        </w:rPr>
        <w:t>48</w:t>
      </w:r>
      <w:r>
        <w:rPr>
          <w:sz w:val="17"/>
        </w:rPr>
        <w:t xml:space="preserve"> </w:t>
      </w:r>
      <w:r>
        <w:rPr>
          <w:rFonts w:ascii="inherit" w:hAnsi="inherit"/>
          <w:sz w:val="17"/>
        </w:rPr>
        <w:t xml:space="preserve">locations in the U.S. and </w:t>
      </w:r>
      <w:r>
        <w:rPr>
          <w:rFonts w:ascii="inherit" w:hAnsi="inherit"/>
          <w:strike w:val="false"/>
          <w:dstrike w:val="false"/>
          <w:color w:val="000000"/>
          <w:sz w:val="17"/>
          <w:u w:val="none"/>
          <w:effect w:val="none"/>
        </w:rPr>
        <w:t>one</w:t>
      </w:r>
      <w:r>
        <w:rPr>
          <w:sz w:val="17"/>
        </w:rPr>
        <w:t xml:space="preserve"> </w:t>
      </w:r>
      <w:r>
        <w:rPr>
          <w:rFonts w:ascii="inherit" w:hAnsi="inherit"/>
          <w:sz w:val="17"/>
        </w:rPr>
        <w:t>in Canada. As these acquisitions, were individually immaterial, we present their related information on a combined basis.</w:t>
      </w:r>
    </w:p>
    <w:p>
      <w:pPr>
        <w:pStyle w:val="TextBody"/>
        <w:spacing w:lineRule="auto" w:line="288" w:before="0" w:after="0"/>
        <w:rPr>
          <w:sz w:val="17"/>
        </w:rPr>
      </w:pPr>
      <w:r>
        <w:rPr>
          <w:rFonts w:ascii="inherit" w:hAnsi="inherit"/>
          <w:sz w:val="17"/>
        </w:rPr>
        <w:t xml:space="preserve">The following tables provide information related to the acquisitions of domestic and foreign retail and financial services locations during the </w:t>
      </w:r>
      <w:r>
        <w:rPr>
          <w:rFonts w:ascii="inherit" w:hAnsi="inherit"/>
          <w:strike w:val="false"/>
          <w:dstrike w:val="false"/>
          <w:color w:val="000000"/>
          <w:sz w:val="17"/>
          <w:u w:val="none"/>
          <w:effect w:val="none"/>
        </w:rPr>
        <w:t>nine months ended</w:t>
      </w:r>
      <w:r>
        <w:rPr>
          <w:sz w:val="17"/>
        </w:rPr>
        <w:t xml:space="preserve">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rFonts w:ascii="inherit" w:hAnsi="inherit"/>
          <w:sz w:val="17"/>
        </w:rPr>
        <w:t>:</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6429"/>
        <w:gridCol w:w="1222"/>
        <w:gridCol w:w="123"/>
        <w:gridCol w:w="1257"/>
        <w:gridCol w:w="123"/>
        <w:gridCol w:w="1051"/>
      </w:tblGrid>
      <w:tr>
        <w:trPr/>
        <w:tc>
          <w:tcPr>
            <w:tcW w:w="10205" w:type="dxa"/>
            <w:gridSpan w:val="6"/>
            <w:tcBorders/>
            <w:shd w:fill="auto" w:val="clear"/>
            <w:vAlign w:val="center"/>
          </w:tcPr>
          <w:p>
            <w:pPr>
              <w:pStyle w:val="TableContents"/>
              <w:spacing w:before="0" w:after="283"/>
              <w:rPr>
                <w:sz w:val="4"/>
                <w:szCs w:val="4"/>
              </w:rPr>
            </w:pPr>
            <w:r>
              <w:rPr>
                <w:sz w:val="4"/>
                <w:szCs w:val="4"/>
              </w:rPr>
            </w:r>
          </w:p>
        </w:tc>
      </w:tr>
      <w:tr>
        <w:trPr/>
        <w:tc>
          <w:tcPr>
            <w:tcW w:w="6429"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257"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29" w:type="dxa"/>
            <w:tcBorders/>
            <w:shd w:fill="auto" w:val="clear"/>
            <w:vAlign w:val="center"/>
          </w:tcPr>
          <w:p>
            <w:pPr>
              <w:pStyle w:val="TableContents"/>
              <w:spacing w:before="0" w:after="0"/>
              <w:ind w:left="0" w:right="0" w:firstLine="30"/>
              <w:jc w:val="left"/>
              <w:rPr/>
            </w:pPr>
            <w:r>
              <w:rPr/>
              <w:t> </w:t>
            </w:r>
          </w:p>
        </w:tc>
        <w:tc>
          <w:tcPr>
            <w:tcW w:w="3776" w:type="dxa"/>
            <w:gridSpan w:val="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w:t>
            </w:r>
          </w:p>
        </w:tc>
      </w:tr>
      <w:tr>
        <w:trPr/>
        <w:tc>
          <w:tcPr>
            <w:tcW w:w="6429" w:type="dxa"/>
            <w:tcBorders/>
            <w:shd w:fill="auto" w:val="clear"/>
            <w:vAlign w:val="center"/>
          </w:tcPr>
          <w:p>
            <w:pPr>
              <w:pStyle w:val="TableContents"/>
              <w:spacing w:before="0" w:after="0"/>
              <w:ind w:left="0" w:right="0" w:firstLine="30"/>
              <w:jc w:val="left"/>
              <w:rPr/>
            </w:pPr>
            <w:r>
              <w:rPr/>
              <w:t> </w:t>
            </w:r>
          </w:p>
        </w:tc>
        <w:tc>
          <w:tcPr>
            <w:tcW w:w="26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3" w:type="dxa"/>
            <w:tcBorders/>
            <w:shd w:fill="auto" w:val="clear"/>
            <w:vAlign w:val="center"/>
          </w:tcPr>
          <w:p>
            <w:pPr>
              <w:pStyle w:val="TableContents"/>
              <w:spacing w:before="0" w:after="0"/>
              <w:ind w:left="0" w:right="0" w:firstLine="30"/>
              <w:rPr/>
            </w:pPr>
            <w:r>
              <w:rPr/>
              <w:t> </w:t>
            </w:r>
          </w:p>
        </w:tc>
        <w:tc>
          <w:tcPr>
            <w:tcW w:w="1051"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6429" w:type="dxa"/>
            <w:tcBorders/>
            <w:shd w:fill="auto" w:val="clear"/>
            <w:vAlign w:val="center"/>
          </w:tcPr>
          <w:p>
            <w:pPr>
              <w:pStyle w:val="TableContents"/>
              <w:spacing w:before="0" w:after="0"/>
              <w:ind w:left="0" w:right="0" w:firstLine="30"/>
              <w:jc w:val="left"/>
              <w:rPr/>
            </w:pPr>
            <w:r>
              <w:rPr/>
              <w:t> </w:t>
            </w:r>
          </w:p>
        </w:tc>
        <w:tc>
          <w:tcPr>
            <w:tcW w:w="122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Crediamigo</w:t>
            </w:r>
          </w:p>
        </w:tc>
        <w:tc>
          <w:tcPr>
            <w:tcW w:w="123" w:type="dxa"/>
            <w:tcBorders/>
            <w:shd w:fill="auto" w:val="clear"/>
            <w:vAlign w:val="center"/>
          </w:tcPr>
          <w:p>
            <w:pPr>
              <w:pStyle w:val="TableContents"/>
              <w:spacing w:before="0" w:after="0"/>
              <w:ind w:left="0" w:right="0" w:firstLine="30"/>
              <w:rPr/>
            </w:pPr>
            <w:r>
              <w:rPr/>
              <w:t> </w:t>
            </w:r>
          </w:p>
        </w:tc>
        <w:tc>
          <w:tcPr>
            <w:tcW w:w="1257"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Other  Acquisitions</w:t>
            </w:r>
          </w:p>
        </w:tc>
        <w:tc>
          <w:tcPr>
            <w:tcW w:w="123" w:type="dxa"/>
            <w:tcBorders/>
            <w:shd w:fill="auto" w:val="clear"/>
            <w:vAlign w:val="center"/>
          </w:tcPr>
          <w:p>
            <w:pPr>
              <w:pStyle w:val="TableContents"/>
              <w:spacing w:before="0" w:after="0"/>
              <w:ind w:left="0" w:right="0" w:firstLine="30"/>
              <w:rPr/>
            </w:pPr>
            <w:r>
              <w:rPr/>
              <w:t> </w:t>
            </w:r>
          </w:p>
        </w:tc>
        <w:tc>
          <w:tcPr>
            <w:tcW w:w="1051" w:type="dxa"/>
            <w:tcBorders/>
            <w:shd w:fill="auto" w:val="clear"/>
            <w:vAlign w:val="center"/>
          </w:tcPr>
          <w:p>
            <w:pPr>
              <w:pStyle w:val="TableContents"/>
              <w:spacing w:before="0" w:after="0"/>
              <w:ind w:left="0" w:right="0" w:firstLine="30"/>
              <w:jc w:val="left"/>
              <w:rPr/>
            </w:pPr>
            <w:r>
              <w:rPr/>
              <w:t> </w:t>
            </w:r>
          </w:p>
        </w:tc>
      </w:tr>
      <w:tr>
        <w:trPr/>
        <w:tc>
          <w:tcPr>
            <w:tcW w:w="64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Number of asset purchase acquisitions</w:t>
            </w:r>
          </w:p>
        </w:tc>
        <w:tc>
          <w:tcPr>
            <w:tcW w:w="122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0</w:t>
            </w:r>
          </w:p>
        </w:tc>
        <w:tc>
          <w:tcPr>
            <w:tcW w:w="123" w:type="dxa"/>
            <w:tcBorders/>
            <w:shd w:fill="CCEEFF" w:val="clear"/>
            <w:vAlign w:val="center"/>
          </w:tcPr>
          <w:p>
            <w:pPr>
              <w:pStyle w:val="TableContents"/>
              <w:spacing w:before="0" w:after="0"/>
              <w:ind w:left="0" w:right="0" w:firstLine="30"/>
              <w:rPr/>
            </w:pPr>
            <w:r>
              <w:rPr/>
              <w:t> </w:t>
            </w:r>
          </w:p>
        </w:tc>
        <w:tc>
          <w:tcPr>
            <w:tcW w:w="1257"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6</w:t>
            </w:r>
          </w:p>
        </w:tc>
        <w:tc>
          <w:tcPr>
            <w:tcW w:w="123" w:type="dxa"/>
            <w:tcBorders/>
            <w:shd w:fill="CCEEFF" w:val="clear"/>
            <w:vAlign w:val="center"/>
          </w:tcPr>
          <w:p>
            <w:pPr>
              <w:pStyle w:val="TableContents"/>
              <w:spacing w:before="0" w:after="0"/>
              <w:ind w:left="0" w:right="0" w:firstLine="30"/>
              <w:rPr/>
            </w:pPr>
            <w:r>
              <w:rPr/>
              <w:t> </w:t>
            </w:r>
          </w:p>
        </w:tc>
        <w:tc>
          <w:tcPr>
            <w:tcW w:w="1051"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7</w:t>
            </w:r>
          </w:p>
        </w:tc>
      </w:tr>
      <w:tr>
        <w:trPr/>
        <w:tc>
          <w:tcPr>
            <w:tcW w:w="64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Number of stock purchase acquisitions</w:t>
            </w:r>
          </w:p>
        </w:tc>
        <w:tc>
          <w:tcPr>
            <w:tcW w:w="1222"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rPr/>
            </w:pPr>
            <w:r>
              <w:rPr/>
              <w:t> </w:t>
            </w:r>
          </w:p>
        </w:tc>
        <w:tc>
          <w:tcPr>
            <w:tcW w:w="1257"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4</w:t>
            </w:r>
          </w:p>
        </w:tc>
        <w:tc>
          <w:tcPr>
            <w:tcW w:w="123" w:type="dxa"/>
            <w:tcBorders/>
            <w:shd w:fill="auto" w:val="clear"/>
            <w:vAlign w:val="center"/>
          </w:tcPr>
          <w:p>
            <w:pPr>
              <w:pStyle w:val="TableContents"/>
              <w:spacing w:before="0" w:after="0"/>
              <w:ind w:left="0" w:right="0" w:firstLine="30"/>
              <w:rPr/>
            </w:pPr>
            <w:r>
              <w:rPr/>
              <w:t> </w:t>
            </w:r>
          </w:p>
        </w:tc>
        <w:tc>
          <w:tcPr>
            <w:tcW w:w="1051"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3</w:t>
            </w:r>
          </w:p>
        </w:tc>
      </w:tr>
      <w:tr>
        <w:trPr/>
        <w:tc>
          <w:tcPr>
            <w:tcW w:w="64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U.S. stores acquired</w:t>
            </w:r>
          </w:p>
        </w:tc>
        <w:tc>
          <w:tcPr>
            <w:tcW w:w="1222"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0</w:t>
            </w:r>
          </w:p>
        </w:tc>
        <w:tc>
          <w:tcPr>
            <w:tcW w:w="123" w:type="dxa"/>
            <w:tcBorders/>
            <w:shd w:fill="CCEEFF" w:val="clear"/>
            <w:vAlign w:val="center"/>
          </w:tcPr>
          <w:p>
            <w:pPr>
              <w:pStyle w:val="TableContents"/>
              <w:spacing w:before="0" w:after="0"/>
              <w:ind w:left="0" w:right="0" w:firstLine="30"/>
              <w:rPr/>
            </w:pPr>
            <w:r>
              <w:rPr/>
              <w:t> </w:t>
            </w:r>
          </w:p>
        </w:tc>
        <w:tc>
          <w:tcPr>
            <w:tcW w:w="1257"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48</w:t>
            </w:r>
          </w:p>
        </w:tc>
        <w:tc>
          <w:tcPr>
            <w:tcW w:w="123" w:type="dxa"/>
            <w:tcBorders/>
            <w:shd w:fill="CCEEFF" w:val="clear"/>
            <w:vAlign w:val="center"/>
          </w:tcPr>
          <w:p>
            <w:pPr>
              <w:pStyle w:val="TableContents"/>
              <w:spacing w:before="0" w:after="0"/>
              <w:ind w:left="0" w:right="0" w:firstLine="30"/>
              <w:rPr/>
            </w:pPr>
            <w:r>
              <w:rPr/>
              <w:t> </w:t>
            </w:r>
          </w:p>
        </w:tc>
        <w:tc>
          <w:tcPr>
            <w:tcW w:w="1051" w:type="dxa"/>
            <w:tcBorders/>
            <w:shd w:fill="CCEEFF" w:val="clear"/>
            <w:vAlign w:val="center"/>
          </w:tcPr>
          <w:p>
            <w:pPr>
              <w:pStyle w:val="TableContents"/>
              <w:spacing w:before="0" w:after="0"/>
              <w:ind w:left="0" w:right="0" w:firstLine="30"/>
              <w:jc w:val="right"/>
              <w:rPr>
                <w:rFonts w:ascii="inherit" w:hAnsi="inherit"/>
                <w:sz w:val="17"/>
              </w:rPr>
            </w:pPr>
            <w:r>
              <w:rPr>
                <w:rFonts w:ascii="inherit" w:hAnsi="inherit"/>
                <w:sz w:val="17"/>
              </w:rPr>
              <w:t>32</w:t>
            </w:r>
          </w:p>
        </w:tc>
      </w:tr>
      <w:tr>
        <w:trPr/>
        <w:tc>
          <w:tcPr>
            <w:tcW w:w="642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stores acquired</w:t>
            </w:r>
          </w:p>
        </w:tc>
        <w:tc>
          <w:tcPr>
            <w:tcW w:w="1222"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123" w:type="dxa"/>
            <w:tcBorders/>
            <w:shd w:fill="auto" w:val="clear"/>
            <w:vAlign w:val="center"/>
          </w:tcPr>
          <w:p>
            <w:pPr>
              <w:pStyle w:val="TableContents"/>
              <w:spacing w:before="0" w:after="0"/>
              <w:ind w:left="0" w:right="0" w:firstLine="30"/>
              <w:rPr/>
            </w:pPr>
            <w:r>
              <w:rPr/>
              <w:t> </w:t>
            </w:r>
          </w:p>
        </w:tc>
        <w:tc>
          <w:tcPr>
            <w:tcW w:w="1257"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1</w:t>
            </w:r>
          </w:p>
        </w:tc>
        <w:tc>
          <w:tcPr>
            <w:tcW w:w="123" w:type="dxa"/>
            <w:tcBorders/>
            <w:shd w:fill="auto" w:val="clear"/>
            <w:vAlign w:val="center"/>
          </w:tcPr>
          <w:p>
            <w:pPr>
              <w:pStyle w:val="TableContents"/>
              <w:spacing w:before="0" w:after="0"/>
              <w:ind w:left="0" w:right="0" w:firstLine="30"/>
              <w:rPr/>
            </w:pPr>
            <w:r>
              <w:rPr/>
              <w:t> </w:t>
            </w:r>
          </w:p>
        </w:tc>
        <w:tc>
          <w:tcPr>
            <w:tcW w:w="1051" w:type="dxa"/>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0</w:t>
            </w:r>
          </w:p>
        </w:tc>
      </w:tr>
      <w:tr>
        <w:trPr/>
        <w:tc>
          <w:tcPr>
            <w:tcW w:w="642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stores acquired</w:t>
            </w:r>
          </w:p>
        </w:tc>
        <w:tc>
          <w:tcPr>
            <w:tcW w:w="1222" w:type="dxa"/>
            <w:tcBorders>
              <w:bottom w:val="double" w:sz="6"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45</w:t>
            </w:r>
          </w:p>
        </w:tc>
        <w:tc>
          <w:tcPr>
            <w:tcW w:w="123" w:type="dxa"/>
            <w:tcBorders/>
            <w:shd w:fill="CCEEFF" w:val="clear"/>
            <w:vAlign w:val="center"/>
          </w:tcPr>
          <w:p>
            <w:pPr>
              <w:pStyle w:val="TableContents"/>
              <w:spacing w:before="0" w:after="0"/>
              <w:ind w:left="0" w:right="0" w:firstLine="30"/>
              <w:rPr/>
            </w:pPr>
            <w:r>
              <w:rPr/>
              <w:t> </w:t>
            </w:r>
          </w:p>
        </w:tc>
        <w:tc>
          <w:tcPr>
            <w:tcW w:w="1257" w:type="dxa"/>
            <w:tcBorders>
              <w:bottom w:val="double" w:sz="6" w:space="0" w:color="000000"/>
            </w:tcBorders>
            <w:shd w:fill="CCEEFF"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49</w:t>
            </w:r>
          </w:p>
        </w:tc>
        <w:tc>
          <w:tcPr>
            <w:tcW w:w="123" w:type="dxa"/>
            <w:tcBorders/>
            <w:shd w:fill="CCEEFF" w:val="clear"/>
            <w:vAlign w:val="center"/>
          </w:tcPr>
          <w:p>
            <w:pPr>
              <w:pStyle w:val="TableContents"/>
              <w:spacing w:before="0" w:after="0"/>
              <w:ind w:left="0" w:right="0" w:firstLine="30"/>
              <w:rPr/>
            </w:pPr>
            <w:r>
              <w:rPr/>
              <w:t> </w:t>
            </w:r>
          </w:p>
        </w:tc>
        <w:tc>
          <w:tcPr>
            <w:tcW w:w="105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w:t>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5425"/>
        <w:gridCol w:w="177"/>
        <w:gridCol w:w="1050"/>
        <w:gridCol w:w="165"/>
        <w:gridCol w:w="141"/>
        <w:gridCol w:w="175"/>
        <w:gridCol w:w="1133"/>
        <w:gridCol w:w="163"/>
        <w:gridCol w:w="141"/>
        <w:gridCol w:w="171"/>
        <w:gridCol w:w="1020"/>
        <w:gridCol w:w="444"/>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42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05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425" w:type="dxa"/>
            <w:tcBorders/>
            <w:shd w:fill="auto" w:val="clear"/>
            <w:vAlign w:val="center"/>
          </w:tcPr>
          <w:p>
            <w:pPr>
              <w:pStyle w:val="TableContents"/>
              <w:spacing w:before="0" w:after="0"/>
              <w:ind w:left="0" w:right="0" w:firstLine="30"/>
              <w:jc w:val="left"/>
              <w:rPr/>
            </w:pPr>
            <w:r>
              <w:rPr/>
              <w:t> </w:t>
            </w:r>
          </w:p>
        </w:tc>
        <w:tc>
          <w:tcPr>
            <w:tcW w:w="478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w:t>
            </w:r>
          </w:p>
        </w:tc>
      </w:tr>
      <w:tr>
        <w:trPr/>
        <w:tc>
          <w:tcPr>
            <w:tcW w:w="5425" w:type="dxa"/>
            <w:tcBorders/>
            <w:shd w:fill="auto" w:val="clear"/>
            <w:vAlign w:val="center"/>
          </w:tcPr>
          <w:p>
            <w:pPr>
              <w:pStyle w:val="TableContents"/>
              <w:spacing w:before="0" w:after="0"/>
              <w:ind w:left="0" w:right="0" w:firstLine="30"/>
              <w:jc w:val="left"/>
              <w:rPr/>
            </w:pPr>
            <w:r>
              <w:rPr/>
              <w:t> </w:t>
            </w:r>
          </w:p>
        </w:tc>
        <w:tc>
          <w:tcPr>
            <w:tcW w:w="300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1" w:type="dxa"/>
            <w:tcBorders/>
            <w:shd w:fill="auto" w:val="clear"/>
            <w:vAlign w:val="center"/>
          </w:tcPr>
          <w:p>
            <w:pPr>
              <w:pStyle w:val="TableContents"/>
              <w:spacing w:before="0" w:after="0"/>
              <w:ind w:left="0" w:right="0" w:firstLine="30"/>
              <w:rPr/>
            </w:pPr>
            <w:r>
              <w:rPr/>
              <w:t> </w:t>
            </w:r>
          </w:p>
        </w:tc>
        <w:tc>
          <w:tcPr>
            <w:tcW w:w="16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425" w:type="dxa"/>
            <w:tcBorders/>
            <w:shd w:fill="auto" w:val="clear"/>
            <w:vAlign w:val="center"/>
          </w:tcPr>
          <w:p>
            <w:pPr>
              <w:pStyle w:val="TableContents"/>
              <w:spacing w:before="0" w:after="0"/>
              <w:ind w:left="0" w:right="0" w:firstLine="30"/>
              <w:jc w:val="left"/>
              <w:rPr/>
            </w:pPr>
            <w:r>
              <w:rPr/>
              <w:t> </w:t>
            </w:r>
          </w:p>
        </w:tc>
        <w:tc>
          <w:tcPr>
            <w:tcW w:w="4780"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425" w:type="dxa"/>
            <w:tcBorders/>
            <w:shd w:fill="auto" w:val="clear"/>
            <w:vAlign w:val="center"/>
          </w:tcPr>
          <w:p>
            <w:pPr>
              <w:pStyle w:val="TableContents"/>
              <w:spacing w:before="0" w:after="0"/>
              <w:ind w:left="0" w:right="0" w:firstLine="30"/>
              <w:jc w:val="left"/>
              <w:rPr/>
            </w:pPr>
            <w:r>
              <w:rPr/>
              <w:t> </w:t>
            </w:r>
          </w:p>
        </w:tc>
        <w:tc>
          <w:tcPr>
            <w:tcW w:w="139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Crediamigo</w:t>
            </w:r>
          </w:p>
        </w:tc>
        <w:tc>
          <w:tcPr>
            <w:tcW w:w="141"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47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Other  Acquisitions</w:t>
            </w:r>
          </w:p>
        </w:tc>
        <w:tc>
          <w:tcPr>
            <w:tcW w:w="141" w:type="dxa"/>
            <w:tcBorders/>
            <w:shd w:fill="auto" w:val="clear"/>
            <w:vAlign w:val="center"/>
          </w:tcPr>
          <w:p>
            <w:pPr>
              <w:pStyle w:val="TableContents"/>
              <w:spacing w:before="0" w:after="0"/>
              <w:ind w:left="0" w:right="0" w:firstLine="30"/>
              <w:rPr/>
            </w:pPr>
            <w:r>
              <w:rPr/>
              <w:t> </w:t>
            </w:r>
          </w:p>
        </w:tc>
        <w:tc>
          <w:tcPr>
            <w:tcW w:w="1635" w:type="dxa"/>
            <w:gridSpan w:val="3"/>
            <w:tcBorders>
              <w:top w:val="single" w:sz="2" w:space="0" w:color="000000"/>
            </w:tcBorders>
            <w:shd w:fill="auto" w:val="clear"/>
            <w:tcMar>
              <w:top w:w="30" w:type="dxa"/>
            </w:tcMar>
            <w:vAlign w:val="center"/>
          </w:tcPr>
          <w:p>
            <w:pPr>
              <w:pStyle w:val="TableContents"/>
              <w:spacing w:before="0" w:after="0"/>
              <w:ind w:left="0" w:right="0" w:firstLine="30"/>
              <w:jc w:val="left"/>
              <w:rPr/>
            </w:pPr>
            <w:r>
              <w:rPr/>
              <w:t> </w:t>
            </w:r>
          </w:p>
        </w:tc>
      </w:tr>
      <w:tr>
        <w:trPr/>
        <w:tc>
          <w:tcPr>
            <w:tcW w:w="54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Consideration:</w:t>
            </w:r>
          </w:p>
        </w:tc>
        <w:tc>
          <w:tcPr>
            <w:tcW w:w="1392"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471"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635" w:type="dxa"/>
            <w:gridSpan w:val="3"/>
            <w:tcBorders/>
            <w:shd w:fill="auto" w:val="clear"/>
            <w:vAlign w:val="center"/>
          </w:tcPr>
          <w:p>
            <w:pPr>
              <w:pStyle w:val="TableContents"/>
              <w:spacing w:before="0" w:after="0"/>
              <w:ind w:left="0" w:right="0" w:firstLine="420"/>
              <w:rPr/>
            </w:pPr>
            <w:r>
              <w:rPr/>
              <w:t> </w:t>
            </w:r>
          </w:p>
        </w:tc>
      </w:tr>
      <w:tr>
        <w:trPr/>
        <w:tc>
          <w:tcPr>
            <w:tcW w:w="54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0" w:type="dxa"/>
            <w:tcBorders/>
            <w:shd w:fill="CCEEFF" w:val="clear"/>
            <w:vAlign w:val="center"/>
          </w:tcPr>
          <w:p>
            <w:pPr>
              <w:pStyle w:val="TableContents"/>
              <w:spacing w:before="0" w:after="0"/>
              <w:jc w:val="right"/>
              <w:rPr>
                <w:rFonts w:ascii="inherit" w:hAnsi="inherit"/>
                <w:sz w:val="17"/>
              </w:rPr>
            </w:pPr>
            <w:r>
              <w:rPr>
                <w:rFonts w:ascii="inherit" w:hAnsi="inherit"/>
                <w:sz w:val="17"/>
              </w:rPr>
              <w:t>45,001</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3" w:type="dxa"/>
            <w:tcBorders/>
            <w:shd w:fill="CCEEFF" w:val="clear"/>
            <w:vAlign w:val="center"/>
          </w:tcPr>
          <w:p>
            <w:pPr>
              <w:pStyle w:val="TableContents"/>
              <w:spacing w:before="0" w:after="0"/>
              <w:jc w:val="right"/>
              <w:rPr>
                <w:rFonts w:ascii="inherit" w:hAnsi="inherit"/>
                <w:sz w:val="17"/>
              </w:rPr>
            </w:pPr>
            <w:r>
              <w:rPr>
                <w:rFonts w:ascii="inherit" w:hAnsi="inherit"/>
                <w:sz w:val="17"/>
              </w:rPr>
              <w:t>91,843</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CCEEFF" w:val="clear"/>
            <w:vAlign w:val="center"/>
          </w:tcPr>
          <w:p>
            <w:pPr>
              <w:pStyle w:val="TableContents"/>
              <w:spacing w:before="0" w:after="0"/>
              <w:jc w:val="right"/>
              <w:rPr>
                <w:rFonts w:ascii="inherit" w:hAnsi="inherit"/>
                <w:sz w:val="17"/>
              </w:rPr>
            </w:pPr>
            <w:r>
              <w:rPr>
                <w:rFonts w:ascii="inherit" w:hAnsi="inherit"/>
                <w:sz w:val="17"/>
              </w:rPr>
              <w:t>65,844</w:t>
            </w:r>
          </w:p>
        </w:tc>
        <w:tc>
          <w:tcPr>
            <w:tcW w:w="44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4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instruments</w:t>
            </w:r>
          </w:p>
        </w:tc>
        <w:tc>
          <w:tcPr>
            <w:tcW w:w="1227" w:type="dxa"/>
            <w:gridSpan w:val="2"/>
            <w:tcBorders/>
            <w:shd w:fill="auto" w:val="clear"/>
            <w:vAlign w:val="center"/>
          </w:tcPr>
          <w:p>
            <w:pPr>
              <w:pStyle w:val="TableContents"/>
              <w:spacing w:before="0" w:after="0"/>
              <w:jc w:val="right"/>
              <w:rPr/>
            </w:pPr>
            <w:r>
              <w:rPr/>
              <w:t>—</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0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17,984</w:t>
            </w:r>
          </w:p>
        </w:tc>
        <w:tc>
          <w:tcPr>
            <w:tcW w:w="1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91" w:type="dxa"/>
            <w:gridSpan w:val="2"/>
            <w:tcBorders/>
            <w:shd w:fill="auto" w:val="clear"/>
            <w:vAlign w:val="center"/>
          </w:tcPr>
          <w:p>
            <w:pPr>
              <w:pStyle w:val="TableContents"/>
              <w:spacing w:before="0" w:after="0"/>
              <w:jc w:val="right"/>
              <w:rPr/>
            </w:pPr>
            <w:r>
              <w:rPr/>
              <w:t>—</w:t>
            </w:r>
          </w:p>
        </w:tc>
        <w:tc>
          <w:tcPr>
            <w:tcW w:w="44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4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consideration</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5,785</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pPr>
            <w:r>
              <w:rPr/>
              <w:t>—</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91" w:type="dxa"/>
            <w:gridSpan w:val="2"/>
            <w:tcBorders/>
            <w:shd w:fill="CCEEFF" w:val="clear"/>
            <w:vAlign w:val="center"/>
          </w:tcPr>
          <w:p>
            <w:pPr>
              <w:pStyle w:val="TableContents"/>
              <w:spacing w:before="0" w:after="0"/>
              <w:jc w:val="right"/>
              <w:rPr/>
            </w:pPr>
            <w:r>
              <w:rPr/>
              <w:t>—</w:t>
            </w:r>
          </w:p>
        </w:tc>
        <w:tc>
          <w:tcPr>
            <w:tcW w:w="44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4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Contingent consideration</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23,000</w:t>
            </w:r>
          </w:p>
        </w:tc>
        <w:tc>
          <w:tcPr>
            <w:tcW w:w="16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0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6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9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 of total consideration transferred</w:t>
            </w:r>
          </w:p>
        </w:tc>
        <w:tc>
          <w:tcPr>
            <w:tcW w:w="122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73,786</w:t>
            </w:r>
          </w:p>
        </w:tc>
        <w:tc>
          <w:tcPr>
            <w:tcW w:w="16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0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109,827</w:t>
            </w:r>
          </w:p>
        </w:tc>
        <w:tc>
          <w:tcPr>
            <w:tcW w:w="1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9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65,844</w:t>
            </w:r>
          </w:p>
        </w:tc>
        <w:tc>
          <w:tcPr>
            <w:tcW w:w="4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4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acquired</w:t>
            </w:r>
          </w:p>
        </w:tc>
        <w:tc>
          <w:tcPr>
            <w:tcW w:w="122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(13,641</w:t>
            </w:r>
          </w:p>
        </w:tc>
        <w:tc>
          <w:tcPr>
            <w:tcW w:w="16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auto" w:val="clear"/>
            <w:vAlign w:val="center"/>
          </w:tcPr>
          <w:p>
            <w:pPr>
              <w:pStyle w:val="TableContents"/>
              <w:spacing w:before="0" w:after="0"/>
              <w:ind w:left="0" w:right="0" w:firstLine="30"/>
              <w:rPr/>
            </w:pPr>
            <w:r>
              <w:rPr/>
              <w:t> </w:t>
            </w:r>
          </w:p>
        </w:tc>
        <w:tc>
          <w:tcPr>
            <w:tcW w:w="130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(2,823</w:t>
            </w:r>
          </w:p>
        </w:tc>
        <w:tc>
          <w:tcPr>
            <w:tcW w:w="16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1" w:type="dxa"/>
            <w:tcBorders/>
            <w:shd w:fill="auto" w:val="clear"/>
            <w:vAlign w:val="center"/>
          </w:tcPr>
          <w:p>
            <w:pPr>
              <w:pStyle w:val="TableContents"/>
              <w:spacing w:before="0" w:after="0"/>
              <w:ind w:left="0" w:right="0" w:firstLine="30"/>
              <w:rPr/>
            </w:pPr>
            <w:r>
              <w:rPr/>
              <w:t> </w:t>
            </w:r>
          </w:p>
        </w:tc>
        <w:tc>
          <w:tcPr>
            <w:tcW w:w="119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w:t>
            </w:r>
          </w:p>
        </w:tc>
        <w:tc>
          <w:tcPr>
            <w:tcW w:w="4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54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purchase price</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16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107,004</w:t>
            </w:r>
          </w:p>
        </w:tc>
        <w:tc>
          <w:tcPr>
            <w:tcW w:w="16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64,793</w:t>
            </w:r>
          </w:p>
        </w:tc>
        <w:tc>
          <w:tcPr>
            <w:tcW w:w="444"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9</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5088"/>
        <w:gridCol w:w="176"/>
        <w:gridCol w:w="1123"/>
        <w:gridCol w:w="87"/>
        <w:gridCol w:w="141"/>
        <w:gridCol w:w="188"/>
        <w:gridCol w:w="1192"/>
        <w:gridCol w:w="89"/>
        <w:gridCol w:w="141"/>
        <w:gridCol w:w="173"/>
        <w:gridCol w:w="1007"/>
        <w:gridCol w:w="800"/>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08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123"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07" w:type="dxa"/>
            <w:tcBorders/>
            <w:shd w:fill="auto" w:val="clear"/>
            <w:vAlign w:val="center"/>
          </w:tcPr>
          <w:p>
            <w:pPr>
              <w:pStyle w:val="TableContents"/>
              <w:spacing w:before="0" w:after="283"/>
              <w:rPr>
                <w:sz w:val="4"/>
                <w:szCs w:val="4"/>
              </w:rPr>
            </w:pPr>
            <w:r>
              <w:rPr>
                <w:sz w:val="4"/>
                <w:szCs w:val="4"/>
              </w:rPr>
            </w:r>
          </w:p>
        </w:tc>
        <w:tc>
          <w:tcPr>
            <w:tcW w:w="80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088" w:type="dxa"/>
            <w:tcBorders/>
            <w:shd w:fill="auto" w:val="clear"/>
            <w:vAlign w:val="center"/>
          </w:tcPr>
          <w:p>
            <w:pPr>
              <w:pStyle w:val="TableContents"/>
              <w:spacing w:before="0" w:after="0"/>
              <w:ind w:left="0" w:right="0" w:firstLine="30"/>
              <w:jc w:val="left"/>
              <w:rPr/>
            </w:pPr>
            <w:r>
              <w:rPr/>
              <w:t> </w:t>
            </w:r>
          </w:p>
        </w:tc>
        <w:tc>
          <w:tcPr>
            <w:tcW w:w="511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w:t>
            </w:r>
          </w:p>
        </w:tc>
      </w:tr>
      <w:tr>
        <w:trPr/>
        <w:tc>
          <w:tcPr>
            <w:tcW w:w="5088" w:type="dxa"/>
            <w:tcBorders/>
            <w:shd w:fill="auto" w:val="clear"/>
            <w:vAlign w:val="center"/>
          </w:tcPr>
          <w:p>
            <w:pPr>
              <w:pStyle w:val="TableContents"/>
              <w:spacing w:before="0" w:after="0"/>
              <w:ind w:left="0" w:right="0" w:firstLine="30"/>
              <w:jc w:val="left"/>
              <w:rPr/>
            </w:pPr>
            <w:r>
              <w:rPr/>
              <w:t> </w:t>
            </w:r>
          </w:p>
        </w:tc>
        <w:tc>
          <w:tcPr>
            <w:tcW w:w="511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088" w:type="dxa"/>
            <w:tcBorders/>
            <w:shd w:fill="auto" w:val="clear"/>
            <w:vAlign w:val="center"/>
          </w:tcPr>
          <w:p>
            <w:pPr>
              <w:pStyle w:val="TableContents"/>
              <w:spacing w:before="0" w:after="0"/>
              <w:ind w:left="0" w:right="0" w:firstLine="30"/>
              <w:jc w:val="left"/>
              <w:rPr/>
            </w:pPr>
            <w:r>
              <w:rPr/>
              <w:t> </w:t>
            </w:r>
          </w:p>
        </w:tc>
        <w:tc>
          <w:tcPr>
            <w:tcW w:w="29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1" w:type="dxa"/>
            <w:tcBorders/>
            <w:shd w:fill="auto" w:val="clear"/>
            <w:vAlign w:val="center"/>
          </w:tcPr>
          <w:p>
            <w:pPr>
              <w:pStyle w:val="TableContents"/>
              <w:spacing w:before="0" w:after="0"/>
              <w:ind w:left="0" w:right="0" w:firstLine="30"/>
              <w:rPr/>
            </w:pPr>
            <w:r>
              <w:rPr/>
              <w:t> </w:t>
            </w:r>
          </w:p>
        </w:tc>
        <w:tc>
          <w:tcPr>
            <w:tcW w:w="19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088" w:type="dxa"/>
            <w:tcBorders/>
            <w:shd w:fill="auto" w:val="clear"/>
            <w:vAlign w:val="center"/>
          </w:tcPr>
          <w:p>
            <w:pPr>
              <w:pStyle w:val="TableContents"/>
              <w:spacing w:before="0" w:after="0"/>
              <w:ind w:left="0" w:right="0" w:firstLine="30"/>
              <w:jc w:val="left"/>
              <w:rPr/>
            </w:pPr>
            <w:r>
              <w:rPr/>
              <w:t> </w:t>
            </w:r>
          </w:p>
        </w:tc>
        <w:tc>
          <w:tcPr>
            <w:tcW w:w="138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Crediamigo</w:t>
            </w:r>
          </w:p>
        </w:tc>
        <w:tc>
          <w:tcPr>
            <w:tcW w:w="141" w:type="dxa"/>
            <w:tcBorders/>
            <w:shd w:fill="auto" w:val="clear"/>
            <w:vAlign w:val="center"/>
          </w:tcPr>
          <w:p>
            <w:pPr>
              <w:pStyle w:val="TableContents"/>
              <w:spacing w:before="0" w:after="0"/>
              <w:ind w:left="0" w:right="0" w:firstLine="30"/>
              <w:rPr/>
            </w:pPr>
            <w:r>
              <w:rPr/>
              <w:t> </w:t>
            </w:r>
          </w:p>
        </w:tc>
        <w:tc>
          <w:tcPr>
            <w:tcW w:w="1469"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Other  Acquisitions</w:t>
            </w:r>
          </w:p>
        </w:tc>
        <w:tc>
          <w:tcPr>
            <w:tcW w:w="141" w:type="dxa"/>
            <w:tcBorders/>
            <w:shd w:fill="auto" w:val="clear"/>
            <w:vAlign w:val="center"/>
          </w:tcPr>
          <w:p>
            <w:pPr>
              <w:pStyle w:val="TableContents"/>
              <w:spacing w:before="0" w:after="0"/>
              <w:ind w:left="0" w:right="0" w:firstLine="30"/>
              <w:rPr/>
            </w:pPr>
            <w:r>
              <w:rPr/>
              <w:t> </w:t>
            </w:r>
          </w:p>
        </w:tc>
        <w:tc>
          <w:tcPr>
            <w:tcW w:w="1980" w:type="dxa"/>
            <w:gridSpan w:val="3"/>
            <w:tcBorders/>
            <w:shd w:fill="auto" w:val="clear"/>
            <w:vAlign w:val="center"/>
          </w:tcPr>
          <w:p>
            <w:pPr>
              <w:pStyle w:val="TableContents"/>
              <w:spacing w:before="0" w:after="0"/>
              <w:ind w:left="0" w:right="0" w:firstLine="30"/>
              <w:jc w:val="left"/>
              <w:rPr/>
            </w:pPr>
            <w:r>
              <w:rPr/>
              <w:t> </w:t>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386"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469"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980" w:type="dxa"/>
            <w:gridSpan w:val="3"/>
            <w:tcBorders/>
            <w:shd w:fill="CCEEFF" w:val="clear"/>
            <w:vAlign w:val="center"/>
          </w:tcPr>
          <w:p>
            <w:pPr>
              <w:pStyle w:val="TableContents"/>
              <w:spacing w:before="0" w:after="0"/>
              <w:ind w:left="0" w:right="0" w:firstLine="420"/>
              <w:rPr/>
            </w:pPr>
            <w:r>
              <w:rPr/>
              <w:t> </w:t>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6,351</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auto" w:val="clear"/>
            <w:vAlign w:val="center"/>
          </w:tcPr>
          <w:p>
            <w:pPr>
              <w:pStyle w:val="TableContents"/>
              <w:spacing w:before="0" w:after="0"/>
              <w:jc w:val="right"/>
              <w:rPr>
                <w:rFonts w:ascii="inherit" w:hAnsi="inherit"/>
                <w:sz w:val="17"/>
              </w:rPr>
            </w:pPr>
            <w:r>
              <w:rPr>
                <w:rFonts w:ascii="inherit" w:hAnsi="inherit"/>
                <w:sz w:val="17"/>
              </w:rPr>
              <w:t>6,865</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8,658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3,640</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710</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18,844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1,839</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1,136</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99"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5,596</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4,396</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299" w:type="dxa"/>
            <w:gridSpan w:val="2"/>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217</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449</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3,543</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204</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200</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31,045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17,847</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13,756</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2,326</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3,965</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861</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54,765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96,946</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49,231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consumer loans, net</w:t>
            </w:r>
          </w:p>
        </w:tc>
        <w:tc>
          <w:tcPr>
            <w:tcW w:w="12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52,228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pPr>
            <w:r>
              <w:rPr/>
              <w:t>—</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57,900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3,960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2,367</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16,833</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291</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82</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215,097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123,009</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auto" w:val="clear"/>
            <w:vAlign w:val="center"/>
          </w:tcPr>
          <w:p>
            <w:pPr>
              <w:pStyle w:val="TableContents"/>
              <w:spacing w:before="0" w:after="0"/>
              <w:jc w:val="right"/>
              <w:rPr>
                <w:rFonts w:ascii="inherit" w:hAnsi="inherit"/>
                <w:sz w:val="17"/>
              </w:rPr>
            </w:pPr>
            <w:r>
              <w:rPr>
                <w:rFonts w:ascii="inherit" w:hAnsi="inherit"/>
                <w:sz w:val="17"/>
              </w:rPr>
              <w:t>66,297</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386"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469" w:type="dxa"/>
            <w:gridSpan w:val="3"/>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ind w:left="0" w:right="0" w:firstLine="30"/>
              <w:rPr/>
            </w:pPr>
            <w:r>
              <w:rPr/>
              <w:t> </w:t>
            </w:r>
          </w:p>
        </w:tc>
        <w:tc>
          <w:tcPr>
            <w:tcW w:w="1980" w:type="dxa"/>
            <w:gridSpan w:val="3"/>
            <w:tcBorders/>
            <w:shd w:fill="CCEEFF" w:val="clear"/>
            <w:vAlign w:val="center"/>
          </w:tcPr>
          <w:p>
            <w:pPr>
              <w:pStyle w:val="TableContents"/>
              <w:spacing w:before="0" w:after="0"/>
              <w:ind w:left="0" w:right="0" w:firstLine="420"/>
              <w:rPr/>
            </w:pPr>
            <w:r>
              <w:rPr/>
              <w:t> </w:t>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6,852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5,335</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auto" w:val="clear"/>
            <w:vAlign w:val="center"/>
          </w:tcPr>
          <w:p>
            <w:pPr>
              <w:pStyle w:val="TableContents"/>
              <w:spacing w:before="0" w:after="0"/>
              <w:jc w:val="right"/>
              <w:rPr>
                <w:rFonts w:ascii="inherit" w:hAnsi="inherit"/>
                <w:sz w:val="17"/>
              </w:rPr>
            </w:pPr>
            <w:r>
              <w:rPr>
                <w:rFonts w:ascii="inherit" w:hAnsi="inherit"/>
                <w:sz w:val="17"/>
              </w:rPr>
              <w:t>1,038</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299" w:type="dxa"/>
            <w:gridSpan w:val="2"/>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764</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maturities of long-term debt</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22,810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current liabilities</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1,010</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30,672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6,356</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1,231</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2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937</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shd w:fill="CCEEFF" w:val="clear"/>
            <w:vAlign w:val="center"/>
          </w:tcPr>
          <w:p>
            <w:pPr>
              <w:pStyle w:val="TableContents"/>
              <w:spacing w:before="0" w:after="0"/>
              <w:jc w:val="right"/>
              <w:rPr/>
            </w:pPr>
            <w:r>
              <w:rPr/>
              <w:t>—</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86,872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pPr>
            <w:r>
              <w:rPr/>
              <w:t>—</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92</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273</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2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118,652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3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6,448</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18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1,504</w:t>
            </w:r>
          </w:p>
        </w:tc>
        <w:tc>
          <w:tcPr>
            <w:tcW w:w="8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2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36,300</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38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9,557</w:t>
            </w:r>
          </w:p>
        </w:tc>
        <w:tc>
          <w:tcPr>
            <w:tcW w:w="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18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assets acquired</w:t>
            </w:r>
          </w:p>
        </w:tc>
        <w:tc>
          <w:tcPr>
            <w:tcW w:w="17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60,145</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107,004</w:t>
            </w:r>
          </w:p>
        </w:tc>
        <w:tc>
          <w:tcPr>
            <w:tcW w:w="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64,793</w:t>
            </w:r>
          </w:p>
        </w:tc>
        <w:tc>
          <w:tcPr>
            <w:tcW w:w="80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deductible for tax purposes</w:t>
            </w:r>
          </w:p>
        </w:tc>
        <w:tc>
          <w:tcPr>
            <w:tcW w:w="17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88" w:type="dxa"/>
            <w:tcBorders>
              <w:top w:val="double" w:sz="6"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top w:val="double" w:sz="6"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45,786</w:t>
            </w:r>
          </w:p>
        </w:tc>
        <w:tc>
          <w:tcPr>
            <w:tcW w:w="89" w:type="dxa"/>
            <w:tcBorders>
              <w:top w:val="double" w:sz="6"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CCEEFF" w:val="clear"/>
            <w:vAlign w:val="center"/>
          </w:tcPr>
          <w:p>
            <w:pPr>
              <w:pStyle w:val="TableContents"/>
              <w:spacing w:before="0" w:after="0"/>
              <w:jc w:val="right"/>
              <w:rPr>
                <w:rFonts w:ascii="inherit" w:hAnsi="inherit"/>
                <w:sz w:val="17"/>
              </w:rPr>
            </w:pPr>
            <w:r>
              <w:rPr>
                <w:rFonts w:ascii="inherit" w:hAnsi="inherit"/>
                <w:sz w:val="17"/>
              </w:rPr>
              <w:t>26,935</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Indefinite lived intangible assets acquired:</w:t>
            </w:r>
          </w:p>
        </w:tc>
        <w:tc>
          <w:tcPr>
            <w:tcW w:w="1386"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469"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980" w:type="dxa"/>
            <w:gridSpan w:val="3"/>
            <w:tcBorders/>
            <w:shd w:fill="auto" w:val="clear"/>
            <w:vAlign w:val="center"/>
          </w:tcPr>
          <w:p>
            <w:pPr>
              <w:pStyle w:val="TableContents"/>
              <w:spacing w:before="0" w:after="0"/>
              <w:ind w:left="0" w:right="0" w:firstLine="420"/>
              <w:rPr/>
            </w:pPr>
            <w:r>
              <w:rPr/>
              <w:t> </w:t>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7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2,200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CCEEFF" w:val="clear"/>
            <w:vAlign w:val="center"/>
          </w:tcPr>
          <w:p>
            <w:pPr>
              <w:pStyle w:val="TableContents"/>
              <w:spacing w:before="0" w:after="0"/>
              <w:jc w:val="right"/>
              <w:rPr>
                <w:rFonts w:ascii="inherit" w:hAnsi="inherit"/>
                <w:sz w:val="17"/>
              </w:rPr>
            </w:pPr>
            <w:r>
              <w:rPr>
                <w:rFonts w:ascii="inherit" w:hAnsi="inherit"/>
                <w:sz w:val="17"/>
              </w:rPr>
              <w:t>2,706</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CCEEFF" w:val="clear"/>
            <w:vAlign w:val="center"/>
          </w:tcPr>
          <w:p>
            <w:pPr>
              <w:pStyle w:val="TableContents"/>
              <w:spacing w:before="0" w:after="0"/>
              <w:jc w:val="right"/>
              <w:rPr/>
            </w:pPr>
            <w:r>
              <w:rPr/>
              <w:t>—</w:t>
            </w:r>
          </w:p>
        </w:tc>
        <w:tc>
          <w:tcPr>
            <w:tcW w:w="8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Definite lived intangible assets acquired:</w:t>
            </w:r>
          </w:p>
        </w:tc>
        <w:tc>
          <w:tcPr>
            <w:tcW w:w="1386"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469" w:type="dxa"/>
            <w:gridSpan w:val="3"/>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ind w:left="0" w:right="0" w:firstLine="30"/>
              <w:rPr/>
            </w:pPr>
            <w:r>
              <w:rPr/>
              <w:t> </w:t>
            </w:r>
          </w:p>
        </w:tc>
        <w:tc>
          <w:tcPr>
            <w:tcW w:w="1980" w:type="dxa"/>
            <w:gridSpan w:val="3"/>
            <w:tcBorders/>
            <w:shd w:fill="auto" w:val="clear"/>
            <w:vAlign w:val="center"/>
          </w:tcPr>
          <w:p>
            <w:pPr>
              <w:pStyle w:val="TableContents"/>
              <w:spacing w:before="0" w:after="0"/>
              <w:ind w:left="0" w:right="0" w:firstLine="420"/>
              <w:rPr/>
            </w:pPr>
            <w:r>
              <w:rPr/>
              <w:t> </w:t>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Favorable lease asset</w:t>
            </w:r>
          </w:p>
        </w:tc>
        <w:tc>
          <w:tcPr>
            <w:tcW w:w="17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pPr>
            <w:r>
              <w:rPr/>
              <w:t>—</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CCEEFF" w:val="clear"/>
            <w:vAlign w:val="center"/>
          </w:tcPr>
          <w:p>
            <w:pPr>
              <w:pStyle w:val="TableContents"/>
              <w:spacing w:before="0" w:after="0"/>
              <w:jc w:val="right"/>
              <w:rPr>
                <w:rFonts w:ascii="inherit" w:hAnsi="inherit"/>
                <w:sz w:val="17"/>
              </w:rPr>
            </w:pPr>
            <w:r>
              <w:rPr>
                <w:rFonts w:ascii="inherit" w:hAnsi="inherit"/>
                <w:sz w:val="17"/>
              </w:rPr>
              <w:t>404</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1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rFonts w:ascii="inherit" w:hAnsi="inherit"/>
                <w:sz w:val="17"/>
              </w:rPr>
            </w:pPr>
            <w:r>
              <w:rPr>
                <w:rFonts w:ascii="inherit" w:hAnsi="inherit"/>
                <w:sz w:val="17"/>
              </w:rPr>
              <w:t>300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rFonts w:ascii="inherit" w:hAnsi="inherit"/>
                <w:sz w:val="17"/>
              </w:rPr>
            </w:pPr>
            <w:r>
              <w:rPr>
                <w:rFonts w:ascii="inherit" w:hAnsi="inherit"/>
                <w:sz w:val="17"/>
              </w:rPr>
              <w:t>400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auto" w:val="clear"/>
            <w:vAlign w:val="center"/>
          </w:tcPr>
          <w:p>
            <w:pPr>
              <w:pStyle w:val="TableContents"/>
              <w:spacing w:before="0" w:after="0"/>
              <w:jc w:val="right"/>
              <w:rPr>
                <w:rFonts w:ascii="inherit" w:hAnsi="inherit"/>
                <w:sz w:val="17"/>
              </w:rPr>
            </w:pPr>
            <w:r>
              <w:rPr>
                <w:rFonts w:ascii="inherit" w:hAnsi="inherit"/>
                <w:sz w:val="17"/>
              </w:rPr>
              <w:t>658</w:t>
            </w:r>
          </w:p>
        </w:tc>
        <w:tc>
          <w:tcPr>
            <w:tcW w:w="80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Contractual relationship</w:t>
            </w:r>
          </w:p>
        </w:tc>
        <w:tc>
          <w:tcPr>
            <w:tcW w:w="17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CCEEFF" w:val="clear"/>
            <w:vAlign w:val="center"/>
          </w:tcPr>
          <w:p>
            <w:pPr>
              <w:pStyle w:val="TableContents"/>
              <w:spacing w:before="0" w:after="0"/>
              <w:jc w:val="right"/>
              <w:rPr>
                <w:rFonts w:ascii="inherit" w:hAnsi="inherit"/>
                <w:sz w:val="17"/>
              </w:rPr>
            </w:pPr>
            <w:r>
              <w:rPr>
                <w:rFonts w:ascii="inherit" w:hAnsi="inherit"/>
                <w:sz w:val="17"/>
              </w:rPr>
              <w:t>55,400</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CCEEFF" w:val="clear"/>
            <w:vAlign w:val="center"/>
          </w:tcPr>
          <w:p>
            <w:pPr>
              <w:pStyle w:val="TableContents"/>
              <w:spacing w:before="0" w:after="0"/>
              <w:jc w:val="right"/>
              <w:rPr>
                <w:rFonts w:ascii="inherit" w:hAnsi="inherit"/>
                <w:sz w:val="17"/>
              </w:rPr>
            </w:pPr>
            <w:r>
              <w:rPr>
                <w:rFonts w:ascii="inherit" w:hAnsi="inherit"/>
                <w:sz w:val="17"/>
              </w:rPr>
              <w:t>450</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CCEEFF" w:val="clear"/>
            <w:vAlign w:val="center"/>
          </w:tcPr>
          <w:p>
            <w:pPr>
              <w:pStyle w:val="TableContents"/>
              <w:spacing w:before="0" w:after="0"/>
              <w:jc w:val="right"/>
              <w:rPr/>
            </w:pPr>
            <w:r>
              <w:rPr/>
              <w:t>—</w:t>
            </w:r>
          </w:p>
        </w:tc>
        <w:tc>
          <w:tcPr>
            <w:tcW w:w="80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08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Franchise license rights</w:t>
            </w:r>
          </w:p>
        </w:tc>
        <w:tc>
          <w:tcPr>
            <w:tcW w:w="17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3" w:type="dxa"/>
            <w:tcBorders/>
            <w:shd w:fill="auto" w:val="clear"/>
            <w:vAlign w:val="center"/>
          </w:tcPr>
          <w:p>
            <w:pPr>
              <w:pStyle w:val="TableContents"/>
              <w:spacing w:before="0" w:after="0"/>
              <w:jc w:val="right"/>
              <w:rPr/>
            </w:pPr>
            <w:r>
              <w:rPr/>
              <w:t>—</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8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2" w:type="dxa"/>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1" w:type="dxa"/>
            <w:tcBorders/>
            <w:shd w:fill="auto" w:val="clear"/>
            <w:vAlign w:val="center"/>
          </w:tcPr>
          <w:p>
            <w:pPr>
              <w:pStyle w:val="TableContents"/>
              <w:spacing w:before="0" w:after="0"/>
              <w:ind w:left="0" w:right="0" w:firstLine="30"/>
              <w:rPr/>
            </w:pPr>
            <w:r>
              <w:rPr/>
              <w:t> </w:t>
            </w:r>
          </w:p>
        </w:tc>
        <w:tc>
          <w:tcPr>
            <w:tcW w:w="17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07" w:type="dxa"/>
            <w:tcBorders/>
            <w:shd w:fill="auto" w:val="clear"/>
            <w:vAlign w:val="center"/>
          </w:tcPr>
          <w:p>
            <w:pPr>
              <w:pStyle w:val="TableContents"/>
              <w:spacing w:before="0" w:after="0"/>
              <w:jc w:val="right"/>
              <w:rPr>
                <w:rFonts w:ascii="inherit" w:hAnsi="inherit"/>
                <w:sz w:val="17"/>
              </w:rPr>
            </w:pPr>
            <w:r>
              <w:rPr>
                <w:rFonts w:ascii="inherit" w:hAnsi="inherit"/>
                <w:sz w:val="17"/>
              </w:rPr>
              <w:t>1,598</w:t>
            </w:r>
          </w:p>
        </w:tc>
        <w:tc>
          <w:tcPr>
            <w:tcW w:w="800"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All acquisitions were made as part of our continuing strategy to enhance and diversify our earnings. The factors contributing to the recognition of goodwill were based on several strategic and synergistic benefits we expect to realize from the acquisitions. These benefits include our initial entry into several markets and a greater presence in others, as well as the ability to further leverage our expense structure through increased scale. The purchase price allocation of assets acquired in the most recent twelve months is preliminary as we continue to receive information regarding the acquired assets. Transaction related expenses for the nine-month periods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of approximately </w:t>
      </w:r>
      <w:r>
        <w:rPr>
          <w:rFonts w:ascii="inherit" w:hAnsi="inherit"/>
          <w:strike w:val="false"/>
          <w:dstrike w:val="false"/>
          <w:color w:val="000000"/>
          <w:sz w:val="17"/>
          <w:u w:val="none"/>
          <w:effect w:val="none"/>
        </w:rPr>
        <w:t>$2.1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$0.8 million</w:t>
      </w:r>
      <w:r>
        <w:rPr>
          <w:rFonts w:ascii="inherit" w:hAnsi="inherit"/>
          <w:sz w:val="17"/>
        </w:rPr>
        <w:t>, respectively, were expensed as incurred and recorded as administrative expenses. These amounts exclude costs related to transactions that did not close and future acquisitions. The results of all acquisitions have been consolidated with our results since their respective closing. Pro forma results of operations have not been presented because it is impracticable to do so, as historical audited financial statements in U.S. GAAP are not readily available.</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10</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amounts above for the </w:t>
      </w:r>
      <w:r>
        <w:rPr>
          <w:rFonts w:ascii="inherit" w:hAnsi="inherit"/>
          <w:strike w:val="false"/>
          <w:dstrike w:val="false"/>
          <w:color w:val="000000"/>
          <w:sz w:val="17"/>
          <w:u w:val="none"/>
          <w:effect w:val="none"/>
        </w:rPr>
        <w:t>nine months ended</w:t>
      </w:r>
      <w:r>
        <w:rPr>
          <w:sz w:val="17"/>
        </w:rPr>
        <w:t xml:space="preserve">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include the acquisition of a decision science model for the underwriting of consumer loans, a contractual relationship with an income tax return preparer to facilitate refund anticipation loans, an online lending business in the U.K. and </w:t>
      </w:r>
      <w:r>
        <w:rPr>
          <w:rFonts w:ascii="inherit" w:hAnsi="inherit"/>
          <w:strike w:val="false"/>
          <w:dstrike w:val="false"/>
          <w:color w:val="000000"/>
          <w:sz w:val="17"/>
          <w:u w:val="none"/>
          <w:effect w:val="none"/>
        </w:rPr>
        <w:t>15</w:t>
      </w:r>
      <w:r>
        <w:rPr>
          <w:sz w:val="17"/>
        </w:rPr>
        <w:t xml:space="preserve"> </w:t>
      </w:r>
      <w:r>
        <w:rPr>
          <w:rFonts w:ascii="inherit" w:hAnsi="inherit"/>
          <w:sz w:val="17"/>
        </w:rPr>
        <w:t>financial services stores in Hawaii and Texas, from FS Management, 1</w:t>
      </w:r>
      <w:r>
        <w:rPr>
          <w:rFonts w:ascii="inherit" w:hAnsi="inherit"/>
          <w:sz w:val="12"/>
        </w:rPr>
        <w:t>st</w:t>
      </w:r>
      <w:r>
        <w:rPr>
          <w:sz w:val="17"/>
        </w:rPr>
        <w:t xml:space="preserve"> </w:t>
      </w:r>
      <w:r>
        <w:rPr>
          <w:rFonts w:ascii="inherit" w:hAnsi="inherit"/>
          <w:sz w:val="17"/>
        </w:rPr>
        <w:t xml:space="preserve">Money Centers, Inc. and 1429 Funding, Inc., companies owned partially by Brent Turner, the former President of our eCommerce and Card Services division and a former executive officer, for total consideration of </w:t>
      </w:r>
      <w:r>
        <w:rPr>
          <w:rFonts w:ascii="inherit" w:hAnsi="inherit"/>
          <w:strike w:val="false"/>
          <w:dstrike w:val="false"/>
          <w:color w:val="000000"/>
          <w:sz w:val="17"/>
          <w:u w:val="none"/>
          <w:effect w:val="none"/>
        </w:rPr>
        <w:t>$3.0 million</w:t>
      </w:r>
      <w:r>
        <w:rPr>
          <w:sz w:val="17"/>
        </w:rPr>
        <w:t xml:space="preserve"> </w:t>
      </w:r>
      <w:r>
        <w:rPr>
          <w:rFonts w:ascii="inherit" w:hAnsi="inherit"/>
          <w:sz w:val="17"/>
        </w:rPr>
        <w:t xml:space="preserve">in cash and </w:t>
      </w:r>
      <w:r>
        <w:rPr>
          <w:rFonts w:ascii="inherit" w:hAnsi="inherit"/>
          <w:strike w:val="false"/>
          <w:dstrike w:val="false"/>
          <w:color w:val="000000"/>
          <w:sz w:val="17"/>
          <w:u w:val="none"/>
          <w:effect w:val="none"/>
        </w:rPr>
        <w:t>387,924</w:t>
      </w:r>
      <w:r>
        <w:rPr>
          <w:sz w:val="17"/>
        </w:rPr>
        <w:t xml:space="preserve"> </w:t>
      </w:r>
      <w:r>
        <w:rPr>
          <w:rFonts w:ascii="inherit" w:hAnsi="inherit"/>
          <w:sz w:val="17"/>
        </w:rPr>
        <w:t xml:space="preserve">shares of our Class A Non-Voting common stock. Mr. Turner received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 xml:space="preserve">in cash and </w:t>
      </w:r>
      <w:r>
        <w:rPr>
          <w:rFonts w:ascii="inherit" w:hAnsi="inherit"/>
          <w:strike w:val="false"/>
          <w:dstrike w:val="false"/>
          <w:color w:val="000000"/>
          <w:sz w:val="17"/>
          <w:u w:val="none"/>
          <w:effect w:val="none"/>
        </w:rPr>
        <w:t>167,811</w:t>
      </w:r>
      <w:r>
        <w:rPr>
          <w:sz w:val="17"/>
        </w:rPr>
        <w:t xml:space="preserve"> </w:t>
      </w:r>
      <w:r>
        <w:rPr>
          <w:rFonts w:ascii="inherit" w:hAnsi="inherit"/>
          <w:sz w:val="17"/>
        </w:rPr>
        <w:t>shares of stock in connection with these acquisitions. The basic terms of the acquisitions were agreed prior to the commencement of Mr. Turner’s employment (and, thus, prior to Mr. Turner’s becoming an executive officer), subject to our completion of appropriate due diligence and the execution of appropriate definitive documentation. Even though the terms of the acquisitions were agreed to prior to Mr. Turner’s becoming an executive officer, we treated the transactions as related party transactions. Consequently, pursuant to our Policy for Review and Evaluation of Related Party Transactions, the Audit Committee reviewed and evaluated the terms of the acquisitions and concluded that the transactions were fair to, and in the best interest of the company and its stockholders.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15" w:name="sE8A17DE9DE7E313C9FFFA41248AD58E5"/>
      <w:bookmarkEnd w:id="15"/>
      <w:r>
        <w:rPr>
          <w:rFonts w:ascii="inherit" w:hAnsi="inherit"/>
          <w:b/>
          <w:sz w:val="17"/>
        </w:rPr>
        <w:t>Note C: Earnings per Share</w:t>
      </w:r>
    </w:p>
    <w:p>
      <w:pPr>
        <w:pStyle w:val="TextBody"/>
        <w:spacing w:lineRule="auto" w:line="288" w:before="0" w:after="0"/>
        <w:rPr>
          <w:rFonts w:ascii="inherit" w:hAnsi="inherit"/>
          <w:sz w:val="17"/>
        </w:rPr>
      </w:pPr>
      <w:r>
        <w:rPr>
          <w:rFonts w:ascii="inherit" w:hAnsi="inherit"/>
          <w:sz w:val="17"/>
        </w:rPr>
        <w:t>We compute basic earnings per share on the basis of the weighted average number of shares of common stock outstanding during the period. We compute diluted earnings per share on the basis of the weighted average number of shares of common stock plus the effect of dilutive potential common shares outstanding during the period using the treasury stock method. Dilutive potential common shares include outstanding stock options and restricted stock awards.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Potential common shares are required to be excluded from the computation of diluted earnings per share if the assumed proceeds upon exercise or vest, as defined by FASB ASC 718-10-25, are greater than the cost to re-acquire the same number of shares at the average market price, and therefore the effect would be anti-dilutive.</w:t>
      </w:r>
    </w:p>
    <w:p>
      <w:pPr>
        <w:pStyle w:val="TextBody"/>
        <w:spacing w:lineRule="auto" w:line="288" w:before="0" w:after="0"/>
        <w:rPr>
          <w:rFonts w:ascii="inherit" w:hAnsi="inherit"/>
          <w:sz w:val="17"/>
        </w:rPr>
      </w:pPr>
      <w:r>
        <w:rPr>
          <w:rFonts w:ascii="inherit" w:hAnsi="inherit"/>
          <w:sz w:val="17"/>
        </w:rPr>
        <w:t>Components of basic and diluted earnings per share and excluded anti-dilutive potential common shares are as follows: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928"/>
        <w:gridCol w:w="131"/>
        <w:gridCol w:w="990"/>
        <w:gridCol w:w="96"/>
        <w:gridCol w:w="118"/>
        <w:gridCol w:w="131"/>
        <w:gridCol w:w="990"/>
        <w:gridCol w:w="96"/>
        <w:gridCol w:w="118"/>
        <w:gridCol w:w="131"/>
        <w:gridCol w:w="1030"/>
        <w:gridCol w:w="96"/>
        <w:gridCol w:w="118"/>
        <w:gridCol w:w="131"/>
        <w:gridCol w:w="990"/>
        <w:gridCol w:w="111"/>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92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30"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990"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928" w:type="dxa"/>
            <w:tcBorders/>
            <w:shd w:fill="auto" w:val="clear"/>
            <w:vAlign w:val="center"/>
          </w:tcPr>
          <w:p>
            <w:pPr>
              <w:pStyle w:val="TableContents"/>
              <w:spacing w:before="0" w:after="0"/>
              <w:ind w:left="0" w:right="0" w:firstLine="30"/>
              <w:rPr/>
            </w:pPr>
            <w:r>
              <w:rPr/>
              <w:t> </w:t>
            </w:r>
          </w:p>
        </w:tc>
        <w:tc>
          <w:tcPr>
            <w:tcW w:w="255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br/>
              <w:t>June 30,</w:t>
            </w:r>
          </w:p>
        </w:tc>
        <w:tc>
          <w:tcPr>
            <w:tcW w:w="118" w:type="dxa"/>
            <w:tcBorders/>
            <w:shd w:fill="auto" w:val="clear"/>
            <w:vAlign w:val="center"/>
          </w:tcPr>
          <w:p>
            <w:pPr>
              <w:pStyle w:val="TableContents"/>
              <w:spacing w:before="0" w:after="0"/>
              <w:ind w:left="0" w:right="0" w:firstLine="30"/>
              <w:rPr/>
            </w:pPr>
            <w:r>
              <w:rPr/>
              <w:t> </w:t>
            </w:r>
          </w:p>
        </w:tc>
        <w:tc>
          <w:tcPr>
            <w:tcW w:w="260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4928" w:type="dxa"/>
            <w:tcBorders/>
            <w:shd w:fill="auto" w:val="clear"/>
            <w:vAlign w:val="center"/>
          </w:tcPr>
          <w:p>
            <w:pPr>
              <w:pStyle w:val="TableContents"/>
              <w:spacing w:before="0" w:after="0"/>
              <w:ind w:left="0" w:right="0" w:firstLine="30"/>
              <w:jc w:val="left"/>
              <w:rPr/>
            </w:pPr>
            <w:r>
              <w:rPr/>
              <w:t> </w:t>
            </w:r>
          </w:p>
        </w:tc>
        <w:tc>
          <w:tcPr>
            <w:tcW w:w="12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18" w:type="dxa"/>
            <w:tcBorders/>
            <w:shd w:fill="auto" w:val="clear"/>
            <w:vAlign w:val="center"/>
          </w:tcPr>
          <w:p>
            <w:pPr>
              <w:pStyle w:val="TableContents"/>
              <w:spacing w:before="0" w:after="0"/>
              <w:ind w:left="0" w:right="0" w:firstLine="30"/>
              <w:rPr/>
            </w:pPr>
            <w:r>
              <w:rPr/>
              <w:t> </w:t>
            </w:r>
          </w:p>
        </w:tc>
        <w:tc>
          <w:tcPr>
            <w:tcW w:w="12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18" w:type="dxa"/>
            <w:tcBorders/>
            <w:shd w:fill="auto" w:val="clear"/>
            <w:vAlign w:val="center"/>
          </w:tcPr>
          <w:p>
            <w:pPr>
              <w:pStyle w:val="TableContents"/>
              <w:spacing w:before="0" w:after="0"/>
              <w:ind w:left="0" w:right="0" w:firstLine="30"/>
              <w:rPr/>
            </w:pPr>
            <w:r>
              <w:rPr/>
              <w:t> </w:t>
            </w:r>
          </w:p>
        </w:tc>
        <w:tc>
          <w:tcPr>
            <w:tcW w:w="12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18" w:type="dxa"/>
            <w:tcBorders/>
            <w:shd w:fill="auto" w:val="clear"/>
            <w:vAlign w:val="center"/>
          </w:tcPr>
          <w:p>
            <w:pPr>
              <w:pStyle w:val="TableContents"/>
              <w:spacing w:before="0" w:after="0"/>
              <w:ind w:left="0" w:right="0" w:firstLine="30"/>
              <w:rPr/>
            </w:pPr>
            <w:r>
              <w:rPr/>
              <w:t> </w:t>
            </w:r>
          </w:p>
        </w:tc>
        <w:tc>
          <w:tcPr>
            <w:tcW w:w="12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4928" w:type="dxa"/>
            <w:tcBorders/>
            <w:shd w:fill="auto" w:val="clear"/>
            <w:vAlign w:val="center"/>
          </w:tcPr>
          <w:p>
            <w:pPr>
              <w:pStyle w:val="TableContents"/>
              <w:spacing w:before="0" w:after="0"/>
              <w:ind w:left="0" w:right="0" w:firstLine="30"/>
              <w:jc w:val="left"/>
              <w:rPr/>
            </w:pPr>
            <w:r>
              <w:rPr/>
              <w:t> </w:t>
            </w:r>
          </w:p>
        </w:tc>
        <w:tc>
          <w:tcPr>
            <w:tcW w:w="5277"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except per share amounts)</w:t>
            </w:r>
          </w:p>
        </w:tc>
      </w:tr>
      <w:tr>
        <w:trPr/>
        <w:tc>
          <w:tcPr>
            <w:tcW w:w="49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 (A)</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shd w:fill="CCEEFF" w:val="clear"/>
            <w:vAlign w:val="center"/>
          </w:tcPr>
          <w:p>
            <w:pPr>
              <w:pStyle w:val="TableContents"/>
              <w:spacing w:before="0" w:after="0"/>
              <w:jc w:val="right"/>
              <w:rPr>
                <w:rFonts w:ascii="inherit" w:hAnsi="inherit"/>
                <w:sz w:val="17"/>
              </w:rPr>
            </w:pPr>
            <w:r>
              <w:rPr>
                <w:rFonts w:ascii="inherit" w:hAnsi="inherit"/>
                <w:sz w:val="17"/>
              </w:rPr>
              <w:t>28,523</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shd w:fill="CCEEFF" w:val="clear"/>
            <w:vAlign w:val="center"/>
          </w:tcPr>
          <w:p>
            <w:pPr>
              <w:pStyle w:val="TableContents"/>
              <w:spacing w:before="0" w:after="0"/>
              <w:jc w:val="right"/>
              <w:rPr>
                <w:rFonts w:ascii="inherit" w:hAnsi="inherit"/>
                <w:sz w:val="17"/>
              </w:rPr>
            </w:pPr>
            <w:r>
              <w:rPr>
                <w:rFonts w:ascii="inherit" w:hAnsi="inherit"/>
                <w:sz w:val="17"/>
              </w:rPr>
              <w:t>26,527</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shd w:fill="CCEEFF" w:val="clear"/>
            <w:vAlign w:val="center"/>
          </w:tcPr>
          <w:p>
            <w:pPr>
              <w:pStyle w:val="TableContents"/>
              <w:spacing w:before="0" w:after="0"/>
              <w:jc w:val="right"/>
              <w:rPr>
                <w:rFonts w:ascii="inherit" w:hAnsi="inherit"/>
                <w:sz w:val="17"/>
              </w:rPr>
            </w:pPr>
            <w:r>
              <w:rPr>
                <w:rFonts w:ascii="inherit" w:hAnsi="inherit"/>
                <w:sz w:val="17"/>
              </w:rPr>
              <w:t>105,136</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shd w:fill="CCEEFF" w:val="clear"/>
            <w:vAlign w:val="center"/>
          </w:tcPr>
          <w:p>
            <w:pPr>
              <w:pStyle w:val="TableContents"/>
              <w:spacing w:before="0" w:after="0"/>
              <w:jc w:val="right"/>
              <w:rPr>
                <w:rFonts w:ascii="inherit" w:hAnsi="inherit"/>
                <w:sz w:val="17"/>
              </w:rPr>
            </w:pPr>
            <w:r>
              <w:rPr>
                <w:rFonts w:ascii="inherit" w:hAnsi="inherit"/>
                <w:sz w:val="17"/>
              </w:rPr>
              <w:t>85,794</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outstanding shares of common stock (B)</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51,162</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49,926</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50,769</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49,849</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Dilutive effect of stock options and restricted stock</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459</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273</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443</w:t>
            </w:r>
          </w:p>
        </w:tc>
        <w:tc>
          <w:tcPr>
            <w:tcW w:w="1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Weighted average common stock and common stock equivalents (C)</w:t>
            </w:r>
          </w:p>
        </w:tc>
        <w:tc>
          <w:tcPr>
            <w:tcW w:w="112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51,340</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2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50,385</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6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51,042</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2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50,292</w:t>
            </w:r>
          </w:p>
        </w:tc>
        <w:tc>
          <w:tcPr>
            <w:tcW w:w="11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Basic earnings per share (A/B)</w:t>
            </w:r>
          </w:p>
        </w:tc>
        <w:tc>
          <w:tcPr>
            <w:tcW w:w="131"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9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1"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0.53</w:t>
            </w:r>
          </w:p>
        </w:tc>
        <w:tc>
          <w:tcPr>
            <w:tcW w:w="9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1"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2.07</w:t>
            </w:r>
          </w:p>
        </w:tc>
        <w:tc>
          <w:tcPr>
            <w:tcW w:w="96"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1"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top w:val="double" w:sz="6"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1.72</w:t>
            </w:r>
          </w:p>
        </w:tc>
        <w:tc>
          <w:tcPr>
            <w:tcW w:w="111" w:type="dxa"/>
            <w:tcBorders>
              <w:top w:val="double" w:sz="6"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2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Diluted earnings per share (A/C)</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0.56</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0.53</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1.71</w:t>
            </w:r>
          </w:p>
        </w:tc>
        <w:tc>
          <w:tcPr>
            <w:tcW w:w="11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92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Potential common shares excluded from the calculation of diluted earnings per share</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pPr>
            <w:r>
              <w:rPr/>
              <w:t>—</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6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11"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16" w:name="sDEDAC9BE1C1255134DDBA41247CE3BEA"/>
      <w:bookmarkEnd w:id="16"/>
      <w:r>
        <w:rPr>
          <w:rFonts w:ascii="inherit" w:hAnsi="inherit"/>
          <w:b/>
          <w:sz w:val="17"/>
        </w:rPr>
        <w:t>Note D: Strategic Investments and Fair Value of Financial Instruments</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2012</w:t>
      </w:r>
      <w:r>
        <w:rPr>
          <w:rFonts w:ascii="inherit" w:hAnsi="inherit"/>
          <w:sz w:val="17"/>
        </w:rPr>
        <w:t xml:space="preserve">, we owned </w:t>
      </w:r>
      <w:r>
        <w:rPr>
          <w:rFonts w:ascii="inherit" w:hAnsi="inherit"/>
          <w:strike w:val="false"/>
          <w:dstrike w:val="false"/>
          <w:color w:val="000000"/>
          <w:sz w:val="17"/>
          <w:u w:val="none"/>
          <w:effect w:val="none"/>
        </w:rPr>
        <w:t>16,644,640</w:t>
      </w:r>
      <w:r>
        <w:rPr>
          <w:sz w:val="17"/>
        </w:rPr>
        <w:t xml:space="preserve"> </w:t>
      </w:r>
      <w:r>
        <w:rPr>
          <w:rFonts w:ascii="inherit" w:hAnsi="inherit"/>
          <w:sz w:val="17"/>
        </w:rPr>
        <w:t xml:space="preserve">ordinary shares of Albemarle &amp; Bond Holdings, PLC, representing almost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its total outstanding shares. Our total cost for those shares was approximately </w:t>
      </w:r>
      <w:r>
        <w:rPr>
          <w:rFonts w:ascii="inherit" w:hAnsi="inherit"/>
          <w:strike w:val="false"/>
          <w:dstrike w:val="false"/>
          <w:color w:val="000000"/>
          <w:sz w:val="17"/>
          <w:u w:val="none"/>
          <w:effect w:val="none"/>
        </w:rPr>
        <w:t>$27.6 million</w:t>
      </w:r>
      <w:r>
        <w:rPr>
          <w:rFonts w:ascii="inherit" w:hAnsi="inherit"/>
          <w:sz w:val="17"/>
        </w:rPr>
        <w:t xml:space="preserve">. Albemarle &amp; Bond is primarily engaged in pawnbroking, retail jewelry sales, check cashing and lending in the United Kingdom. We account for the investment using the equity method. Since Albemarle &amp; Bond’s fiscal year ends three months prior to ours, we report the income from this investment on a </w:t>
      </w:r>
      <w:r>
        <w:rPr>
          <w:rFonts w:ascii="inherit" w:hAnsi="inherit"/>
          <w:strike w:val="false"/>
          <w:dstrike w:val="false"/>
          <w:color w:val="000000"/>
          <w:sz w:val="17"/>
          <w:u w:val="none"/>
          <w:effect w:val="none"/>
        </w:rPr>
        <w:t>three-month lag</w:t>
      </w:r>
      <w:r>
        <w:rPr>
          <w:rFonts w:ascii="inherit" w:hAnsi="inherit"/>
          <w:sz w:val="17"/>
        </w:rPr>
        <w:t xml:space="preserve">. Albemarle &amp; Bond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The income reported for our year-to-date period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represents our percentage interest in the results of Albemarle &amp; Bond’s operations from July 1, 2011 to March 31, 2012.</w:t>
      </w:r>
    </w:p>
    <w:p>
      <w:pPr>
        <w:pStyle w:val="TextBody"/>
        <w:spacing w:lineRule="auto" w:line="288" w:before="0" w:after="0"/>
        <w:rPr>
          <w:rFonts w:ascii="inherit" w:hAnsi="inherit"/>
          <w:sz w:val="17"/>
        </w:rPr>
      </w:pPr>
      <w:r>
        <w:rPr>
          <w:rFonts w:ascii="inherit" w:hAnsi="inherit"/>
          <w:sz w:val="17"/>
        </w:rPr>
        <w:t>Conversion of Albemarle &amp; Bond’s financial statements into U.S. GAAP resulted in no material differences from those reported by Albemarle &amp; Bond following IFRS.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11</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In its functional currency of British pounds, Albemarle &amp; Bond’s total assets increased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December 31, 2010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and its net income for the six months ended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improved </w:t>
      </w:r>
      <w:r>
        <w:rPr>
          <w:rFonts w:ascii="inherit" w:hAnsi="inherit"/>
          <w:strike w:val="false"/>
          <w:dstrike w:val="false"/>
          <w:color w:val="000000"/>
          <w:sz w:val="17"/>
          <w:u w:val="none"/>
          <w:effect w:val="none"/>
        </w:rPr>
        <w:t>16%</w:t>
      </w:r>
      <w:r>
        <w:rPr>
          <w:rFonts w:ascii="inherit" w:hAnsi="inherit"/>
          <w:sz w:val="17"/>
        </w:rPr>
        <w:t xml:space="preserve">. Below is summarized financial information for Albemarle &amp; Bond’s most recently reported results after translation to U.S. dollars (using the exchange rate as of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of each year for balance sheet items and average exchange rates for the income statement items for the periods indicated):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As of December 31,</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2010</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134,387</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121,519</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65,354</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56,755</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199,741</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178,274</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21,021</w:t>
            </w:r>
          </w:p>
        </w:tc>
        <w:tc>
          <w:tcPr>
            <w:tcW w:w="98"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top w:val="double" w:sz="6"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top w:val="double" w:sz="6"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25,801</w:t>
            </w:r>
          </w:p>
        </w:tc>
        <w:tc>
          <w:tcPr>
            <w:tcW w:w="443" w:type="dxa"/>
            <w:tcBorders>
              <w:top w:val="double" w:sz="6"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62,169</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53,497</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116,551</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98,976</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199,741</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178,274</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7123"/>
        <w:gridCol w:w="156"/>
        <w:gridCol w:w="1206"/>
        <w:gridCol w:w="104"/>
        <w:gridCol w:w="137"/>
        <w:gridCol w:w="156"/>
        <w:gridCol w:w="1206"/>
        <w:gridCol w:w="117"/>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center"/>
          </w:tcPr>
          <w:p>
            <w:pPr>
              <w:pStyle w:val="TableContents"/>
              <w:spacing w:before="0" w:after="283"/>
              <w:rPr>
                <w:sz w:val="4"/>
                <w:szCs w:val="4"/>
              </w:rPr>
            </w:pPr>
            <w:r>
              <w:rPr>
                <w:sz w:val="4"/>
                <w:szCs w:val="4"/>
              </w:rPr>
            </w:r>
          </w:p>
        </w:tc>
        <w:tc>
          <w:tcPr>
            <w:tcW w:w="13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23" w:type="dxa"/>
            <w:tcBorders/>
            <w:shd w:fill="auto" w:val="clear"/>
            <w:vAlign w:val="center"/>
          </w:tcPr>
          <w:p>
            <w:pPr>
              <w:pStyle w:val="TableContents"/>
              <w:spacing w:before="0" w:after="0"/>
              <w:ind w:left="0" w:right="0" w:firstLine="30"/>
              <w:jc w:val="left"/>
              <w:rPr/>
            </w:pPr>
            <w:r>
              <w:rPr/>
              <w:t> </w:t>
            </w:r>
          </w:p>
        </w:tc>
        <w:tc>
          <w:tcPr>
            <w:tcW w:w="308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Six Months Ended December 31,</w:t>
            </w:r>
          </w:p>
        </w:tc>
      </w:tr>
      <w:tr>
        <w:trPr/>
        <w:tc>
          <w:tcPr>
            <w:tcW w:w="7123" w:type="dxa"/>
            <w:tcBorders/>
            <w:shd w:fill="auto" w:val="clear"/>
            <w:vAlign w:val="center"/>
          </w:tcPr>
          <w:p>
            <w:pPr>
              <w:pStyle w:val="TableContents"/>
              <w:spacing w:before="0" w:after="0"/>
              <w:ind w:left="0" w:right="0" w:firstLine="30"/>
              <w:jc w:val="left"/>
              <w:rPr/>
            </w:pPr>
            <w:r>
              <w:rPr/>
              <w:t> </w:t>
            </w:r>
          </w:p>
        </w:tc>
        <w:tc>
          <w:tcPr>
            <w:tcW w:w="14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37" w:type="dxa"/>
            <w:tcBorders/>
            <w:shd w:fill="auto" w:val="clear"/>
            <w:vAlign w:val="center"/>
          </w:tcPr>
          <w:p>
            <w:pPr>
              <w:pStyle w:val="TableContents"/>
              <w:spacing w:before="0" w:after="0"/>
              <w:ind w:left="0" w:right="0" w:firstLine="30"/>
              <w:rPr/>
            </w:pPr>
            <w:r>
              <w:rPr/>
              <w:t> </w:t>
            </w:r>
          </w:p>
        </w:tc>
        <w:tc>
          <w:tcPr>
            <w:tcW w:w="147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2010</w:t>
            </w:r>
          </w:p>
        </w:tc>
      </w:tr>
      <w:tr>
        <w:trPr/>
        <w:tc>
          <w:tcPr>
            <w:tcW w:w="7123" w:type="dxa"/>
            <w:tcBorders/>
            <w:shd w:fill="auto" w:val="clear"/>
            <w:vAlign w:val="center"/>
          </w:tcPr>
          <w:p>
            <w:pPr>
              <w:pStyle w:val="TableContents"/>
              <w:spacing w:before="0" w:after="0"/>
              <w:ind w:left="0" w:right="0" w:firstLine="30"/>
              <w:jc w:val="left"/>
              <w:rPr/>
            </w:pPr>
            <w:r>
              <w:rPr/>
              <w:t> </w:t>
            </w:r>
          </w:p>
        </w:tc>
        <w:tc>
          <w:tcPr>
            <w:tcW w:w="3082"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CCEEFF" w:val="clear"/>
            <w:vAlign w:val="center"/>
          </w:tcPr>
          <w:p>
            <w:pPr>
              <w:pStyle w:val="TableContents"/>
              <w:spacing w:before="0" w:after="0"/>
              <w:jc w:val="right"/>
              <w:rPr>
                <w:rFonts w:ascii="inherit" w:hAnsi="inherit"/>
                <w:sz w:val="17"/>
              </w:rPr>
            </w:pPr>
            <w:r>
              <w:rPr>
                <w:rFonts w:ascii="inherit" w:hAnsi="inherit"/>
                <w:sz w:val="17"/>
              </w:rPr>
              <w:t>99,804</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5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6" w:type="dxa"/>
            <w:tcBorders/>
            <w:shd w:fill="CCEEFF" w:val="clear"/>
            <w:vAlign w:val="center"/>
          </w:tcPr>
          <w:p>
            <w:pPr>
              <w:pStyle w:val="TableContents"/>
              <w:spacing w:before="0" w:after="0"/>
              <w:jc w:val="right"/>
              <w:rPr>
                <w:rFonts w:ascii="inherit" w:hAnsi="inherit"/>
                <w:sz w:val="17"/>
              </w:rPr>
            </w:pPr>
            <w:r>
              <w:rPr>
                <w:rFonts w:ascii="inherit" w:hAnsi="inherit"/>
                <w:sz w:val="17"/>
              </w:rPr>
              <w:t>76,424</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3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58,165</w:t>
            </w:r>
          </w:p>
        </w:tc>
        <w:tc>
          <w:tcPr>
            <w:tcW w:w="1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auto" w:val="clear"/>
            <w:vAlign w:val="center"/>
          </w:tcPr>
          <w:p>
            <w:pPr>
              <w:pStyle w:val="TableContents"/>
              <w:spacing w:before="0" w:after="0"/>
              <w:ind w:left="0" w:right="0" w:firstLine="30"/>
              <w:rPr/>
            </w:pPr>
            <w:r>
              <w:rPr/>
              <w:t> </w:t>
            </w:r>
          </w:p>
        </w:tc>
        <w:tc>
          <w:tcPr>
            <w:tcW w:w="136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46,745</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3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14,208</w:t>
            </w:r>
          </w:p>
        </w:tc>
        <w:tc>
          <w:tcPr>
            <w:tcW w:w="1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7" w:type="dxa"/>
            <w:tcBorders/>
            <w:shd w:fill="CCEEFF" w:val="clear"/>
            <w:vAlign w:val="center"/>
          </w:tcPr>
          <w:p>
            <w:pPr>
              <w:pStyle w:val="TableContents"/>
              <w:spacing w:before="0" w:after="0"/>
              <w:ind w:left="0" w:right="0" w:firstLine="30"/>
              <w:rPr/>
            </w:pPr>
            <w:r>
              <w:rPr/>
              <w:t> </w:t>
            </w:r>
          </w:p>
        </w:tc>
        <w:tc>
          <w:tcPr>
            <w:tcW w:w="136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12,088</w:t>
            </w:r>
          </w:p>
        </w:tc>
        <w:tc>
          <w:tcPr>
            <w:tcW w:w="11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72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2012</w:t>
      </w:r>
      <w:r>
        <w:rPr>
          <w:rFonts w:ascii="inherit" w:hAnsi="inherit"/>
          <w:sz w:val="17"/>
        </w:rPr>
        <w:t xml:space="preserve">, we owned </w:t>
      </w:r>
      <w:r>
        <w:rPr>
          <w:rFonts w:ascii="inherit" w:hAnsi="inherit"/>
          <w:strike w:val="false"/>
          <w:dstrike w:val="false"/>
          <w:color w:val="000000"/>
          <w:sz w:val="17"/>
          <w:u w:val="none"/>
          <w:effect w:val="none"/>
        </w:rPr>
        <w:t>124,418,000</w:t>
      </w:r>
      <w:r>
        <w:rPr>
          <w:sz w:val="17"/>
        </w:rPr>
        <w:t xml:space="preserve"> </w:t>
      </w:r>
      <w:r>
        <w:rPr>
          <w:rFonts w:ascii="inherit" w:hAnsi="inherit"/>
          <w:sz w:val="17"/>
        </w:rPr>
        <w:t xml:space="preserve">shares, or approximately </w:t>
      </w:r>
      <w:r>
        <w:rPr>
          <w:rFonts w:ascii="inherit" w:hAnsi="inherit"/>
          <w:strike w:val="false"/>
          <w:dstrike w:val="false"/>
          <w:color w:val="000000"/>
          <w:sz w:val="17"/>
          <w:u w:val="none"/>
          <w:effect w:val="none"/>
        </w:rPr>
        <w:t>33%</w:t>
      </w:r>
      <w:r>
        <w:rPr>
          <w:sz w:val="17"/>
        </w:rPr>
        <w:t xml:space="preserve"> </w:t>
      </w:r>
      <w:r>
        <w:rPr>
          <w:rFonts w:ascii="inherit" w:hAnsi="inherit"/>
          <w:sz w:val="17"/>
        </w:rPr>
        <w:t xml:space="preserve">of the total ordinary shares of Cash Converters International Limited, which is a publicly traded company headquartered in Perth, Australia. We acquired the shares between </w:t>
      </w:r>
      <w:r>
        <w:rPr>
          <w:rFonts w:ascii="inherit" w:hAnsi="inherit"/>
          <w:strike w:val="false"/>
          <w:dstrike w:val="false"/>
          <w:color w:val="000000"/>
          <w:sz w:val="17"/>
          <w:u w:val="none"/>
          <w:effect w:val="none"/>
        </w:rPr>
        <w:t>November 2009</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May 2010</w:t>
      </w:r>
      <w:r>
        <w:rPr>
          <w:sz w:val="17"/>
        </w:rPr>
        <w:t xml:space="preserve"> </w:t>
      </w:r>
      <w:r>
        <w:rPr>
          <w:rFonts w:ascii="inherit" w:hAnsi="inherit"/>
          <w:sz w:val="17"/>
        </w:rPr>
        <w:t xml:space="preserve">for approximately </w:t>
      </w:r>
      <w:r>
        <w:rPr>
          <w:rFonts w:ascii="inherit" w:hAnsi="inherit"/>
          <w:strike w:val="false"/>
          <w:dstrike w:val="false"/>
          <w:color w:val="000000"/>
          <w:sz w:val="17"/>
          <w:u w:val="none"/>
          <w:effect w:val="none"/>
        </w:rPr>
        <w:t>$57.8 million</w:t>
      </w:r>
      <w:r>
        <w:rPr>
          <w:rFonts w:ascii="inherit" w:hAnsi="inherit"/>
          <w:sz w:val="17"/>
        </w:rPr>
        <w:t xml:space="preserve">. Cash Converters franchises and operates a worldwide network of over </w:t>
      </w:r>
      <w:r>
        <w:rPr>
          <w:rFonts w:ascii="inherit" w:hAnsi="inherit"/>
          <w:strike w:val="false"/>
          <w:dstrike w:val="false"/>
          <w:color w:val="000000"/>
          <w:sz w:val="17"/>
          <w:u w:val="none"/>
          <w:effect w:val="none"/>
        </w:rPr>
        <w:t>600</w:t>
      </w:r>
      <w:r>
        <w:rPr>
          <w:sz w:val="17"/>
        </w:rPr>
        <w:t xml:space="preserve"> </w:t>
      </w:r>
      <w:r>
        <w:rPr>
          <w:rFonts w:ascii="inherit" w:hAnsi="inherit"/>
          <w:sz w:val="17"/>
        </w:rPr>
        <w:t>specialty financial services and retail stores that provide pawn loans, short-term unsecured loans and other consumer finance products, and buy and sell second-hand goods. Cash Converters has significant store concentrations in Australia and the United Kingdom.</w:t>
      </w:r>
    </w:p>
    <w:p>
      <w:pPr>
        <w:pStyle w:val="TextBody"/>
        <w:spacing w:lineRule="auto" w:line="288" w:before="0" w:after="0"/>
        <w:rPr>
          <w:sz w:val="17"/>
        </w:rPr>
      </w:pPr>
      <w:r>
        <w:rPr>
          <w:rFonts w:ascii="inherit" w:hAnsi="inherit"/>
          <w:sz w:val="17"/>
        </w:rPr>
        <w:t xml:space="preserve">We account for our investment in Cash Converters using the equity method. Since Cash Converters’ fiscal year ends three months prior to ours, we report the income from this investment on a </w:t>
      </w:r>
      <w:r>
        <w:rPr>
          <w:rFonts w:ascii="inherit" w:hAnsi="inherit"/>
          <w:strike w:val="false"/>
          <w:dstrike w:val="false"/>
          <w:color w:val="000000"/>
          <w:sz w:val="17"/>
          <w:u w:val="none"/>
          <w:effect w:val="none"/>
        </w:rPr>
        <w:t>three-month lag</w:t>
      </w:r>
      <w:r>
        <w:rPr>
          <w:rFonts w:ascii="inherit" w:hAnsi="inherit"/>
          <w:sz w:val="17"/>
        </w:rPr>
        <w:t xml:space="preserve">. Cash Converters files semi-annual financial reports for its fiscal periods ending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June 30</w:t>
      </w:r>
      <w:r>
        <w:rPr>
          <w:rFonts w:ascii="inherit" w:hAnsi="inherit"/>
          <w:sz w:val="17"/>
        </w:rPr>
        <w:t xml:space="preserve">. Due to the </w:t>
      </w:r>
      <w:r>
        <w:rPr>
          <w:rFonts w:ascii="inherit" w:hAnsi="inherit"/>
          <w:strike w:val="false"/>
          <w:dstrike w:val="false"/>
          <w:color w:val="000000"/>
          <w:sz w:val="17"/>
          <w:u w:val="none"/>
          <w:effect w:val="none"/>
        </w:rPr>
        <w:t>three-month lag</w:t>
      </w:r>
      <w:r>
        <w:rPr>
          <w:rFonts w:ascii="inherit" w:hAnsi="inherit"/>
          <w:sz w:val="17"/>
        </w:rPr>
        <w:t xml:space="preserve">, income reported for our year-to-date period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represents our percentage interest in the results of Cash Converters’ operations from July 1, 2011 to March 31, 2012.</w:t>
      </w:r>
    </w:p>
    <w:p>
      <w:pPr>
        <w:pStyle w:val="TextBody"/>
        <w:spacing w:lineRule="auto" w:line="288" w:before="0" w:after="0"/>
        <w:rPr>
          <w:rFonts w:ascii="inherit" w:hAnsi="inherit"/>
          <w:sz w:val="17"/>
        </w:rPr>
      </w:pPr>
      <w:r>
        <w:rPr>
          <w:rFonts w:ascii="inherit" w:hAnsi="inherit"/>
          <w:sz w:val="17"/>
        </w:rPr>
        <w:t>Conversion of Cash Converters’ financial statements into U.S. GAAP resulted in no material differences from those reported by Cash Converters following IFRS.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12</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In its functional currency of Australian dollars, Cash Converters’ total assets increased </w:t>
      </w:r>
      <w:r>
        <w:rPr>
          <w:rFonts w:ascii="inherit" w:hAnsi="inherit"/>
          <w:strike w:val="false"/>
          <w:dstrike w:val="false"/>
          <w:color w:val="000000"/>
          <w:sz w:val="17"/>
          <w:u w:val="none"/>
          <w:effect w:val="none"/>
        </w:rPr>
        <w:t>17%</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December 31, 2010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December 31, 2011</w:t>
      </w:r>
      <w:r>
        <w:rPr>
          <w:sz w:val="17"/>
        </w:rPr>
        <w:t xml:space="preserve"> </w:t>
      </w:r>
      <w:r>
        <w:rPr>
          <w:rFonts w:ascii="inherit" w:hAnsi="inherit"/>
          <w:sz w:val="17"/>
        </w:rPr>
        <w:t xml:space="preserve">and its net income decreased </w:t>
      </w:r>
      <w:r>
        <w:rPr>
          <w:rFonts w:ascii="inherit" w:hAnsi="inherit"/>
          <w:strike w:val="false"/>
          <w:dstrike w:val="false"/>
          <w:color w:val="000000"/>
          <w:sz w:val="17"/>
          <w:u w:val="none"/>
          <w:effect w:val="none"/>
        </w:rPr>
        <w:t>7%</w:t>
      </w:r>
      <w:r>
        <w:rPr>
          <w:sz w:val="17"/>
        </w:rPr>
        <w:t xml:space="preserve"> </w:t>
      </w:r>
      <w:r>
        <w:rPr>
          <w:rFonts w:ascii="inherit" w:hAnsi="inherit"/>
          <w:sz w:val="17"/>
        </w:rPr>
        <w:t xml:space="preserve">for the six months ended </w:t>
      </w:r>
      <w:r>
        <w:rPr>
          <w:rFonts w:ascii="inherit" w:hAnsi="inherit"/>
          <w:strike w:val="false"/>
          <w:dstrike w:val="false"/>
          <w:color w:val="000000"/>
          <w:sz w:val="17"/>
          <w:u w:val="none"/>
          <w:effect w:val="none"/>
        </w:rPr>
        <w:t>December 31, 2011</w:t>
      </w:r>
      <w:r>
        <w:rPr>
          <w:rFonts w:ascii="inherit" w:hAnsi="inherit"/>
          <w:sz w:val="17"/>
        </w:rPr>
        <w:t xml:space="preserve">. Below is summarized financial information for Cash Converters’ most recently reported results after translation to U.S. dollars (using the exchange rate as of </w:t>
      </w:r>
      <w:r>
        <w:rPr>
          <w:rFonts w:ascii="inherit" w:hAnsi="inherit"/>
          <w:strike w:val="false"/>
          <w:dstrike w:val="false"/>
          <w:color w:val="000000"/>
          <w:sz w:val="17"/>
          <w:u w:val="none"/>
          <w:effect w:val="none"/>
        </w:rPr>
        <w:t>December 31</w:t>
      </w:r>
      <w:r>
        <w:rPr>
          <w:sz w:val="17"/>
        </w:rPr>
        <w:t xml:space="preserve"> </w:t>
      </w:r>
      <w:r>
        <w:rPr>
          <w:rFonts w:ascii="inherit" w:hAnsi="inherit"/>
          <w:sz w:val="17"/>
        </w:rPr>
        <w:t>of each year for balance sheet items and average exchange rates for the income statement items for the periods indicated):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526"/>
        <w:gridCol w:w="178"/>
        <w:gridCol w:w="1317"/>
        <w:gridCol w:w="98"/>
        <w:gridCol w:w="148"/>
        <w:gridCol w:w="178"/>
        <w:gridCol w:w="1317"/>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26"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As of December 31,</w:t>
            </w:r>
          </w:p>
        </w:tc>
      </w:tr>
      <w:tr>
        <w:trPr/>
        <w:tc>
          <w:tcPr>
            <w:tcW w:w="6526" w:type="dxa"/>
            <w:tcBorders/>
            <w:shd w:fill="auto" w:val="clear"/>
            <w:vAlign w:val="center"/>
          </w:tcPr>
          <w:p>
            <w:pPr>
              <w:pStyle w:val="TableContents"/>
              <w:spacing w:before="0" w:after="0"/>
              <w:ind w:left="0" w:right="0" w:firstLine="30"/>
              <w:jc w:val="left"/>
              <w:rPr/>
            </w:pPr>
            <w:r>
              <w:rPr/>
              <w:t> </w:t>
            </w:r>
          </w:p>
        </w:tc>
        <w:tc>
          <w:tcPr>
            <w:tcW w:w="15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48" w:type="dxa"/>
            <w:tcBorders/>
            <w:shd w:fill="auto" w:val="clear"/>
            <w:vAlign w:val="center"/>
          </w:tcPr>
          <w:p>
            <w:pPr>
              <w:pStyle w:val="TableContents"/>
              <w:spacing w:before="0" w:after="0"/>
              <w:ind w:left="0" w:right="0" w:firstLine="30"/>
              <w:rPr/>
            </w:pPr>
            <w:r>
              <w:rPr/>
              <w:t> </w:t>
            </w:r>
          </w:p>
        </w:tc>
        <w:tc>
          <w:tcPr>
            <w:tcW w:w="193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2010</w:t>
            </w:r>
          </w:p>
        </w:tc>
      </w:tr>
      <w:tr>
        <w:trPr/>
        <w:tc>
          <w:tcPr>
            <w:tcW w:w="6526" w:type="dxa"/>
            <w:tcBorders/>
            <w:shd w:fill="auto" w:val="clear"/>
            <w:vAlign w:val="center"/>
          </w:tcPr>
          <w:p>
            <w:pPr>
              <w:pStyle w:val="TableContents"/>
              <w:spacing w:before="0" w:after="0"/>
              <w:ind w:left="0" w:right="0" w:firstLine="30"/>
              <w:jc w:val="left"/>
              <w:rPr/>
            </w:pPr>
            <w:r>
              <w:rPr/>
              <w:t> </w:t>
            </w:r>
          </w:p>
        </w:tc>
        <w:tc>
          <w:tcPr>
            <w:tcW w:w="367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128,289</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104,408</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Non-current assets</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121,835</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109,336</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250,124</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213,744</w:t>
            </w:r>
          </w:p>
        </w:tc>
        <w:tc>
          <w:tcPr>
            <w:tcW w:w="44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33,290</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auto" w:val="clear"/>
            <w:vAlign w:val="center"/>
          </w:tcPr>
          <w:p>
            <w:pPr>
              <w:pStyle w:val="TableContents"/>
              <w:spacing w:before="0" w:after="0"/>
              <w:jc w:val="right"/>
              <w:rPr>
                <w:rFonts w:ascii="inherit" w:hAnsi="inherit"/>
                <w:sz w:val="17"/>
              </w:rPr>
            </w:pPr>
            <w:r>
              <w:rPr>
                <w:rFonts w:ascii="inherit" w:hAnsi="inherit"/>
                <w:sz w:val="17"/>
              </w:rPr>
              <w:t>30,844</w:t>
            </w:r>
          </w:p>
        </w:tc>
        <w:tc>
          <w:tcPr>
            <w:tcW w:w="4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Non-current liabilities</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37,797</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49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11,970</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2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Shareholders’ equity</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179,037</w:t>
            </w:r>
          </w:p>
        </w:tc>
        <w:tc>
          <w:tcPr>
            <w:tcW w:w="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49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170,930</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2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shareholders’ equity</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250,124</w:t>
            </w:r>
          </w:p>
        </w:tc>
        <w:tc>
          <w:tcPr>
            <w:tcW w:w="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213,744</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7121"/>
        <w:gridCol w:w="151"/>
        <w:gridCol w:w="1241"/>
        <w:gridCol w:w="103"/>
        <w:gridCol w:w="134"/>
        <w:gridCol w:w="151"/>
        <w:gridCol w:w="1188"/>
        <w:gridCol w:w="116"/>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712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103"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88"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7121" w:type="dxa"/>
            <w:tcBorders/>
            <w:shd w:fill="auto" w:val="clear"/>
            <w:vAlign w:val="center"/>
          </w:tcPr>
          <w:p>
            <w:pPr>
              <w:pStyle w:val="TableContents"/>
              <w:spacing w:before="0" w:after="0"/>
              <w:ind w:left="0" w:right="0" w:firstLine="30"/>
              <w:jc w:val="left"/>
              <w:rPr/>
            </w:pPr>
            <w:r>
              <w:rPr/>
              <w:t> </w:t>
            </w:r>
          </w:p>
        </w:tc>
        <w:tc>
          <w:tcPr>
            <w:tcW w:w="308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Six Months Ended December 31,</w:t>
            </w:r>
          </w:p>
        </w:tc>
      </w:tr>
      <w:tr>
        <w:trPr/>
        <w:tc>
          <w:tcPr>
            <w:tcW w:w="7121" w:type="dxa"/>
            <w:tcBorders/>
            <w:shd w:fill="auto" w:val="clear"/>
            <w:vAlign w:val="center"/>
          </w:tcPr>
          <w:p>
            <w:pPr>
              <w:pStyle w:val="TableContents"/>
              <w:spacing w:before="0" w:after="0"/>
              <w:ind w:left="0" w:right="0" w:firstLine="30"/>
              <w:jc w:val="left"/>
              <w:rPr/>
            </w:pPr>
            <w:r>
              <w:rPr/>
              <w:t> </w:t>
            </w:r>
          </w:p>
        </w:tc>
        <w:tc>
          <w:tcPr>
            <w:tcW w:w="149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34" w:type="dxa"/>
            <w:tcBorders/>
            <w:shd w:fill="auto" w:val="clear"/>
            <w:vAlign w:val="center"/>
          </w:tcPr>
          <w:p>
            <w:pPr>
              <w:pStyle w:val="TableContents"/>
              <w:spacing w:before="0" w:after="0"/>
              <w:ind w:left="0" w:right="0" w:firstLine="30"/>
              <w:rPr/>
            </w:pPr>
            <w:r>
              <w:rPr/>
              <w:t> </w:t>
            </w:r>
          </w:p>
        </w:tc>
        <w:tc>
          <w:tcPr>
            <w:tcW w:w="14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2010</w:t>
            </w:r>
          </w:p>
        </w:tc>
      </w:tr>
      <w:tr>
        <w:trPr/>
        <w:tc>
          <w:tcPr>
            <w:tcW w:w="7121" w:type="dxa"/>
            <w:tcBorders/>
            <w:shd w:fill="auto" w:val="clear"/>
            <w:vAlign w:val="center"/>
          </w:tcPr>
          <w:p>
            <w:pPr>
              <w:pStyle w:val="TableContents"/>
              <w:spacing w:before="0" w:after="0"/>
              <w:ind w:left="0" w:right="0" w:firstLine="30"/>
              <w:jc w:val="left"/>
              <w:rPr/>
            </w:pPr>
            <w:r>
              <w:rPr/>
              <w:t> </w:t>
            </w:r>
          </w:p>
        </w:tc>
        <w:tc>
          <w:tcPr>
            <w:tcW w:w="308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7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revenues</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shd w:fill="CCEEFF" w:val="clear"/>
            <w:vAlign w:val="center"/>
          </w:tcPr>
          <w:p>
            <w:pPr>
              <w:pStyle w:val="TableContents"/>
              <w:spacing w:before="0" w:after="0"/>
              <w:jc w:val="right"/>
              <w:rPr>
                <w:rFonts w:ascii="inherit" w:hAnsi="inherit"/>
                <w:sz w:val="17"/>
              </w:rPr>
            </w:pPr>
            <w:r>
              <w:rPr>
                <w:rFonts w:ascii="inherit" w:hAnsi="inherit"/>
                <w:sz w:val="17"/>
              </w:rPr>
              <w:t>115,256</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5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8" w:type="dxa"/>
            <w:tcBorders/>
            <w:shd w:fill="CCEEFF" w:val="clear"/>
            <w:vAlign w:val="center"/>
          </w:tcPr>
          <w:p>
            <w:pPr>
              <w:pStyle w:val="TableContents"/>
              <w:spacing w:before="0" w:after="0"/>
              <w:jc w:val="right"/>
              <w:rPr>
                <w:rFonts w:ascii="inherit" w:hAnsi="inherit"/>
                <w:sz w:val="17"/>
              </w:rPr>
            </w:pPr>
            <w:r>
              <w:rPr>
                <w:rFonts w:ascii="inherit" w:hAnsi="inherit"/>
                <w:sz w:val="17"/>
              </w:rPr>
              <w:t>82,343</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profit</w:t>
            </w:r>
          </w:p>
        </w:tc>
        <w:tc>
          <w:tcPr>
            <w:tcW w:w="13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76,405</w:t>
            </w:r>
          </w:p>
        </w:tc>
        <w:tc>
          <w:tcPr>
            <w:tcW w:w="1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3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57,038</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7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Profit for the year (net income)</w:t>
            </w:r>
          </w:p>
        </w:tc>
        <w:tc>
          <w:tcPr>
            <w:tcW w:w="13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13,668</w:t>
            </w:r>
          </w:p>
        </w:tc>
        <w:tc>
          <w:tcPr>
            <w:tcW w:w="1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3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13,528</w:t>
            </w:r>
          </w:p>
        </w:tc>
        <w:tc>
          <w:tcPr>
            <w:tcW w:w="11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table below summarizes the recorded value and fair value of each of these strategic investments at the dates indicated. These fair values are considered Level 1 estimates within the fair value hierarchy of FASB ASC 820-10-50, and were calculated as (a) the quoted stock price on each company’s principal market multiplied by (b) the number of shares we owned multiplied by (c) the applicable foreign currency exchange rate at the dates indicated. We included no control premium for owning a large percentage of outstanding shares.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175"/>
        <w:gridCol w:w="175"/>
        <w:gridCol w:w="1195"/>
        <w:gridCol w:w="94"/>
        <w:gridCol w:w="145"/>
        <w:gridCol w:w="175"/>
        <w:gridCol w:w="1195"/>
        <w:gridCol w:w="94"/>
        <w:gridCol w:w="145"/>
        <w:gridCol w:w="175"/>
        <w:gridCol w:w="1195"/>
        <w:gridCol w:w="442"/>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9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44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75" w:type="dxa"/>
            <w:tcBorders/>
            <w:shd w:fill="auto" w:val="clear"/>
            <w:vAlign w:val="center"/>
          </w:tcPr>
          <w:p>
            <w:pPr>
              <w:pStyle w:val="TableContents"/>
              <w:spacing w:before="0" w:after="0"/>
              <w:ind w:left="0" w:right="0" w:firstLine="30"/>
              <w:jc w:val="left"/>
              <w:rPr/>
            </w:pPr>
            <w:r>
              <w:rPr/>
              <w:t> </w:t>
            </w:r>
          </w:p>
        </w:tc>
        <w:tc>
          <w:tcPr>
            <w:tcW w:w="307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45" w:type="dxa"/>
            <w:tcBorders/>
            <w:shd w:fill="auto" w:val="clear"/>
            <w:vAlign w:val="center"/>
          </w:tcPr>
          <w:p>
            <w:pPr>
              <w:pStyle w:val="TableContents"/>
              <w:spacing w:before="0" w:after="0"/>
              <w:ind w:left="0" w:right="0" w:firstLine="30"/>
              <w:rPr/>
            </w:pPr>
            <w:r>
              <w:rPr/>
              <w:t> </w:t>
            </w:r>
          </w:p>
        </w:tc>
        <w:tc>
          <w:tcPr>
            <w:tcW w:w="18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5175" w:type="dxa"/>
            <w:tcBorders/>
            <w:shd w:fill="auto" w:val="clear"/>
            <w:vAlign w:val="center"/>
          </w:tcPr>
          <w:p>
            <w:pPr>
              <w:pStyle w:val="TableContents"/>
              <w:spacing w:before="0" w:after="0"/>
              <w:ind w:left="0" w:right="0" w:firstLine="30"/>
              <w:jc w:val="left"/>
              <w:rPr/>
            </w:pPr>
            <w:r>
              <w:rPr/>
              <w:t> </w:t>
            </w:r>
          </w:p>
        </w:tc>
        <w:tc>
          <w:tcPr>
            <w:tcW w:w="14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5" w:type="dxa"/>
            <w:tcBorders/>
            <w:shd w:fill="auto" w:val="clear"/>
            <w:vAlign w:val="center"/>
          </w:tcPr>
          <w:p>
            <w:pPr>
              <w:pStyle w:val="TableContents"/>
              <w:spacing w:before="0" w:after="0"/>
              <w:ind w:left="0" w:right="0" w:firstLine="30"/>
              <w:rPr/>
            </w:pPr>
            <w:r>
              <w:rPr/>
              <w:t> </w:t>
            </w:r>
          </w:p>
        </w:tc>
        <w:tc>
          <w:tcPr>
            <w:tcW w:w="14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45" w:type="dxa"/>
            <w:tcBorders/>
            <w:shd w:fill="auto" w:val="clear"/>
            <w:vAlign w:val="center"/>
          </w:tcPr>
          <w:p>
            <w:pPr>
              <w:pStyle w:val="TableContents"/>
              <w:spacing w:before="0" w:after="0"/>
              <w:ind w:left="0" w:right="0" w:firstLine="30"/>
              <w:rPr/>
            </w:pPr>
            <w:r>
              <w:rPr/>
              <w:t> </w:t>
            </w:r>
          </w:p>
        </w:tc>
        <w:tc>
          <w:tcPr>
            <w:tcW w:w="18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175" w:type="dxa"/>
            <w:tcBorders/>
            <w:shd w:fill="auto" w:val="clear"/>
            <w:vAlign w:val="center"/>
          </w:tcPr>
          <w:p>
            <w:pPr>
              <w:pStyle w:val="TableContents"/>
              <w:spacing w:before="0" w:after="0"/>
              <w:ind w:left="0" w:right="0" w:firstLine="30"/>
              <w:jc w:val="left"/>
              <w:rPr/>
            </w:pPr>
            <w:r>
              <w:rPr/>
              <w:t> </w:t>
            </w:r>
          </w:p>
        </w:tc>
        <w:tc>
          <w:tcPr>
            <w:tcW w:w="5030"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 of U.S. dollars)</w:t>
            </w:r>
          </w:p>
        </w:tc>
      </w:tr>
      <w:tr>
        <w:trPr/>
        <w:tc>
          <w:tcPr>
            <w:tcW w:w="5175" w:type="dxa"/>
            <w:tcBorders/>
            <w:shd w:fill="CCEEFF"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Albemarle &amp; Bond:</w:t>
            </w:r>
          </w:p>
        </w:tc>
        <w:tc>
          <w:tcPr>
            <w:tcW w:w="1464" w:type="dxa"/>
            <w:gridSpan w:val="3"/>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ind w:left="0" w:right="0" w:firstLine="30"/>
              <w:rPr/>
            </w:pPr>
            <w:r>
              <w:rPr/>
              <w:t> </w:t>
            </w:r>
          </w:p>
        </w:tc>
        <w:tc>
          <w:tcPr>
            <w:tcW w:w="1464" w:type="dxa"/>
            <w:gridSpan w:val="3"/>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ind w:left="0" w:right="0" w:firstLine="30"/>
              <w:rPr/>
            </w:pPr>
            <w:r>
              <w:rPr/>
              <w:t> </w:t>
            </w:r>
          </w:p>
        </w:tc>
        <w:tc>
          <w:tcPr>
            <w:tcW w:w="1812" w:type="dxa"/>
            <w:gridSpan w:val="3"/>
            <w:tcBorders/>
            <w:shd w:fill="CCEEFF" w:val="clear"/>
            <w:vAlign w:val="center"/>
          </w:tcPr>
          <w:p>
            <w:pPr>
              <w:pStyle w:val="TableContents"/>
              <w:spacing w:before="0" w:after="0"/>
              <w:ind w:left="0" w:right="0" w:firstLine="420"/>
              <w:rPr/>
            </w:pPr>
            <w:r>
              <w:rPr/>
              <w:t> </w:t>
            </w:r>
          </w:p>
        </w:tc>
      </w:tr>
      <w:tr>
        <w:trPr/>
        <w:tc>
          <w:tcPr>
            <w:tcW w:w="5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auto" w:val="clear"/>
            <w:vAlign w:val="center"/>
          </w:tcPr>
          <w:p>
            <w:pPr>
              <w:pStyle w:val="TableContents"/>
              <w:spacing w:before="0" w:after="0"/>
              <w:jc w:val="right"/>
              <w:rPr>
                <w:rFonts w:ascii="inherit" w:hAnsi="inherit"/>
                <w:sz w:val="17"/>
              </w:rPr>
            </w:pPr>
            <w:r>
              <w:rPr>
                <w:rFonts w:ascii="inherit" w:hAnsi="inherit"/>
                <w:sz w:val="17"/>
              </w:rPr>
              <w:t>51,156</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auto" w:val="clear"/>
            <w:vAlign w:val="center"/>
          </w:tcPr>
          <w:p>
            <w:pPr>
              <w:pStyle w:val="TableContents"/>
              <w:spacing w:before="0" w:after="0"/>
              <w:jc w:val="right"/>
              <w:rPr>
                <w:rFonts w:ascii="inherit" w:hAnsi="inherit"/>
                <w:sz w:val="17"/>
              </w:rPr>
            </w:pPr>
            <w:r>
              <w:rPr>
                <w:rFonts w:ascii="inherit" w:hAnsi="inherit"/>
                <w:sz w:val="17"/>
              </w:rPr>
              <w:t>46,457</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auto" w:val="clear"/>
            <w:vAlign w:val="center"/>
          </w:tcPr>
          <w:p>
            <w:pPr>
              <w:pStyle w:val="TableContents"/>
              <w:spacing w:before="0" w:after="0"/>
              <w:jc w:val="right"/>
              <w:rPr>
                <w:rFonts w:ascii="inherit" w:hAnsi="inherit"/>
                <w:sz w:val="17"/>
              </w:rPr>
            </w:pPr>
            <w:r>
              <w:rPr>
                <w:rFonts w:ascii="inherit" w:hAnsi="inherit"/>
                <w:sz w:val="17"/>
              </w:rPr>
              <w:t>48,361</w:t>
            </w:r>
          </w:p>
        </w:tc>
        <w:tc>
          <w:tcPr>
            <w:tcW w:w="44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3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63,677</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3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99,180</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3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91,741</w:t>
            </w:r>
          </w:p>
        </w:tc>
        <w:tc>
          <w:tcPr>
            <w:tcW w:w="4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175" w:type="dxa"/>
            <w:tcBorders/>
            <w:shd w:fill="auto" w:val="clear"/>
            <w:vAlign w:val="center"/>
          </w:tcPr>
          <w:p>
            <w:pPr>
              <w:pStyle w:val="TableContents"/>
              <w:spacing w:before="0" w:after="0"/>
              <w:ind w:left="0" w:right="0" w:firstLine="30"/>
              <w:jc w:val="left"/>
              <w:rPr>
                <w:rFonts w:ascii="inherit" w:hAnsi="inherit"/>
                <w:sz w:val="17"/>
                <w:u w:val="single"/>
              </w:rPr>
            </w:pPr>
            <w:r>
              <w:rPr>
                <w:rFonts w:ascii="inherit" w:hAnsi="inherit"/>
                <w:sz w:val="17"/>
                <w:u w:val="single"/>
              </w:rPr>
              <w:t>Cash Converters:</w:t>
            </w:r>
          </w:p>
        </w:tc>
        <w:tc>
          <w:tcPr>
            <w:tcW w:w="146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1464" w:type="dxa"/>
            <w:gridSpan w:val="3"/>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ind w:left="0" w:right="0" w:firstLine="30"/>
              <w:rPr/>
            </w:pPr>
            <w:r>
              <w:rPr/>
              <w:t> </w:t>
            </w:r>
          </w:p>
        </w:tc>
        <w:tc>
          <w:tcPr>
            <w:tcW w:w="1812" w:type="dxa"/>
            <w:gridSpan w:val="3"/>
            <w:tcBorders/>
            <w:shd w:fill="auto" w:val="clear"/>
            <w:vAlign w:val="center"/>
          </w:tcPr>
          <w:p>
            <w:pPr>
              <w:pStyle w:val="TableContents"/>
              <w:spacing w:before="0" w:after="0"/>
              <w:ind w:left="0" w:right="0" w:firstLine="420"/>
              <w:rPr/>
            </w:pPr>
            <w:r>
              <w:rPr/>
              <w:t> </w:t>
            </w:r>
          </w:p>
        </w:tc>
      </w:tr>
      <w:tr>
        <w:trPr/>
        <w:tc>
          <w:tcPr>
            <w:tcW w:w="517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Recorded value</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CCEEFF" w:val="clear"/>
            <w:vAlign w:val="center"/>
          </w:tcPr>
          <w:p>
            <w:pPr>
              <w:pStyle w:val="TableContents"/>
              <w:spacing w:before="0" w:after="0"/>
              <w:jc w:val="right"/>
              <w:rPr>
                <w:rFonts w:ascii="inherit" w:hAnsi="inherit"/>
                <w:sz w:val="17"/>
              </w:rPr>
            </w:pPr>
            <w:r>
              <w:rPr>
                <w:rFonts w:ascii="inherit" w:hAnsi="inherit"/>
                <w:sz w:val="17"/>
              </w:rPr>
              <w:t>74,153</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CCEEFF" w:val="clear"/>
            <w:vAlign w:val="center"/>
          </w:tcPr>
          <w:p>
            <w:pPr>
              <w:pStyle w:val="TableContents"/>
              <w:spacing w:before="0" w:after="0"/>
              <w:jc w:val="right"/>
              <w:rPr>
                <w:rFonts w:ascii="inherit" w:hAnsi="inherit"/>
                <w:sz w:val="17"/>
              </w:rPr>
            </w:pPr>
            <w:r>
              <w:rPr>
                <w:rFonts w:ascii="inherit" w:hAnsi="inherit"/>
                <w:sz w:val="17"/>
              </w:rPr>
              <w:t>68,320</w:t>
            </w:r>
          </w:p>
        </w:tc>
        <w:tc>
          <w:tcPr>
            <w:tcW w:w="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5" w:type="dxa"/>
            <w:tcBorders/>
            <w:shd w:fill="CCEEFF" w:val="clear"/>
            <w:vAlign w:val="center"/>
          </w:tcPr>
          <w:p>
            <w:pPr>
              <w:pStyle w:val="TableContents"/>
              <w:spacing w:before="0" w:after="0"/>
              <w:jc w:val="right"/>
              <w:rPr>
                <w:rFonts w:ascii="inherit" w:hAnsi="inherit"/>
                <w:sz w:val="17"/>
              </w:rPr>
            </w:pPr>
            <w:r>
              <w:rPr>
                <w:rFonts w:ascii="inherit" w:hAnsi="inherit"/>
                <w:sz w:val="17"/>
              </w:rPr>
              <w:t>71,958</w:t>
            </w:r>
          </w:p>
        </w:tc>
        <w:tc>
          <w:tcPr>
            <w:tcW w:w="44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Fair value</w:t>
            </w:r>
          </w:p>
        </w:tc>
        <w:tc>
          <w:tcPr>
            <w:tcW w:w="13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80,894</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3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94,911</w:t>
            </w:r>
          </w:p>
        </w:tc>
        <w:tc>
          <w:tcPr>
            <w:tcW w:w="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5" w:type="dxa"/>
            <w:tcBorders/>
            <w:shd w:fill="auto" w:val="clear"/>
            <w:vAlign w:val="center"/>
          </w:tcPr>
          <w:p>
            <w:pPr>
              <w:pStyle w:val="TableContents"/>
              <w:spacing w:before="0" w:after="0"/>
              <w:ind w:left="0" w:right="0" w:firstLine="30"/>
              <w:rPr/>
            </w:pPr>
            <w:r>
              <w:rPr/>
              <w:t> </w:t>
            </w:r>
          </w:p>
        </w:tc>
        <w:tc>
          <w:tcPr>
            <w:tcW w:w="13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53,600</w:t>
            </w:r>
          </w:p>
        </w:tc>
        <w:tc>
          <w:tcPr>
            <w:tcW w:w="44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In </w:t>
      </w:r>
      <w:r>
        <w:rPr>
          <w:rFonts w:ascii="inherit" w:hAnsi="inherit"/>
          <w:strike w:val="false"/>
          <w:dstrike w:val="false"/>
          <w:color w:val="000000"/>
          <w:sz w:val="17"/>
          <w:u w:val="none"/>
          <w:effect w:val="none"/>
        </w:rPr>
        <w:t>August 2011</w:t>
      </w:r>
      <w:r>
        <w:rPr>
          <w:rFonts w:ascii="inherit" w:hAnsi="inherit"/>
          <w:sz w:val="17"/>
        </w:rPr>
        <w:t xml:space="preserve">, legislation was proposed in Australia that would, among other things, limit the interest charged on certain consumer loans and prohibit loan extensions and refinancing. That legislation, as proposed, could have adversely affected, Cash Converters’ consumer loan business in Australia, which could have the effect of decreasing Cash Converters’ revenues and earnings. As of </w:t>
      </w:r>
      <w:r>
        <w:rPr>
          <w:rFonts w:ascii="inherit" w:hAnsi="inherit"/>
          <w:strike w:val="false"/>
          <w:dstrike w:val="false"/>
          <w:color w:val="000000"/>
          <w:sz w:val="17"/>
          <w:u w:val="none"/>
          <w:effect w:val="none"/>
        </w:rPr>
        <w:t>September 30, 2011</w:t>
      </w:r>
      <w:r>
        <w:rPr>
          <w:rFonts w:ascii="inherit" w:hAnsi="inherit"/>
          <w:sz w:val="17"/>
        </w:rPr>
        <w:t xml:space="preserve">, the fair value of our investment in Cash Converters (based on the market price of Cash Converters’ stock as of that date) was below our recorded value. In light of Cash Converters’ statements at that time regarding its ability to mitigate the potential impact of the proposed legislation, we considered this loss in value to be temporary. The Consumer Credit and Corporations Legislation Amendment (Enhancements) Bill 2011 was passed by the Australian House of Representatives in June 2012. The Bill incorporates amendments that increase permitted fees and charges for microlending. The Bill is expected to be approved by the Australian Senate in September and to go into effect on July 1, 2013. As of </w:t>
      </w:r>
      <w:r>
        <w:rPr>
          <w:rFonts w:ascii="inherit" w:hAnsi="inherit"/>
          <w:strike w:val="false"/>
          <w:dstrike w:val="false"/>
          <w:color w:val="000000"/>
          <w:sz w:val="17"/>
          <w:u w:val="none"/>
          <w:effect w:val="none"/>
        </w:rPr>
        <w:t>June 30, 2012</w:t>
      </w:r>
      <w:r>
        <w:rPr>
          <w:rFonts w:ascii="inherit" w:hAnsi="inherit"/>
          <w:sz w:val="17"/>
        </w:rPr>
        <w:t>, the fair value of our investment in Cash Converters was above our recorded value, further supporting our assessment of the loss in value of its stock to be temporary.</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13</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17" w:name="s34886D5B30D576D55232A41247C45111"/>
      <w:bookmarkEnd w:id="17"/>
      <w:r>
        <w:rPr>
          <w:rFonts w:ascii="inherit" w:hAnsi="inherit"/>
          <w:b/>
          <w:sz w:val="17"/>
        </w:rPr>
        <w:t>Note E: Goodwill and Other Intangible Assets</w:t>
      </w:r>
    </w:p>
    <w:p>
      <w:pPr>
        <w:pStyle w:val="TextBody"/>
        <w:spacing w:lineRule="auto" w:line="288" w:before="0" w:after="0"/>
        <w:rPr>
          <w:rFonts w:ascii="inherit" w:hAnsi="inherit"/>
          <w:sz w:val="17"/>
        </w:rPr>
      </w:pPr>
      <w:r>
        <w:rPr>
          <w:rFonts w:ascii="inherit" w:hAnsi="inherit"/>
          <w:sz w:val="17"/>
        </w:rPr>
        <w:t>The following table presents the balance of each major class of indefinite-lived intangible asset at the specified dates: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578"/>
        <w:gridCol w:w="144"/>
        <w:gridCol w:w="1176"/>
        <w:gridCol w:w="98"/>
        <w:gridCol w:w="127"/>
        <w:gridCol w:w="144"/>
        <w:gridCol w:w="1176"/>
        <w:gridCol w:w="98"/>
        <w:gridCol w:w="127"/>
        <w:gridCol w:w="159"/>
        <w:gridCol w:w="1261"/>
        <w:gridCol w:w="117"/>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7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61"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78" w:type="dxa"/>
            <w:tcBorders/>
            <w:shd w:fill="auto" w:val="clear"/>
            <w:vAlign w:val="center"/>
          </w:tcPr>
          <w:p>
            <w:pPr>
              <w:pStyle w:val="TableContents"/>
              <w:spacing w:before="0" w:after="0"/>
              <w:ind w:left="0" w:right="0" w:firstLine="30"/>
              <w:jc w:val="left"/>
              <w:rPr/>
            </w:pPr>
            <w:r>
              <w:rPr/>
              <w:t> </w:t>
            </w:r>
          </w:p>
        </w:tc>
        <w:tc>
          <w:tcPr>
            <w:tcW w:w="296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27"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5578" w:type="dxa"/>
            <w:tcBorders/>
            <w:shd w:fill="auto" w:val="clear"/>
            <w:vAlign w:val="center"/>
          </w:tcPr>
          <w:p>
            <w:pPr>
              <w:pStyle w:val="TableContents"/>
              <w:spacing w:before="0" w:after="0"/>
              <w:ind w:left="0" w:right="0" w:firstLine="30"/>
              <w:jc w:val="left"/>
              <w:rPr/>
            </w:pPr>
            <w:r>
              <w:rPr/>
              <w:t> </w:t>
            </w:r>
          </w:p>
        </w:tc>
        <w:tc>
          <w:tcPr>
            <w:tcW w:w="14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7" w:type="dxa"/>
            <w:tcBorders/>
            <w:shd w:fill="auto" w:val="clear"/>
            <w:vAlign w:val="center"/>
          </w:tcPr>
          <w:p>
            <w:pPr>
              <w:pStyle w:val="TableContents"/>
              <w:spacing w:before="0" w:after="0"/>
              <w:ind w:left="0" w:right="0" w:firstLine="30"/>
              <w:rPr/>
            </w:pPr>
            <w:r>
              <w:rPr/>
              <w:t> </w:t>
            </w:r>
          </w:p>
        </w:tc>
        <w:tc>
          <w:tcPr>
            <w:tcW w:w="14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27" w:type="dxa"/>
            <w:tcBorders/>
            <w:shd w:fill="auto" w:val="clear"/>
            <w:vAlign w:val="center"/>
          </w:tcPr>
          <w:p>
            <w:pPr>
              <w:pStyle w:val="TableContents"/>
              <w:spacing w:before="0" w:after="0"/>
              <w:ind w:left="0" w:right="0" w:firstLine="30"/>
              <w:rPr/>
            </w:pPr>
            <w:r>
              <w:rPr/>
              <w:t> </w:t>
            </w:r>
          </w:p>
        </w:tc>
        <w:tc>
          <w:tcPr>
            <w:tcW w:w="153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578" w:type="dxa"/>
            <w:tcBorders/>
            <w:shd w:fill="auto" w:val="clear"/>
            <w:vAlign w:val="center"/>
          </w:tcPr>
          <w:p>
            <w:pPr>
              <w:pStyle w:val="TableContents"/>
              <w:spacing w:before="0" w:after="0"/>
              <w:ind w:left="0" w:right="0" w:firstLine="30"/>
              <w:jc w:val="left"/>
              <w:rPr/>
            </w:pPr>
            <w:r>
              <w:rPr/>
              <w:t> </w:t>
            </w:r>
          </w:p>
        </w:tc>
        <w:tc>
          <w:tcPr>
            <w:tcW w:w="4627"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licenses</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61" w:type="dxa"/>
            <w:tcBorders/>
            <w:shd w:fill="CCEEFF" w:val="clear"/>
            <w:vAlign w:val="center"/>
          </w:tcPr>
          <w:p>
            <w:pPr>
              <w:pStyle w:val="TableContents"/>
              <w:spacing w:before="0" w:after="0"/>
              <w:jc w:val="right"/>
              <w:rPr>
                <w:rFonts w:ascii="inherit" w:hAnsi="inherit"/>
                <w:sz w:val="17"/>
              </w:rPr>
            </w:pPr>
            <w:r>
              <w:rPr>
                <w:rFonts w:ascii="inherit" w:hAnsi="inherit"/>
                <w:sz w:val="17"/>
              </w:rPr>
              <w:t>8,836</w:t>
            </w:r>
          </w:p>
        </w:tc>
        <w:tc>
          <w:tcPr>
            <w:tcW w:w="1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Trade name</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9,621</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3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4,870</w:t>
            </w:r>
          </w:p>
        </w:tc>
        <w:tc>
          <w:tcPr>
            <w:tcW w:w="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4,870</w:t>
            </w:r>
          </w:p>
        </w:tc>
        <w:tc>
          <w:tcPr>
            <w:tcW w:w="1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3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321,423</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3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167,017</w:t>
            </w:r>
          </w:p>
        </w:tc>
        <w:tc>
          <w:tcPr>
            <w:tcW w:w="9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CCEEFF" w:val="clear"/>
            <w:vAlign w:val="center"/>
          </w:tcPr>
          <w:p>
            <w:pPr>
              <w:pStyle w:val="TableContents"/>
              <w:spacing w:before="0" w:after="0"/>
              <w:ind w:left="0" w:right="0" w:firstLine="30"/>
              <w:rPr/>
            </w:pPr>
            <w:r>
              <w:rPr/>
              <w:t> </w:t>
            </w:r>
          </w:p>
        </w:tc>
        <w:tc>
          <w:tcPr>
            <w:tcW w:w="14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173,206</w:t>
            </w:r>
          </w:p>
        </w:tc>
        <w:tc>
          <w:tcPr>
            <w:tcW w:w="11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339,880</w:t>
            </w:r>
          </w:p>
        </w:tc>
        <w:tc>
          <w:tcPr>
            <w:tcW w:w="9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4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180,723</w:t>
            </w:r>
          </w:p>
        </w:tc>
        <w:tc>
          <w:tcPr>
            <w:tcW w:w="9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7" w:type="dxa"/>
            <w:tcBorders/>
            <w:shd w:fill="auto" w:val="clear"/>
            <w:vAlign w:val="center"/>
          </w:tcPr>
          <w:p>
            <w:pPr>
              <w:pStyle w:val="TableContents"/>
              <w:spacing w:before="0" w:after="0"/>
              <w:ind w:left="0" w:right="0" w:firstLine="30"/>
              <w:rPr/>
            </w:pPr>
            <w:r>
              <w:rPr/>
              <w:t> </w:t>
            </w:r>
          </w:p>
        </w:tc>
        <w:tc>
          <w:tcPr>
            <w:tcW w:w="15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186,912</w:t>
            </w:r>
          </w:p>
        </w:tc>
        <w:tc>
          <w:tcPr>
            <w:tcW w:w="11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tables present the changes in the carrying value of goodwill, by segment, over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639"/>
        <w:gridCol w:w="164"/>
        <w:gridCol w:w="1161"/>
        <w:gridCol w:w="151"/>
        <w:gridCol w:w="134"/>
        <w:gridCol w:w="164"/>
        <w:gridCol w:w="1069"/>
        <w:gridCol w:w="151"/>
        <w:gridCol w:w="134"/>
        <w:gridCol w:w="186"/>
        <w:gridCol w:w="1175"/>
        <w:gridCol w:w="172"/>
        <w:gridCol w:w="134"/>
        <w:gridCol w:w="164"/>
        <w:gridCol w:w="1161"/>
        <w:gridCol w:w="44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3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17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61" w:type="dxa"/>
            <w:tcBorders/>
            <w:shd w:fill="auto" w:val="clear"/>
            <w:vAlign w:val="center"/>
          </w:tcPr>
          <w:p>
            <w:pPr>
              <w:pStyle w:val="TableContents"/>
              <w:spacing w:before="0" w:after="283"/>
              <w:rPr>
                <w:sz w:val="4"/>
                <w:szCs w:val="4"/>
              </w:rPr>
            </w:pPr>
            <w:r>
              <w:rPr>
                <w:sz w:val="4"/>
                <w:szCs w:val="4"/>
              </w:rPr>
            </w:r>
          </w:p>
        </w:tc>
        <w:tc>
          <w:tcPr>
            <w:tcW w:w="44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39" w:type="dxa"/>
            <w:tcBorders/>
            <w:shd w:fill="auto" w:val="clear"/>
            <w:vAlign w:val="center"/>
          </w:tcPr>
          <w:p>
            <w:pPr>
              <w:pStyle w:val="TableContents"/>
              <w:spacing w:before="0" w:after="0"/>
              <w:ind w:left="0" w:right="0" w:firstLine="30"/>
              <w:rPr/>
            </w:pPr>
            <w:r>
              <w:rPr/>
              <w:t> </w:t>
            </w:r>
          </w:p>
        </w:tc>
        <w:tc>
          <w:tcPr>
            <w:tcW w:w="147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4" w:type="dxa"/>
            <w:tcBorders/>
            <w:shd w:fill="auto" w:val="clear"/>
            <w:vAlign w:val="center"/>
          </w:tcPr>
          <w:p>
            <w:pPr>
              <w:pStyle w:val="TableContents"/>
              <w:spacing w:before="0" w:after="0"/>
              <w:ind w:left="0" w:right="0" w:firstLine="30"/>
              <w:rPr/>
            </w:pPr>
            <w:r>
              <w:rPr/>
              <w:t> </w:t>
            </w:r>
          </w:p>
        </w:tc>
        <w:tc>
          <w:tcPr>
            <w:tcW w:w="138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4" w:type="dxa"/>
            <w:tcBorders/>
            <w:shd w:fill="auto" w:val="clear"/>
            <w:vAlign w:val="center"/>
          </w:tcPr>
          <w:p>
            <w:pPr>
              <w:pStyle w:val="TableContents"/>
              <w:spacing w:before="0" w:after="0"/>
              <w:ind w:left="0" w:right="0" w:firstLine="30"/>
              <w:rPr/>
            </w:pPr>
            <w:r>
              <w:rPr/>
              <w:t> </w:t>
            </w:r>
          </w:p>
        </w:tc>
        <w:tc>
          <w:tcPr>
            <w:tcW w:w="15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4" w:type="dxa"/>
            <w:tcBorders/>
            <w:shd w:fill="auto" w:val="clear"/>
            <w:vAlign w:val="center"/>
          </w:tcPr>
          <w:p>
            <w:pPr>
              <w:pStyle w:val="TableContents"/>
              <w:spacing w:before="0" w:after="0"/>
              <w:rPr/>
            </w:pPr>
            <w:r>
              <w:rPr/>
              <w:t> </w:t>
            </w:r>
          </w:p>
        </w:tc>
        <w:tc>
          <w:tcPr>
            <w:tcW w:w="17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639" w:type="dxa"/>
            <w:tcBorders/>
            <w:shd w:fill="auto" w:val="clear"/>
            <w:vAlign w:val="center"/>
          </w:tcPr>
          <w:p>
            <w:pPr>
              <w:pStyle w:val="TableContents"/>
              <w:spacing w:before="0" w:after="0"/>
              <w:ind w:left="0" w:right="0" w:firstLine="30"/>
              <w:jc w:val="left"/>
              <w:rPr/>
            </w:pPr>
            <w:r>
              <w:rPr/>
              <w:t> </w:t>
            </w:r>
          </w:p>
        </w:tc>
        <w:tc>
          <w:tcPr>
            <w:tcW w:w="6566"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September 30, 2011</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shd w:fill="CCEEFF" w:val="clear"/>
            <w:vAlign w:val="center"/>
          </w:tcPr>
          <w:p>
            <w:pPr>
              <w:pStyle w:val="TableContents"/>
              <w:spacing w:before="0" w:after="0"/>
              <w:jc w:val="right"/>
              <w:rPr>
                <w:rFonts w:ascii="inherit" w:hAnsi="inherit"/>
                <w:sz w:val="17"/>
              </w:rPr>
            </w:pPr>
            <w:r>
              <w:rPr>
                <w:rFonts w:ascii="inherit" w:hAnsi="inherit"/>
                <w:sz w:val="17"/>
              </w:rPr>
              <w:t>163,897</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CCEEFF" w:val="clear"/>
            <w:vAlign w:val="center"/>
          </w:tcPr>
          <w:p>
            <w:pPr>
              <w:pStyle w:val="TableContents"/>
              <w:spacing w:before="0" w:after="0"/>
              <w:jc w:val="right"/>
              <w:rPr>
                <w:rFonts w:ascii="inherit" w:hAnsi="inherit"/>
                <w:sz w:val="17"/>
              </w:rPr>
            </w:pPr>
            <w:r>
              <w:rPr>
                <w:rFonts w:ascii="inherit" w:hAnsi="inherit"/>
                <w:sz w:val="17"/>
              </w:rPr>
              <w:t>9,309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8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shd w:fill="CCEEFF" w:val="clear"/>
            <w:vAlign w:val="center"/>
          </w:tcPr>
          <w:p>
            <w:pPr>
              <w:pStyle w:val="TableContents"/>
              <w:spacing w:before="0" w:after="0"/>
              <w:jc w:val="right"/>
              <w:rPr>
                <w:rFonts w:ascii="inherit" w:hAnsi="inherit"/>
                <w:sz w:val="17"/>
              </w:rPr>
            </w:pPr>
            <w:r>
              <w:rPr>
                <w:rFonts w:ascii="inherit" w:hAnsi="inherit"/>
                <w:sz w:val="17"/>
              </w:rPr>
              <w:t>173,206</w:t>
            </w:r>
          </w:p>
        </w:tc>
        <w:tc>
          <w:tcPr>
            <w:tcW w:w="44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57,653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54,765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6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39,293</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151,711</w:t>
            </w:r>
          </w:p>
        </w:tc>
        <w:tc>
          <w:tcPr>
            <w:tcW w:w="44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2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(2,752</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36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(741</w:t>
            </w:r>
          </w:p>
        </w:tc>
        <w:tc>
          <w:tcPr>
            <w:tcW w:w="17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3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(3,494</w:t>
            </w:r>
          </w:p>
        </w:tc>
        <w:tc>
          <w:tcPr>
            <w:tcW w:w="4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6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2012</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221,549</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61,322</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8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7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38,552</w:t>
            </w:r>
          </w:p>
        </w:tc>
        <w:tc>
          <w:tcPr>
            <w:tcW w:w="17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321,423</w:t>
            </w:r>
          </w:p>
        </w:tc>
        <w:tc>
          <w:tcPr>
            <w:tcW w:w="44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3769"/>
        <w:gridCol w:w="166"/>
        <w:gridCol w:w="1182"/>
        <w:gridCol w:w="83"/>
        <w:gridCol w:w="135"/>
        <w:gridCol w:w="166"/>
        <w:gridCol w:w="1000"/>
        <w:gridCol w:w="83"/>
        <w:gridCol w:w="135"/>
        <w:gridCol w:w="317"/>
        <w:gridCol w:w="1120"/>
        <w:gridCol w:w="121"/>
        <w:gridCol w:w="135"/>
        <w:gridCol w:w="166"/>
        <w:gridCol w:w="1182"/>
        <w:gridCol w:w="44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69"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00" w:type="dxa"/>
            <w:tcBorders/>
            <w:shd w:fill="auto" w:val="clear"/>
            <w:vAlign w:val="center"/>
          </w:tcPr>
          <w:p>
            <w:pPr>
              <w:pStyle w:val="TableContents"/>
              <w:spacing w:before="0" w:after="283"/>
              <w:rPr>
                <w:sz w:val="4"/>
                <w:szCs w:val="4"/>
              </w:rPr>
            </w:pPr>
            <w:r>
              <w:rPr>
                <w:sz w:val="4"/>
                <w:szCs w:val="4"/>
              </w:rPr>
            </w:r>
          </w:p>
        </w:tc>
        <w:tc>
          <w:tcPr>
            <w:tcW w:w="8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182"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69" w:type="dxa"/>
            <w:tcBorders/>
            <w:shd w:fill="auto" w:val="clear"/>
            <w:vAlign w:val="center"/>
          </w:tcPr>
          <w:p>
            <w:pPr>
              <w:pStyle w:val="TableContents"/>
              <w:spacing w:before="0" w:after="0"/>
              <w:ind w:left="0" w:right="0" w:firstLine="30"/>
              <w:rPr/>
            </w:pPr>
            <w:r>
              <w:rPr/>
              <w:t> </w:t>
            </w:r>
          </w:p>
        </w:tc>
        <w:tc>
          <w:tcPr>
            <w:tcW w:w="143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5" w:type="dxa"/>
            <w:tcBorders/>
            <w:shd w:fill="auto" w:val="clear"/>
            <w:vAlign w:val="center"/>
          </w:tcPr>
          <w:p>
            <w:pPr>
              <w:pStyle w:val="TableContents"/>
              <w:spacing w:before="0" w:after="0"/>
              <w:ind w:left="0" w:right="0" w:firstLine="30"/>
              <w:rPr/>
            </w:pPr>
            <w:r>
              <w:rPr/>
              <w:t> </w:t>
            </w:r>
          </w:p>
        </w:tc>
        <w:tc>
          <w:tcPr>
            <w:tcW w:w="124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5" w:type="dxa"/>
            <w:tcBorders/>
            <w:shd w:fill="auto" w:val="clear"/>
            <w:vAlign w:val="center"/>
          </w:tcPr>
          <w:p>
            <w:pPr>
              <w:pStyle w:val="TableContents"/>
              <w:spacing w:before="0" w:after="0"/>
              <w:ind w:left="0" w:right="0" w:firstLine="30"/>
              <w:rPr/>
            </w:pPr>
            <w:r>
              <w:rPr/>
              <w:t> </w:t>
            </w:r>
          </w:p>
        </w:tc>
        <w:tc>
          <w:tcPr>
            <w:tcW w:w="15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5" w:type="dxa"/>
            <w:tcBorders/>
            <w:shd w:fill="auto" w:val="clear"/>
            <w:vAlign w:val="center"/>
          </w:tcPr>
          <w:p>
            <w:pPr>
              <w:pStyle w:val="TableContents"/>
              <w:spacing w:before="0" w:after="0"/>
              <w:rPr/>
            </w:pPr>
            <w:r>
              <w:rPr/>
              <w:t> </w:t>
            </w:r>
          </w:p>
        </w:tc>
        <w:tc>
          <w:tcPr>
            <w:tcW w:w="17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769" w:type="dxa"/>
            <w:tcBorders/>
            <w:shd w:fill="auto" w:val="clear"/>
            <w:vAlign w:val="center"/>
          </w:tcPr>
          <w:p>
            <w:pPr>
              <w:pStyle w:val="TableContents"/>
              <w:spacing w:before="0" w:after="0"/>
              <w:ind w:left="0" w:right="0" w:firstLine="30"/>
              <w:jc w:val="left"/>
              <w:rPr/>
            </w:pPr>
            <w:r>
              <w:rPr/>
              <w:t> </w:t>
            </w:r>
          </w:p>
        </w:tc>
        <w:tc>
          <w:tcPr>
            <w:tcW w:w="6436"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Balance at September 30, 2010</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2" w:type="dxa"/>
            <w:tcBorders/>
            <w:shd w:fill="CCEEFF" w:val="clear"/>
            <w:vAlign w:val="center"/>
          </w:tcPr>
          <w:p>
            <w:pPr>
              <w:pStyle w:val="TableContents"/>
              <w:spacing w:before="0" w:after="0"/>
              <w:jc w:val="right"/>
              <w:rPr>
                <w:rFonts w:ascii="inherit" w:hAnsi="inherit"/>
                <w:sz w:val="17"/>
              </w:rPr>
            </w:pPr>
            <w:r>
              <w:rPr>
                <w:rFonts w:ascii="inherit" w:hAnsi="inherit"/>
                <w:sz w:val="17"/>
              </w:rPr>
              <w:t>110,255</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shd w:fill="CCEEFF" w:val="clear"/>
            <w:vAlign w:val="center"/>
          </w:tcPr>
          <w:p>
            <w:pPr>
              <w:pStyle w:val="TableContents"/>
              <w:spacing w:before="0" w:after="0"/>
              <w:jc w:val="right"/>
              <w:rPr>
                <w:rFonts w:ascii="inherit" w:hAnsi="inherit"/>
                <w:sz w:val="17"/>
              </w:rPr>
            </w:pPr>
            <w:r>
              <w:rPr>
                <w:rFonts w:ascii="inherit" w:hAnsi="inherit"/>
                <w:sz w:val="17"/>
              </w:rPr>
              <w:t>7,050</w:t>
            </w:r>
          </w:p>
        </w:tc>
        <w:tc>
          <w:tcPr>
            <w:tcW w:w="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31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shd w:fill="CCEEFF" w:val="clear"/>
            <w:vAlign w:val="center"/>
          </w:tcPr>
          <w:p>
            <w:pPr>
              <w:pStyle w:val="TableContents"/>
              <w:spacing w:before="0" w:after="0"/>
              <w:jc w:val="right"/>
              <w:rPr/>
            </w:pPr>
            <w:r>
              <w:rPr/>
              <w:t>—</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82" w:type="dxa"/>
            <w:tcBorders/>
            <w:shd w:fill="CCEEFF" w:val="clear"/>
            <w:vAlign w:val="center"/>
          </w:tcPr>
          <w:p>
            <w:pPr>
              <w:pStyle w:val="TableContents"/>
              <w:spacing w:before="0" w:after="0"/>
              <w:jc w:val="right"/>
              <w:rPr>
                <w:rFonts w:ascii="inherit" w:hAnsi="inherit"/>
                <w:sz w:val="17"/>
              </w:rPr>
            </w:pPr>
            <w:r>
              <w:rPr>
                <w:rFonts w:ascii="inherit" w:hAnsi="inherit"/>
                <w:sz w:val="17"/>
              </w:rPr>
              <w:t>117,305</w:t>
            </w:r>
          </w:p>
        </w:tc>
        <w:tc>
          <w:tcPr>
            <w:tcW w:w="44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Acquisitions</w:t>
            </w:r>
          </w:p>
        </w:tc>
        <w:tc>
          <w:tcPr>
            <w:tcW w:w="13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49,317</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66" w:type="dxa"/>
            <w:gridSpan w:val="2"/>
            <w:tcBorders/>
            <w:shd w:fill="auto" w:val="clear"/>
            <w:vAlign w:val="center"/>
          </w:tcPr>
          <w:p>
            <w:pPr>
              <w:pStyle w:val="TableContents"/>
              <w:spacing w:before="0" w:after="0"/>
              <w:jc w:val="right"/>
              <w:rPr/>
            </w:pPr>
            <w:r>
              <w:rPr/>
              <w:t>—</w:t>
            </w:r>
          </w:p>
        </w:tc>
        <w:tc>
          <w:tcPr>
            <w:tcW w:w="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37" w:type="dxa"/>
            <w:gridSpan w:val="2"/>
            <w:tcBorders/>
            <w:shd w:fill="auto" w:val="clear"/>
            <w:vAlign w:val="center"/>
          </w:tcPr>
          <w:p>
            <w:pPr>
              <w:pStyle w:val="TableContents"/>
              <w:spacing w:before="0" w:after="0"/>
              <w:jc w:val="right"/>
              <w:rPr/>
            </w:pPr>
            <w:r>
              <w:rPr/>
              <w:t>—</w:t>
            </w:r>
          </w:p>
        </w:tc>
        <w:tc>
          <w:tcPr>
            <w:tcW w:w="12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49,317</w:t>
            </w:r>
          </w:p>
        </w:tc>
        <w:tc>
          <w:tcPr>
            <w:tcW w:w="44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foreign currency translation changes</w:t>
            </w:r>
          </w:p>
        </w:tc>
        <w:tc>
          <w:tcPr>
            <w:tcW w:w="13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1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8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3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2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4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Balance at June 30, 2011</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159,572</w:t>
            </w:r>
          </w:p>
        </w:tc>
        <w:tc>
          <w:tcPr>
            <w:tcW w:w="8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7,445</w:t>
            </w:r>
          </w:p>
        </w:tc>
        <w:tc>
          <w:tcPr>
            <w:tcW w:w="8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31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2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2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167,017</w:t>
            </w:r>
          </w:p>
        </w:tc>
        <w:tc>
          <w:tcPr>
            <w:tcW w:w="44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 presents the gross carrying amount and accumulated amortization for each major class of definite-lived intangible asset at the specified dates: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557"/>
        <w:gridCol w:w="131"/>
        <w:gridCol w:w="627"/>
        <w:gridCol w:w="53"/>
        <w:gridCol w:w="102"/>
        <w:gridCol w:w="157"/>
        <w:gridCol w:w="763"/>
        <w:gridCol w:w="142"/>
        <w:gridCol w:w="102"/>
        <w:gridCol w:w="131"/>
        <w:gridCol w:w="657"/>
        <w:gridCol w:w="53"/>
        <w:gridCol w:w="102"/>
        <w:gridCol w:w="131"/>
        <w:gridCol w:w="542"/>
        <w:gridCol w:w="53"/>
        <w:gridCol w:w="102"/>
        <w:gridCol w:w="157"/>
        <w:gridCol w:w="763"/>
        <w:gridCol w:w="142"/>
        <w:gridCol w:w="102"/>
        <w:gridCol w:w="131"/>
        <w:gridCol w:w="571"/>
        <w:gridCol w:w="53"/>
        <w:gridCol w:w="102"/>
        <w:gridCol w:w="131"/>
        <w:gridCol w:w="542"/>
        <w:gridCol w:w="53"/>
        <w:gridCol w:w="102"/>
        <w:gridCol w:w="157"/>
        <w:gridCol w:w="763"/>
        <w:gridCol w:w="142"/>
        <w:gridCol w:w="102"/>
        <w:gridCol w:w="131"/>
        <w:gridCol w:w="571"/>
        <w:gridCol w:w="85"/>
      </w:tblGrid>
      <w:tr>
        <w:trPr/>
        <w:tc>
          <w:tcPr>
            <w:tcW w:w="10205" w:type="dxa"/>
            <w:gridSpan w:val="36"/>
            <w:tcBorders/>
            <w:shd w:fill="auto" w:val="clear"/>
            <w:vAlign w:val="center"/>
          </w:tcPr>
          <w:p>
            <w:pPr>
              <w:pStyle w:val="TableContents"/>
              <w:spacing w:before="0" w:after="283"/>
              <w:rPr>
                <w:sz w:val="4"/>
                <w:szCs w:val="4"/>
              </w:rPr>
            </w:pPr>
            <w:r>
              <w:rPr>
                <w:sz w:val="4"/>
                <w:szCs w:val="4"/>
              </w:rPr>
            </w:r>
          </w:p>
        </w:tc>
      </w:tr>
      <w:tr>
        <w:trPr/>
        <w:tc>
          <w:tcPr>
            <w:tcW w:w="155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42" w:type="dxa"/>
            <w:tcBorders/>
            <w:shd w:fill="auto" w:val="clear"/>
            <w:vAlign w:val="center"/>
          </w:tcPr>
          <w:p>
            <w:pPr>
              <w:pStyle w:val="TableContents"/>
              <w:spacing w:before="0" w:after="283"/>
              <w:rPr>
                <w:sz w:val="4"/>
                <w:szCs w:val="4"/>
              </w:rPr>
            </w:pPr>
            <w:r>
              <w:rPr>
                <w:sz w:val="4"/>
                <w:szCs w:val="4"/>
              </w:rPr>
            </w:r>
          </w:p>
        </w:tc>
        <w:tc>
          <w:tcPr>
            <w:tcW w:w="53"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557" w:type="dxa"/>
            <w:tcBorders/>
            <w:shd w:fill="auto" w:val="clear"/>
            <w:vAlign w:val="center"/>
          </w:tcPr>
          <w:p>
            <w:pPr>
              <w:pStyle w:val="TableContents"/>
              <w:spacing w:before="0" w:after="0"/>
              <w:ind w:left="0" w:right="0" w:firstLine="30"/>
              <w:jc w:val="left"/>
              <w:rPr/>
            </w:pPr>
            <w:r>
              <w:rPr/>
              <w:t> </w:t>
            </w:r>
          </w:p>
        </w:tc>
        <w:tc>
          <w:tcPr>
            <w:tcW w:w="5767" w:type="dxa"/>
            <w:gridSpan w:val="2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02" w:type="dxa"/>
            <w:tcBorders/>
            <w:shd w:fill="auto" w:val="clear"/>
            <w:vAlign w:val="center"/>
          </w:tcPr>
          <w:p>
            <w:pPr>
              <w:pStyle w:val="TableContents"/>
              <w:spacing w:before="0" w:after="0"/>
              <w:ind w:left="0" w:right="0" w:firstLine="30"/>
              <w:rPr/>
            </w:pPr>
            <w:r>
              <w:rPr/>
              <w:t> </w:t>
            </w:r>
          </w:p>
        </w:tc>
        <w:tc>
          <w:tcPr>
            <w:tcW w:w="2779"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1557" w:type="dxa"/>
            <w:tcBorders/>
            <w:shd w:fill="auto" w:val="clear"/>
            <w:vAlign w:val="center"/>
          </w:tcPr>
          <w:p>
            <w:pPr>
              <w:pStyle w:val="TableContents"/>
              <w:spacing w:before="0" w:after="0"/>
              <w:ind w:left="0" w:right="0" w:firstLine="30"/>
              <w:jc w:val="left"/>
              <w:rPr/>
            </w:pPr>
            <w:r>
              <w:rPr/>
              <w:t> </w:t>
            </w:r>
          </w:p>
        </w:tc>
        <w:tc>
          <w:tcPr>
            <w:tcW w:w="291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02" w:type="dxa"/>
            <w:tcBorders/>
            <w:shd w:fill="auto" w:val="clear"/>
            <w:vAlign w:val="center"/>
          </w:tcPr>
          <w:p>
            <w:pPr>
              <w:pStyle w:val="TableContents"/>
              <w:spacing w:before="0" w:after="0"/>
              <w:ind w:left="0" w:right="0" w:firstLine="30"/>
              <w:rPr/>
            </w:pPr>
            <w:r>
              <w:rPr/>
              <w:t> </w:t>
            </w:r>
          </w:p>
        </w:tc>
        <w:tc>
          <w:tcPr>
            <w:tcW w:w="2747"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02" w:type="dxa"/>
            <w:tcBorders/>
            <w:shd w:fill="auto" w:val="clear"/>
            <w:vAlign w:val="center"/>
          </w:tcPr>
          <w:p>
            <w:pPr>
              <w:pStyle w:val="TableContents"/>
              <w:spacing w:before="0" w:after="0"/>
              <w:ind w:left="0" w:right="0" w:firstLine="30"/>
              <w:rPr/>
            </w:pPr>
            <w:r>
              <w:rPr/>
              <w:t> </w:t>
            </w:r>
          </w:p>
        </w:tc>
        <w:tc>
          <w:tcPr>
            <w:tcW w:w="2779"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1557" w:type="dxa"/>
            <w:tcBorders/>
            <w:shd w:fill="auto" w:val="clear"/>
            <w:vAlign w:val="center"/>
          </w:tcPr>
          <w:p>
            <w:pPr>
              <w:pStyle w:val="TableContents"/>
              <w:spacing w:before="0" w:after="0"/>
              <w:ind w:left="0" w:right="0" w:firstLine="30"/>
              <w:jc w:val="left"/>
              <w:rPr/>
            </w:pPr>
            <w:r>
              <w:rPr/>
              <w:t> </w:t>
            </w:r>
          </w:p>
        </w:tc>
        <w:tc>
          <w:tcPr>
            <w:tcW w:w="81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2" w:type="dxa"/>
            <w:tcBorders/>
            <w:shd w:fill="auto" w:val="clear"/>
            <w:vAlign w:val="center"/>
          </w:tcPr>
          <w:p>
            <w:pPr>
              <w:pStyle w:val="TableContents"/>
              <w:spacing w:before="0" w:after="0"/>
              <w:ind w:left="0" w:right="0" w:firstLine="30"/>
              <w:rPr/>
            </w:pPr>
            <w:r>
              <w:rPr/>
              <w:t> </w:t>
            </w:r>
          </w:p>
        </w:tc>
        <w:tc>
          <w:tcPr>
            <w:tcW w:w="10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2" w:type="dxa"/>
            <w:tcBorders/>
            <w:shd w:fill="auto" w:val="clear"/>
            <w:vAlign w:val="center"/>
          </w:tcPr>
          <w:p>
            <w:pPr>
              <w:pStyle w:val="TableContents"/>
              <w:spacing w:before="0" w:after="0"/>
              <w:ind w:left="0" w:right="0" w:firstLine="30"/>
              <w:rPr/>
            </w:pPr>
            <w:r>
              <w:rPr/>
              <w:t> </w:t>
            </w:r>
          </w:p>
        </w:tc>
        <w:tc>
          <w:tcPr>
            <w:tcW w:w="84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c>
          <w:tcPr>
            <w:tcW w:w="102" w:type="dxa"/>
            <w:tcBorders/>
            <w:shd w:fill="auto" w:val="clear"/>
            <w:vAlign w:val="center"/>
          </w:tcPr>
          <w:p>
            <w:pPr>
              <w:pStyle w:val="TableContents"/>
              <w:spacing w:before="0" w:after="0"/>
              <w:ind w:left="0" w:right="0" w:firstLine="30"/>
              <w:rPr/>
            </w:pPr>
            <w:r>
              <w:rPr/>
              <w:t> </w:t>
            </w:r>
          </w:p>
        </w:tc>
        <w:tc>
          <w:tcPr>
            <w:tcW w:w="72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2" w:type="dxa"/>
            <w:tcBorders/>
            <w:shd w:fill="auto" w:val="clear"/>
            <w:vAlign w:val="center"/>
          </w:tcPr>
          <w:p>
            <w:pPr>
              <w:pStyle w:val="TableContents"/>
              <w:spacing w:before="0" w:after="0"/>
              <w:ind w:left="0" w:right="0" w:firstLine="30"/>
              <w:rPr/>
            </w:pPr>
            <w:r>
              <w:rPr/>
              <w:t> </w:t>
            </w:r>
          </w:p>
        </w:tc>
        <w:tc>
          <w:tcPr>
            <w:tcW w:w="10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2" w:type="dxa"/>
            <w:tcBorders/>
            <w:shd w:fill="auto" w:val="clear"/>
            <w:vAlign w:val="center"/>
          </w:tcPr>
          <w:p>
            <w:pPr>
              <w:pStyle w:val="TableContents"/>
              <w:spacing w:before="0" w:after="0"/>
              <w:ind w:left="0" w:right="0" w:firstLine="30"/>
              <w:rPr/>
            </w:pPr>
            <w:r>
              <w:rPr/>
              <w:t> </w:t>
            </w:r>
          </w:p>
        </w:tc>
        <w:tc>
          <w:tcPr>
            <w:tcW w:w="75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c>
          <w:tcPr>
            <w:tcW w:w="102" w:type="dxa"/>
            <w:tcBorders/>
            <w:shd w:fill="auto" w:val="clear"/>
            <w:vAlign w:val="center"/>
          </w:tcPr>
          <w:p>
            <w:pPr>
              <w:pStyle w:val="TableContents"/>
              <w:spacing w:before="0" w:after="0"/>
              <w:ind w:left="0" w:right="0" w:firstLine="30"/>
              <w:rPr/>
            </w:pPr>
            <w:r>
              <w:rPr/>
              <w:t> </w:t>
            </w:r>
          </w:p>
        </w:tc>
        <w:tc>
          <w:tcPr>
            <w:tcW w:w="72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02" w:type="dxa"/>
            <w:tcBorders/>
            <w:shd w:fill="auto" w:val="clear"/>
            <w:vAlign w:val="center"/>
          </w:tcPr>
          <w:p>
            <w:pPr>
              <w:pStyle w:val="TableContents"/>
              <w:spacing w:before="0" w:after="0"/>
              <w:ind w:left="0" w:right="0" w:firstLine="30"/>
              <w:rPr/>
            </w:pPr>
            <w:r>
              <w:rPr/>
              <w:t> </w:t>
            </w:r>
          </w:p>
        </w:tc>
        <w:tc>
          <w:tcPr>
            <w:tcW w:w="10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Accumulated</w:t>
            </w:r>
          </w:p>
          <w:p>
            <w:pPr>
              <w:pStyle w:val="TableContents"/>
              <w:spacing w:before="0" w:after="0"/>
              <w:ind w:left="0" w:right="0" w:firstLine="30"/>
              <w:jc w:val="center"/>
              <w:rPr>
                <w:rFonts w:ascii="inherit" w:hAnsi="inherit"/>
                <w:sz w:val="13"/>
              </w:rPr>
            </w:pPr>
            <w:r>
              <w:rPr>
                <w:rFonts w:ascii="inherit" w:hAnsi="inherit"/>
                <w:sz w:val="13"/>
              </w:rPr>
              <w:t>Amortization</w:t>
            </w:r>
          </w:p>
        </w:tc>
        <w:tc>
          <w:tcPr>
            <w:tcW w:w="102" w:type="dxa"/>
            <w:tcBorders/>
            <w:shd w:fill="auto" w:val="clear"/>
            <w:vAlign w:val="center"/>
          </w:tcPr>
          <w:p>
            <w:pPr>
              <w:pStyle w:val="TableContents"/>
              <w:spacing w:before="0" w:after="0"/>
              <w:ind w:left="0" w:right="0" w:firstLine="30"/>
              <w:rPr/>
            </w:pPr>
            <w:r>
              <w:rPr/>
              <w:t> </w:t>
            </w:r>
          </w:p>
        </w:tc>
        <w:tc>
          <w:tcPr>
            <w:tcW w:w="78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Net Book</w:t>
            </w:r>
          </w:p>
          <w:p>
            <w:pPr>
              <w:pStyle w:val="TableContents"/>
              <w:spacing w:before="0" w:after="0"/>
              <w:ind w:left="0" w:right="0" w:firstLine="30"/>
              <w:jc w:val="center"/>
              <w:rPr>
                <w:rFonts w:ascii="inherit" w:hAnsi="inherit"/>
                <w:sz w:val="13"/>
              </w:rPr>
            </w:pPr>
            <w:r>
              <w:rPr>
                <w:rFonts w:ascii="inherit" w:hAnsi="inherit"/>
                <w:sz w:val="13"/>
              </w:rPr>
              <w:t>Value</w:t>
            </w:r>
          </w:p>
        </w:tc>
      </w:tr>
      <w:tr>
        <w:trPr/>
        <w:tc>
          <w:tcPr>
            <w:tcW w:w="1557" w:type="dxa"/>
            <w:tcBorders/>
            <w:shd w:fill="auto" w:val="clear"/>
            <w:vAlign w:val="center"/>
          </w:tcPr>
          <w:p>
            <w:pPr>
              <w:pStyle w:val="TableContents"/>
              <w:spacing w:before="0" w:after="0"/>
              <w:ind w:left="0" w:right="0" w:firstLine="30"/>
              <w:jc w:val="left"/>
              <w:rPr/>
            </w:pPr>
            <w:r>
              <w:rPr/>
              <w:t> </w:t>
            </w:r>
          </w:p>
        </w:tc>
        <w:tc>
          <w:tcPr>
            <w:tcW w:w="8648" w:type="dxa"/>
            <w:gridSpan w:val="3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15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Real estate finders’ fees</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27" w:type="dxa"/>
            <w:tcBorders/>
            <w:shd w:fill="CCEEFF" w:val="clear"/>
            <w:vAlign w:val="center"/>
          </w:tcPr>
          <w:p>
            <w:pPr>
              <w:pStyle w:val="TableContents"/>
              <w:spacing w:before="0" w:after="0"/>
              <w:jc w:val="right"/>
              <w:rPr>
                <w:rFonts w:ascii="inherit" w:hAnsi="inherit"/>
                <w:sz w:val="17"/>
              </w:rPr>
            </w:pPr>
            <w:r>
              <w:rPr>
                <w:rFonts w:ascii="inherit" w:hAnsi="inherit"/>
                <w:sz w:val="17"/>
              </w:rPr>
              <w:t>1,373</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shd w:fill="CCEEFF" w:val="clear"/>
            <w:vAlign w:val="center"/>
          </w:tcPr>
          <w:p>
            <w:pPr>
              <w:pStyle w:val="TableContents"/>
              <w:spacing w:before="0" w:after="0"/>
              <w:jc w:val="right"/>
              <w:rPr>
                <w:rFonts w:ascii="inherit" w:hAnsi="inherit"/>
                <w:sz w:val="17"/>
              </w:rPr>
            </w:pPr>
            <w:r>
              <w:rPr>
                <w:rFonts w:ascii="inherit" w:hAnsi="inherit"/>
                <w:sz w:val="17"/>
              </w:rPr>
              <w:t>(553</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57" w:type="dxa"/>
            <w:tcBorders/>
            <w:shd w:fill="CCEEFF" w:val="clear"/>
            <w:vAlign w:val="center"/>
          </w:tcPr>
          <w:p>
            <w:pPr>
              <w:pStyle w:val="TableContents"/>
              <w:spacing w:before="0" w:after="0"/>
              <w:jc w:val="right"/>
              <w:rPr>
                <w:rFonts w:ascii="inherit" w:hAnsi="inherit"/>
                <w:sz w:val="17"/>
              </w:rPr>
            </w:pPr>
            <w:r>
              <w:rPr>
                <w:rFonts w:ascii="inherit" w:hAnsi="inherit"/>
                <w:sz w:val="17"/>
              </w:rPr>
              <w:t>820</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42" w:type="dxa"/>
            <w:tcBorders/>
            <w:shd w:fill="CCEEFF" w:val="clear"/>
            <w:vAlign w:val="center"/>
          </w:tcPr>
          <w:p>
            <w:pPr>
              <w:pStyle w:val="TableContents"/>
              <w:spacing w:before="0" w:after="0"/>
              <w:jc w:val="right"/>
              <w:rPr>
                <w:rFonts w:ascii="inherit" w:hAnsi="inherit"/>
                <w:sz w:val="17"/>
              </w:rPr>
            </w:pPr>
            <w:r>
              <w:rPr>
                <w:rFonts w:ascii="inherit" w:hAnsi="inherit"/>
                <w:sz w:val="17"/>
              </w:rPr>
              <w:t>1,147</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shd w:fill="CCEEFF" w:val="clear"/>
            <w:vAlign w:val="center"/>
          </w:tcPr>
          <w:p>
            <w:pPr>
              <w:pStyle w:val="TableContents"/>
              <w:spacing w:before="0" w:after="0"/>
              <w:jc w:val="right"/>
              <w:rPr>
                <w:rFonts w:ascii="inherit" w:hAnsi="inherit"/>
                <w:sz w:val="17"/>
              </w:rPr>
            </w:pPr>
            <w:r>
              <w:rPr>
                <w:rFonts w:ascii="inherit" w:hAnsi="inherit"/>
                <w:sz w:val="17"/>
              </w:rPr>
              <w:t>(465</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71" w:type="dxa"/>
            <w:tcBorders/>
            <w:shd w:fill="CCEEFF" w:val="clear"/>
            <w:vAlign w:val="center"/>
          </w:tcPr>
          <w:p>
            <w:pPr>
              <w:pStyle w:val="TableContents"/>
              <w:spacing w:before="0" w:after="0"/>
              <w:jc w:val="right"/>
              <w:rPr>
                <w:rFonts w:ascii="inherit" w:hAnsi="inherit"/>
                <w:sz w:val="17"/>
              </w:rPr>
            </w:pPr>
            <w:r>
              <w:rPr>
                <w:rFonts w:ascii="inherit" w:hAnsi="inherit"/>
                <w:sz w:val="17"/>
              </w:rPr>
              <w:t>682</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42" w:type="dxa"/>
            <w:tcBorders/>
            <w:shd w:fill="CCEEFF" w:val="clear"/>
            <w:vAlign w:val="center"/>
          </w:tcPr>
          <w:p>
            <w:pPr>
              <w:pStyle w:val="TableContents"/>
              <w:spacing w:before="0" w:after="0"/>
              <w:jc w:val="right"/>
              <w:rPr>
                <w:rFonts w:ascii="inherit" w:hAnsi="inherit"/>
                <w:sz w:val="17"/>
              </w:rPr>
            </w:pPr>
            <w:r>
              <w:rPr>
                <w:rFonts w:ascii="inherit" w:hAnsi="inherit"/>
                <w:sz w:val="17"/>
              </w:rPr>
              <w:t>1,157</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15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71" w:type="dxa"/>
            <w:tcBorders/>
            <w:shd w:fill="CCEEFF" w:val="clear"/>
            <w:vAlign w:val="center"/>
          </w:tcPr>
          <w:p>
            <w:pPr>
              <w:pStyle w:val="TableContents"/>
              <w:spacing w:before="0" w:after="0"/>
              <w:jc w:val="right"/>
              <w:rPr>
                <w:rFonts w:ascii="inherit" w:hAnsi="inherit"/>
                <w:sz w:val="17"/>
              </w:rPr>
            </w:pPr>
            <w:r>
              <w:rPr>
                <w:rFonts w:ascii="inherit" w:hAnsi="inherit"/>
                <w:sz w:val="17"/>
              </w:rPr>
              <w:t>678</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Non-compete agreements</w:t>
            </w:r>
          </w:p>
        </w:tc>
        <w:tc>
          <w:tcPr>
            <w:tcW w:w="7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4,356</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(2,993</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1,363</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3,837</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(2,472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1,365</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3,722</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(2,459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1,263</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Favorable lease</w:t>
            </w:r>
          </w:p>
        </w:tc>
        <w:tc>
          <w:tcPr>
            <w:tcW w:w="7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1,159</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750</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755</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(289</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755</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Franchise rights</w:t>
            </w:r>
          </w:p>
        </w:tc>
        <w:tc>
          <w:tcPr>
            <w:tcW w:w="7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1,559</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1,477</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1,636</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1,619</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1,547</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0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1,515</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financing costs</w:t>
            </w:r>
          </w:p>
        </w:tc>
        <w:tc>
          <w:tcPr>
            <w:tcW w:w="75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7,512</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(2,945</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4,567</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2,413</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2,300</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2,411</w:t>
            </w:r>
          </w:p>
        </w:tc>
        <w:tc>
          <w:tcPr>
            <w:tcW w:w="5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(262</w:t>
            </w:r>
          </w:p>
        </w:tc>
        <w:tc>
          <w:tcPr>
            <w:tcW w:w="14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0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2,149</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Contractual relationship</w:t>
            </w:r>
          </w:p>
        </w:tc>
        <w:tc>
          <w:tcPr>
            <w:tcW w:w="75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53,226</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(2,299</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7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50,927</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73"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702"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673" w:type="dxa"/>
            <w:gridSpan w:val="2"/>
            <w:tcBorders/>
            <w:shd w:fill="auto" w:val="clear"/>
            <w:vAlign w:val="center"/>
          </w:tcPr>
          <w:p>
            <w:pPr>
              <w:pStyle w:val="TableContents"/>
              <w:spacing w:before="0" w:after="0"/>
              <w:jc w:val="right"/>
              <w:rPr/>
            </w:pPr>
            <w:r>
              <w:rPr/>
              <w:t>—</w:t>
            </w:r>
          </w:p>
        </w:tc>
        <w:tc>
          <w:tcPr>
            <w:tcW w:w="5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920" w:type="dxa"/>
            <w:gridSpan w:val="2"/>
            <w:tcBorders/>
            <w:shd w:fill="auto" w:val="clear"/>
            <w:vAlign w:val="center"/>
          </w:tcPr>
          <w:p>
            <w:pPr>
              <w:pStyle w:val="TableContents"/>
              <w:spacing w:before="0" w:after="0"/>
              <w:jc w:val="right"/>
              <w:rPr/>
            </w:pPr>
            <w:r>
              <w:rPr/>
              <w:t>—</w:t>
            </w:r>
          </w:p>
        </w:tc>
        <w:tc>
          <w:tcPr>
            <w:tcW w:w="14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702"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75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333</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w:t>
            </w:r>
          </w:p>
        </w:tc>
        <w:tc>
          <w:tcPr>
            <w:tcW w:w="14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8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305</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w:t>
            </w:r>
          </w:p>
        </w:tc>
        <w:tc>
          <w:tcPr>
            <w:tcW w:w="14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6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w:t>
            </w:r>
          </w:p>
        </w:tc>
        <w:tc>
          <w:tcPr>
            <w:tcW w:w="5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CCEEFF" w:val="clear"/>
            <w:vAlign w:val="center"/>
          </w:tcPr>
          <w:p>
            <w:pPr>
              <w:pStyle w:val="TableContents"/>
              <w:spacing w:before="0" w:after="0"/>
              <w:ind w:left="0" w:right="0" w:firstLine="30"/>
              <w:rPr/>
            </w:pPr>
            <w:r>
              <w:rPr/>
              <w:t> </w:t>
            </w:r>
          </w:p>
        </w:tc>
        <w:tc>
          <w:tcPr>
            <w:tcW w:w="92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4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CCEEFF" w:val="clear"/>
            <w:vAlign w:val="center"/>
          </w:tcPr>
          <w:p>
            <w:pPr>
              <w:pStyle w:val="TableContents"/>
              <w:spacing w:before="0" w:after="0"/>
              <w:ind w:left="0" w:right="0" w:firstLine="30"/>
              <w:rPr/>
            </w:pPr>
            <w:r>
              <w:rPr/>
              <w:t> </w:t>
            </w:r>
          </w:p>
        </w:tc>
        <w:tc>
          <w:tcPr>
            <w:tcW w:w="70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w:t>
            </w:r>
          </w:p>
        </w:tc>
        <w:tc>
          <w:tcPr>
            <w:tcW w:w="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55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2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69,518</w:t>
            </w:r>
          </w:p>
        </w:tc>
        <w:tc>
          <w:tcPr>
            <w:tcW w:w="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(9,309</w:t>
            </w:r>
          </w:p>
        </w:tc>
        <w:tc>
          <w:tcPr>
            <w:tcW w:w="14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65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60,209</w:t>
            </w:r>
          </w:p>
        </w:tc>
        <w:tc>
          <w:tcPr>
            <w:tcW w:w="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9,854</w:t>
            </w:r>
          </w:p>
        </w:tc>
        <w:tc>
          <w:tcPr>
            <w:tcW w:w="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(3,367</w:t>
            </w:r>
          </w:p>
        </w:tc>
        <w:tc>
          <w:tcPr>
            <w:tcW w:w="14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6,487</w:t>
            </w:r>
          </w:p>
        </w:tc>
        <w:tc>
          <w:tcPr>
            <w:tcW w:w="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4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9,650</w:t>
            </w:r>
          </w:p>
        </w:tc>
        <w:tc>
          <w:tcPr>
            <w:tcW w:w="5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2"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6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(3,566</w:t>
            </w:r>
          </w:p>
        </w:tc>
        <w:tc>
          <w:tcPr>
            <w:tcW w:w="14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2" w:type="dxa"/>
            <w:tcBorders/>
            <w:shd w:fill="auto" w:val="clear"/>
            <w:vAlign w:val="center"/>
          </w:tcPr>
          <w:p>
            <w:pPr>
              <w:pStyle w:val="TableContents"/>
              <w:spacing w:before="0" w:after="0"/>
              <w:ind w:left="0" w:right="0" w:firstLine="30"/>
              <w:rPr/>
            </w:pPr>
            <w:r>
              <w:rPr/>
              <w:t> </w:t>
            </w:r>
          </w:p>
        </w:tc>
        <w:tc>
          <w:tcPr>
            <w:tcW w:w="13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57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6,084</w:t>
            </w:r>
          </w:p>
        </w:tc>
        <w:tc>
          <w:tcPr>
            <w:tcW w:w="8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The amortization of most definite-lived intangible assets is recorded as amortization expense. The favorable lease asset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14</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other intangibles are amortized to operations expense (rent expense) over the related lease terms. The deferred financing costs are amortized to interest expense over the life of our credit agreement. The following table presents the amount and classification of amortization recognized as expense in each of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669"/>
        <w:gridCol w:w="141"/>
        <w:gridCol w:w="1066"/>
        <w:gridCol w:w="97"/>
        <w:gridCol w:w="125"/>
        <w:gridCol w:w="141"/>
        <w:gridCol w:w="997"/>
        <w:gridCol w:w="97"/>
        <w:gridCol w:w="125"/>
        <w:gridCol w:w="141"/>
        <w:gridCol w:w="1066"/>
        <w:gridCol w:w="97"/>
        <w:gridCol w:w="125"/>
        <w:gridCol w:w="141"/>
        <w:gridCol w:w="1066"/>
        <w:gridCol w:w="111"/>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669"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997"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066" w:type="dxa"/>
            <w:tcBorders/>
            <w:shd w:fill="auto" w:val="clear"/>
            <w:vAlign w:val="center"/>
          </w:tcPr>
          <w:p>
            <w:pPr>
              <w:pStyle w:val="TableContents"/>
              <w:spacing w:before="0" w:after="283"/>
              <w:rPr>
                <w:sz w:val="4"/>
                <w:szCs w:val="4"/>
              </w:rPr>
            </w:pPr>
            <w:r>
              <w:rPr>
                <w:sz w:val="4"/>
                <w:szCs w:val="4"/>
              </w:rPr>
            </w:r>
          </w:p>
        </w:tc>
        <w:tc>
          <w:tcPr>
            <w:tcW w:w="11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69" w:type="dxa"/>
            <w:tcBorders/>
            <w:shd w:fill="auto" w:val="clear"/>
            <w:vAlign w:val="center"/>
          </w:tcPr>
          <w:p>
            <w:pPr>
              <w:pStyle w:val="TableContents"/>
              <w:spacing w:before="0" w:after="0"/>
              <w:ind w:left="0" w:right="0" w:firstLine="30"/>
              <w:rPr/>
            </w:pPr>
            <w:r>
              <w:rPr/>
              <w:t> </w:t>
            </w:r>
          </w:p>
        </w:tc>
        <w:tc>
          <w:tcPr>
            <w:tcW w:w="26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br/>
              <w:t>June 30,</w:t>
            </w:r>
          </w:p>
        </w:tc>
        <w:tc>
          <w:tcPr>
            <w:tcW w:w="125" w:type="dxa"/>
            <w:tcBorders/>
            <w:shd w:fill="auto" w:val="clear"/>
            <w:vAlign w:val="center"/>
          </w:tcPr>
          <w:p>
            <w:pPr>
              <w:pStyle w:val="TableContents"/>
              <w:spacing w:before="0" w:after="0"/>
              <w:ind w:left="0" w:right="0" w:firstLine="30"/>
              <w:rPr/>
            </w:pPr>
            <w:r>
              <w:rPr/>
              <w:t> </w:t>
            </w:r>
          </w:p>
        </w:tc>
        <w:tc>
          <w:tcPr>
            <w:tcW w:w="274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4669" w:type="dxa"/>
            <w:tcBorders/>
            <w:shd w:fill="auto" w:val="clear"/>
            <w:vAlign w:val="center"/>
          </w:tcPr>
          <w:p>
            <w:pPr>
              <w:pStyle w:val="TableContents"/>
              <w:spacing w:before="0" w:after="0"/>
              <w:ind w:left="0" w:right="0" w:firstLine="30"/>
              <w:jc w:val="left"/>
              <w:rPr/>
            </w:pPr>
            <w:r>
              <w:rPr/>
              <w:t> </w:t>
            </w:r>
          </w:p>
        </w:tc>
        <w:tc>
          <w:tcPr>
            <w:tcW w:w="13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5" w:type="dxa"/>
            <w:tcBorders/>
            <w:shd w:fill="auto" w:val="clear"/>
            <w:vAlign w:val="center"/>
          </w:tcPr>
          <w:p>
            <w:pPr>
              <w:pStyle w:val="TableContents"/>
              <w:spacing w:before="0" w:after="0"/>
              <w:ind w:left="0" w:right="0" w:firstLine="30"/>
              <w:rPr/>
            </w:pPr>
            <w:r>
              <w:rPr/>
              <w:t> </w:t>
            </w:r>
          </w:p>
        </w:tc>
        <w:tc>
          <w:tcPr>
            <w:tcW w:w="123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25" w:type="dxa"/>
            <w:tcBorders/>
            <w:shd w:fill="auto" w:val="clear"/>
            <w:vAlign w:val="center"/>
          </w:tcPr>
          <w:p>
            <w:pPr>
              <w:pStyle w:val="TableContents"/>
              <w:spacing w:before="0" w:after="0"/>
              <w:ind w:left="0" w:right="0" w:firstLine="30"/>
              <w:rPr/>
            </w:pPr>
            <w:r>
              <w:rPr/>
              <w:t> </w:t>
            </w:r>
          </w:p>
        </w:tc>
        <w:tc>
          <w:tcPr>
            <w:tcW w:w="130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5" w:type="dxa"/>
            <w:tcBorders/>
            <w:shd w:fill="auto" w:val="clear"/>
            <w:vAlign w:val="center"/>
          </w:tcPr>
          <w:p>
            <w:pPr>
              <w:pStyle w:val="TableContents"/>
              <w:spacing w:before="0" w:after="0"/>
              <w:ind w:left="0" w:right="0" w:firstLine="30"/>
              <w:rPr/>
            </w:pPr>
            <w:r>
              <w:rPr/>
              <w:t> </w:t>
            </w:r>
          </w:p>
        </w:tc>
        <w:tc>
          <w:tcPr>
            <w:tcW w:w="13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4669" w:type="dxa"/>
            <w:tcBorders/>
            <w:shd w:fill="auto" w:val="clear"/>
            <w:vAlign w:val="center"/>
          </w:tcPr>
          <w:p>
            <w:pPr>
              <w:pStyle w:val="TableContents"/>
              <w:spacing w:before="0" w:after="0"/>
              <w:ind w:left="0" w:right="0" w:firstLine="30"/>
              <w:jc w:val="left"/>
              <w:rPr/>
            </w:pPr>
            <w:r>
              <w:rPr/>
              <w:t> </w:t>
            </w:r>
          </w:p>
        </w:tc>
        <w:tc>
          <w:tcPr>
            <w:tcW w:w="5536"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6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 expense</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6" w:type="dxa"/>
            <w:tcBorders/>
            <w:shd w:fill="CCEEFF" w:val="clear"/>
            <w:vAlign w:val="center"/>
          </w:tcPr>
          <w:p>
            <w:pPr>
              <w:pStyle w:val="TableContents"/>
              <w:spacing w:before="0" w:after="0"/>
              <w:jc w:val="right"/>
              <w:rPr>
                <w:rFonts w:ascii="inherit" w:hAnsi="inherit"/>
                <w:sz w:val="17"/>
              </w:rPr>
            </w:pPr>
            <w:r>
              <w:rPr>
                <w:rFonts w:ascii="inherit" w:hAnsi="inherit"/>
                <w:sz w:val="17"/>
              </w:rPr>
              <w:t>1,162</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CCEEFF" w:val="clear"/>
            <w:vAlign w:val="center"/>
          </w:tcPr>
          <w:p>
            <w:pPr>
              <w:pStyle w:val="TableContents"/>
              <w:spacing w:before="0" w:after="0"/>
              <w:jc w:val="right"/>
              <w:rPr>
                <w:rFonts w:ascii="inherit" w:hAnsi="inherit"/>
                <w:sz w:val="17"/>
              </w:rPr>
            </w:pPr>
            <w:r>
              <w:rPr>
                <w:rFonts w:ascii="inherit" w:hAnsi="inherit"/>
                <w:sz w:val="17"/>
              </w:rPr>
              <w:t>221</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6" w:type="dxa"/>
            <w:tcBorders/>
            <w:shd w:fill="CCEEFF" w:val="clear"/>
            <w:vAlign w:val="center"/>
          </w:tcPr>
          <w:p>
            <w:pPr>
              <w:pStyle w:val="TableContents"/>
              <w:spacing w:before="0" w:after="0"/>
              <w:jc w:val="right"/>
              <w:rPr>
                <w:rFonts w:ascii="inherit" w:hAnsi="inherit"/>
                <w:sz w:val="17"/>
              </w:rPr>
            </w:pPr>
            <w:r>
              <w:rPr>
                <w:rFonts w:ascii="inherit" w:hAnsi="inherit"/>
                <w:sz w:val="17"/>
              </w:rPr>
              <w:t>3,086</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6" w:type="dxa"/>
            <w:tcBorders/>
            <w:shd w:fill="CCEEFF" w:val="clear"/>
            <w:vAlign w:val="center"/>
          </w:tcPr>
          <w:p>
            <w:pPr>
              <w:pStyle w:val="TableContents"/>
              <w:spacing w:before="0" w:after="0"/>
              <w:jc w:val="right"/>
              <w:rPr>
                <w:rFonts w:ascii="inherit" w:hAnsi="inherit"/>
                <w:sz w:val="17"/>
              </w:rPr>
            </w:pPr>
            <w:r>
              <w:rPr>
                <w:rFonts w:ascii="inherit" w:hAnsi="inherit"/>
                <w:sz w:val="17"/>
              </w:rPr>
              <w:t>654</w:t>
            </w:r>
          </w:p>
        </w:tc>
        <w:tc>
          <w:tcPr>
            <w:tcW w:w="1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2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0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1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2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569</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252</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1,164</w:t>
            </w:r>
          </w:p>
        </w:tc>
        <w:tc>
          <w:tcPr>
            <w:tcW w:w="9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464</w:t>
            </w:r>
          </w:p>
        </w:tc>
        <w:tc>
          <w:tcPr>
            <w:tcW w:w="11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6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expense from the amortization of definite-lived intangible assets</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66" w:type="dxa"/>
            <w:tcBorders/>
            <w:shd w:fill="auto" w:val="clear"/>
            <w:vAlign w:val="center"/>
          </w:tcPr>
          <w:p>
            <w:pPr>
              <w:pStyle w:val="TableContents"/>
              <w:spacing w:before="0" w:after="0"/>
              <w:jc w:val="right"/>
              <w:rPr>
                <w:rFonts w:ascii="inherit" w:hAnsi="inherit"/>
                <w:sz w:val="17"/>
              </w:rPr>
            </w:pPr>
            <w:r>
              <w:rPr>
                <w:rFonts w:ascii="inherit" w:hAnsi="inherit"/>
                <w:sz w:val="17"/>
              </w:rPr>
              <w:t>1,780</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7" w:type="dxa"/>
            <w:tcBorders/>
            <w:shd w:fill="auto" w:val="clear"/>
            <w:vAlign w:val="center"/>
          </w:tcPr>
          <w:p>
            <w:pPr>
              <w:pStyle w:val="TableContents"/>
              <w:spacing w:before="0" w:after="0"/>
              <w:jc w:val="right"/>
              <w:rPr>
                <w:rFonts w:ascii="inherit" w:hAnsi="inherit"/>
                <w:sz w:val="17"/>
              </w:rPr>
            </w:pPr>
            <w:r>
              <w:rPr>
                <w:rFonts w:ascii="inherit" w:hAnsi="inherit"/>
                <w:sz w:val="17"/>
              </w:rPr>
              <w:t>501</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66" w:type="dxa"/>
            <w:tcBorders/>
            <w:shd w:fill="auto" w:val="clear"/>
            <w:vAlign w:val="center"/>
          </w:tcPr>
          <w:p>
            <w:pPr>
              <w:pStyle w:val="TableContents"/>
              <w:spacing w:before="0" w:after="0"/>
              <w:jc w:val="right"/>
              <w:rPr>
                <w:rFonts w:ascii="inherit" w:hAnsi="inherit"/>
                <w:sz w:val="17"/>
              </w:rPr>
            </w:pPr>
            <w:r>
              <w:rPr>
                <w:rFonts w:ascii="inherit" w:hAnsi="inherit"/>
                <w:sz w:val="17"/>
              </w:rPr>
              <w:t>4,353</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66" w:type="dxa"/>
            <w:tcBorders/>
            <w:shd w:fill="auto" w:val="clear"/>
            <w:vAlign w:val="center"/>
          </w:tcPr>
          <w:p>
            <w:pPr>
              <w:pStyle w:val="TableContents"/>
              <w:spacing w:before="0" w:after="0"/>
              <w:jc w:val="right"/>
              <w:rPr>
                <w:rFonts w:ascii="inherit" w:hAnsi="inherit"/>
                <w:sz w:val="17"/>
              </w:rPr>
            </w:pPr>
            <w:r>
              <w:rPr>
                <w:rFonts w:ascii="inherit" w:hAnsi="inherit"/>
                <w:sz w:val="17"/>
              </w:rPr>
              <w:t>1,194</w:t>
            </w:r>
          </w:p>
        </w:tc>
        <w:tc>
          <w:tcPr>
            <w:tcW w:w="11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t>The following table presents our estimate of amortization expense for definite-lived intangible assets: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244"/>
        <w:gridCol w:w="130"/>
        <w:gridCol w:w="327"/>
        <w:gridCol w:w="2215"/>
        <w:gridCol w:w="118"/>
        <w:gridCol w:w="130"/>
        <w:gridCol w:w="382"/>
        <w:gridCol w:w="2030"/>
        <w:gridCol w:w="131"/>
        <w:gridCol w:w="130"/>
        <w:gridCol w:w="264"/>
        <w:gridCol w:w="1968"/>
        <w:gridCol w:w="136"/>
      </w:tblGrid>
      <w:tr>
        <w:trPr/>
        <w:tc>
          <w:tcPr>
            <w:tcW w:w="10205" w:type="dxa"/>
            <w:gridSpan w:val="13"/>
            <w:tcBorders/>
            <w:shd w:fill="auto" w:val="clear"/>
            <w:vAlign w:val="center"/>
          </w:tcPr>
          <w:p>
            <w:pPr>
              <w:pStyle w:val="TableContents"/>
              <w:spacing w:before="0" w:after="283"/>
              <w:rPr>
                <w:sz w:val="4"/>
                <w:szCs w:val="4"/>
              </w:rPr>
            </w:pPr>
            <w:r>
              <w:rPr>
                <w:sz w:val="4"/>
                <w:szCs w:val="4"/>
              </w:rPr>
            </w:r>
          </w:p>
        </w:tc>
      </w:tr>
      <w:tr>
        <w:trPr/>
        <w:tc>
          <w:tcPr>
            <w:tcW w:w="2244"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2215"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20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19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44"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Fiscal Years Ended September 30,</w:t>
            </w:r>
          </w:p>
        </w:tc>
        <w:tc>
          <w:tcPr>
            <w:tcW w:w="130" w:type="dxa"/>
            <w:tcBorders/>
            <w:shd w:fill="auto" w:val="clear"/>
            <w:vAlign w:val="center"/>
          </w:tcPr>
          <w:p>
            <w:pPr>
              <w:pStyle w:val="TableContents"/>
              <w:spacing w:before="0" w:after="0"/>
              <w:ind w:left="0" w:right="0" w:firstLine="30"/>
              <w:rPr/>
            </w:pPr>
            <w:r>
              <w:rPr/>
              <w:t> </w:t>
            </w:r>
          </w:p>
        </w:tc>
        <w:tc>
          <w:tcPr>
            <w:tcW w:w="266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Amortization expense</w:t>
            </w:r>
          </w:p>
        </w:tc>
        <w:tc>
          <w:tcPr>
            <w:tcW w:w="130" w:type="dxa"/>
            <w:tcBorders/>
            <w:shd w:fill="auto" w:val="clear"/>
            <w:vAlign w:val="center"/>
          </w:tcPr>
          <w:p>
            <w:pPr>
              <w:pStyle w:val="TableContents"/>
              <w:spacing w:before="0" w:after="0"/>
              <w:ind w:left="0" w:right="0" w:firstLine="30"/>
              <w:rPr/>
            </w:pPr>
            <w:r>
              <w:rPr/>
              <w:t> </w:t>
            </w:r>
          </w:p>
        </w:tc>
        <w:tc>
          <w:tcPr>
            <w:tcW w:w="25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Operations expense</w:t>
            </w:r>
          </w:p>
        </w:tc>
        <w:tc>
          <w:tcPr>
            <w:tcW w:w="130" w:type="dxa"/>
            <w:tcBorders/>
            <w:shd w:fill="auto" w:val="clear"/>
            <w:vAlign w:val="center"/>
          </w:tcPr>
          <w:p>
            <w:pPr>
              <w:pStyle w:val="TableContents"/>
              <w:spacing w:before="0" w:after="0"/>
              <w:ind w:left="0" w:right="0" w:firstLine="30"/>
              <w:rPr/>
            </w:pPr>
            <w:r>
              <w:rPr/>
              <w:t> </w:t>
            </w:r>
          </w:p>
        </w:tc>
        <w:tc>
          <w:tcPr>
            <w:tcW w:w="236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Interest expense</w:t>
            </w:r>
          </w:p>
        </w:tc>
      </w:tr>
      <w:tr>
        <w:trPr/>
        <w:tc>
          <w:tcPr>
            <w:tcW w:w="2244" w:type="dxa"/>
            <w:tcBorders/>
            <w:shd w:fill="auto" w:val="clear"/>
            <w:vAlign w:val="center"/>
          </w:tcPr>
          <w:p>
            <w:pPr>
              <w:pStyle w:val="TableContents"/>
              <w:spacing w:before="0" w:after="0"/>
              <w:ind w:left="0" w:right="0" w:firstLine="30"/>
              <w:jc w:val="left"/>
              <w:rPr/>
            </w:pPr>
            <w:r>
              <w:rPr/>
              <w:t> </w:t>
            </w:r>
          </w:p>
        </w:tc>
        <w:tc>
          <w:tcPr>
            <w:tcW w:w="130" w:type="dxa"/>
            <w:tcBorders/>
            <w:shd w:fill="auto" w:val="clear"/>
            <w:vAlign w:val="center"/>
          </w:tcPr>
          <w:p>
            <w:pPr>
              <w:pStyle w:val="TableContents"/>
              <w:spacing w:before="0" w:after="0"/>
              <w:ind w:left="0" w:right="0" w:firstLine="30"/>
              <w:rPr/>
            </w:pPr>
            <w:r>
              <w:rPr/>
              <w:t> </w:t>
            </w:r>
          </w:p>
        </w:tc>
        <w:tc>
          <w:tcPr>
            <w:tcW w:w="7831"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2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2012</w:t>
            </w:r>
          </w:p>
        </w:tc>
        <w:tc>
          <w:tcPr>
            <w:tcW w:w="130" w:type="dxa"/>
            <w:tcBorders/>
            <w:shd w:fill="CCEEFF" w:val="clear"/>
            <w:vAlign w:val="center"/>
          </w:tcPr>
          <w:p>
            <w:pPr>
              <w:pStyle w:val="TableContents"/>
              <w:spacing w:before="0" w:after="0"/>
              <w:ind w:left="0" w:right="0" w:firstLine="30"/>
              <w:rPr/>
            </w:pPr>
            <w:r>
              <w:rPr/>
              <w:t> </w:t>
            </w:r>
          </w:p>
        </w:tc>
        <w:tc>
          <w:tcPr>
            <w:tcW w:w="32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215" w:type="dxa"/>
            <w:tcBorders/>
            <w:shd w:fill="CCEEFF" w:val="clear"/>
            <w:vAlign w:val="center"/>
          </w:tcPr>
          <w:p>
            <w:pPr>
              <w:pStyle w:val="TableContents"/>
              <w:spacing w:before="0" w:after="0"/>
              <w:jc w:val="right"/>
              <w:rPr>
                <w:rFonts w:ascii="inherit" w:hAnsi="inherit"/>
                <w:sz w:val="17"/>
              </w:rPr>
            </w:pPr>
            <w:r>
              <w:rPr>
                <w:rFonts w:ascii="inherit" w:hAnsi="inherit"/>
                <w:sz w:val="17"/>
              </w:rPr>
              <w:t>2,321</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38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2030" w:type="dxa"/>
            <w:tcBorders/>
            <w:shd w:fill="CCEEFF" w:val="clear"/>
            <w:vAlign w:val="center"/>
          </w:tcPr>
          <w:p>
            <w:pPr>
              <w:pStyle w:val="TableContents"/>
              <w:spacing w:before="0" w:after="0"/>
              <w:jc w:val="right"/>
              <w:rPr>
                <w:rFonts w:ascii="inherit" w:hAnsi="inherit"/>
                <w:sz w:val="17"/>
              </w:rPr>
            </w:pPr>
            <w:r>
              <w:rPr>
                <w:rFonts w:ascii="inherit" w:hAnsi="inherit"/>
                <w:sz w:val="17"/>
              </w:rPr>
              <w:t>138</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968" w:type="dxa"/>
            <w:tcBorders/>
            <w:shd w:fill="CCEEFF" w:val="clear"/>
            <w:vAlign w:val="center"/>
          </w:tcPr>
          <w:p>
            <w:pPr>
              <w:pStyle w:val="TableContents"/>
              <w:spacing w:before="0" w:after="0"/>
              <w:jc w:val="right"/>
              <w:rPr>
                <w:rFonts w:ascii="inherit" w:hAnsi="inherit"/>
                <w:sz w:val="17"/>
              </w:rPr>
            </w:pPr>
            <w:r>
              <w:rPr>
                <w:rFonts w:ascii="inherit" w:hAnsi="inherit"/>
                <w:sz w:val="17"/>
              </w:rPr>
              <w:t>1,017</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2013</w:t>
            </w:r>
          </w:p>
        </w:tc>
        <w:tc>
          <w:tcPr>
            <w:tcW w:w="130" w:type="dxa"/>
            <w:tcBorders/>
            <w:shd w:fill="auto" w:val="clear"/>
            <w:vAlign w:val="center"/>
          </w:tcPr>
          <w:p>
            <w:pPr>
              <w:pStyle w:val="TableContents"/>
              <w:spacing w:before="0" w:after="0"/>
              <w:ind w:left="0" w:right="0" w:firstLine="30"/>
              <w:rPr/>
            </w:pPr>
            <w:r>
              <w:rPr/>
              <w:t> </w:t>
            </w:r>
          </w:p>
        </w:tc>
        <w:tc>
          <w:tcPr>
            <w:tcW w:w="25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6,063</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136</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2,112</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2014</w:t>
            </w:r>
          </w:p>
        </w:tc>
        <w:tc>
          <w:tcPr>
            <w:tcW w:w="130" w:type="dxa"/>
            <w:tcBorders/>
            <w:shd w:fill="CCEEFF" w:val="clear"/>
            <w:vAlign w:val="center"/>
          </w:tcPr>
          <w:p>
            <w:pPr>
              <w:pStyle w:val="TableContents"/>
              <w:spacing w:before="0" w:after="0"/>
              <w:ind w:left="0" w:right="0" w:firstLine="30"/>
              <w:rPr/>
            </w:pPr>
            <w:r>
              <w:rPr/>
              <w:t> </w:t>
            </w:r>
          </w:p>
        </w:tc>
        <w:tc>
          <w:tcPr>
            <w:tcW w:w="25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5,825</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2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1,383</w:t>
            </w:r>
          </w:p>
        </w:tc>
        <w:tc>
          <w:tcPr>
            <w:tcW w:w="13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44"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2015</w:t>
            </w:r>
          </w:p>
        </w:tc>
        <w:tc>
          <w:tcPr>
            <w:tcW w:w="130" w:type="dxa"/>
            <w:tcBorders/>
            <w:shd w:fill="auto" w:val="clear"/>
            <w:vAlign w:val="center"/>
          </w:tcPr>
          <w:p>
            <w:pPr>
              <w:pStyle w:val="TableContents"/>
              <w:spacing w:before="0" w:after="0"/>
              <w:ind w:left="0" w:right="0" w:firstLine="30"/>
              <w:rPr/>
            </w:pPr>
            <w:r>
              <w:rPr/>
              <w:t> </w:t>
            </w:r>
          </w:p>
        </w:tc>
        <w:tc>
          <w:tcPr>
            <w:tcW w:w="25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5,558</w:t>
            </w:r>
          </w:p>
        </w:tc>
        <w:tc>
          <w:tcPr>
            <w:tcW w:w="11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41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2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w:t>
            </w:r>
          </w:p>
        </w:tc>
        <w:tc>
          <w:tcPr>
            <w:tcW w:w="13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244" w:type="dxa"/>
            <w:tcBorders/>
            <w:shd w:fill="CCEEFF" w:val="clear"/>
            <w:vAlign w:val="center"/>
          </w:tcPr>
          <w:p>
            <w:pPr>
              <w:pStyle w:val="TableContents"/>
              <w:spacing w:before="0" w:after="0"/>
              <w:ind w:left="0" w:right="0" w:firstLine="30"/>
              <w:jc w:val="center"/>
              <w:rPr>
                <w:rFonts w:ascii="inherit" w:hAnsi="inherit"/>
                <w:sz w:val="17"/>
              </w:rPr>
            </w:pPr>
            <w:r>
              <w:rPr>
                <w:rFonts w:ascii="inherit" w:hAnsi="inherit"/>
                <w:sz w:val="17"/>
              </w:rPr>
              <w:t>2016</w:t>
            </w:r>
          </w:p>
        </w:tc>
        <w:tc>
          <w:tcPr>
            <w:tcW w:w="130" w:type="dxa"/>
            <w:tcBorders/>
            <w:shd w:fill="CCEEFF" w:val="clear"/>
            <w:vAlign w:val="center"/>
          </w:tcPr>
          <w:p>
            <w:pPr>
              <w:pStyle w:val="TableContents"/>
              <w:spacing w:before="0" w:after="0"/>
              <w:ind w:left="0" w:right="0" w:firstLine="30"/>
              <w:rPr/>
            </w:pPr>
            <w:r>
              <w:rPr/>
              <w:t> </w:t>
            </w:r>
          </w:p>
        </w:tc>
        <w:tc>
          <w:tcPr>
            <w:tcW w:w="25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5,500</w:t>
            </w:r>
          </w:p>
        </w:tc>
        <w:tc>
          <w:tcPr>
            <w:tcW w:w="11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41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111</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232" w:type="dxa"/>
            <w:gridSpan w:val="2"/>
            <w:tcBorders/>
            <w:shd w:fill="CCEEFF" w:val="clear"/>
            <w:vAlign w:val="center"/>
          </w:tcPr>
          <w:p>
            <w:pPr>
              <w:pStyle w:val="TableContents"/>
              <w:spacing w:before="0" w:after="0"/>
              <w:jc w:val="right"/>
              <w:rPr/>
            </w:pPr>
            <w:r>
              <w:rPr/>
              <w:t>—</w:t>
            </w:r>
          </w:p>
        </w:tc>
        <w:tc>
          <w:tcPr>
            <w:tcW w:w="136"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54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As acquisitions and dispositions occur in the future, amortization expense may vary from these estimates.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18" w:name="s1D6CF2837F4CFA1A592FA41247D8D649"/>
      <w:bookmarkStart w:id="19" w:name="s1D6CF2837F4CFA1A592FA41247D8D649"/>
      <w:bookmarkEnd w:id="19"/>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15</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F: Long-term Debt</w:t>
      </w:r>
    </w:p>
    <w:p>
      <w:pPr>
        <w:pStyle w:val="TextBody"/>
        <w:spacing w:lineRule="auto" w:line="288" w:before="0" w:after="0"/>
        <w:rPr>
          <w:sz w:val="17"/>
        </w:rPr>
      </w:pPr>
      <w:r>
        <w:rPr>
          <w:rFonts w:ascii="inherit" w:hAnsi="inherit"/>
          <w:sz w:val="17"/>
        </w:rPr>
        <w:t xml:space="preserve">The table presents our long-term debt instruments and balances under capital lease obligations outstanding at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2011</w:t>
      </w:r>
      <w:r>
        <w:rPr>
          <w:sz w:val="17"/>
        </w:rPr>
        <w:t xml:space="preserve"> </w:t>
      </w:r>
      <w:r>
        <w:rPr>
          <w:rFonts w:ascii="inherit" w:hAnsi="inherit"/>
          <w:sz w:val="17"/>
        </w:rPr>
        <w:t>(in thousands):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369"/>
        <w:gridCol w:w="148"/>
        <w:gridCol w:w="1069"/>
        <w:gridCol w:w="89"/>
        <w:gridCol w:w="126"/>
        <w:gridCol w:w="148"/>
        <w:gridCol w:w="1075"/>
        <w:gridCol w:w="89"/>
        <w:gridCol w:w="126"/>
        <w:gridCol w:w="148"/>
        <w:gridCol w:w="1075"/>
        <w:gridCol w:w="89"/>
        <w:gridCol w:w="126"/>
        <w:gridCol w:w="181"/>
        <w:gridCol w:w="1231"/>
        <w:gridCol w:w="116"/>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6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69"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3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69" w:type="dxa"/>
            <w:tcBorders/>
            <w:shd w:fill="auto" w:val="clear"/>
            <w:vAlign w:val="center"/>
          </w:tcPr>
          <w:p>
            <w:pPr>
              <w:pStyle w:val="TableContents"/>
              <w:spacing w:before="0" w:after="0"/>
              <w:ind w:left="0" w:right="0" w:firstLine="30"/>
              <w:jc w:val="left"/>
              <w:rPr/>
            </w:pPr>
            <w:r>
              <w:rPr/>
              <w:t> </w:t>
            </w:r>
          </w:p>
        </w:tc>
        <w:tc>
          <w:tcPr>
            <w:tcW w:w="274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2012</w:t>
            </w:r>
          </w:p>
        </w:tc>
        <w:tc>
          <w:tcPr>
            <w:tcW w:w="126" w:type="dxa"/>
            <w:tcBorders/>
            <w:shd w:fill="auto" w:val="clear"/>
            <w:vAlign w:val="center"/>
          </w:tcPr>
          <w:p>
            <w:pPr>
              <w:pStyle w:val="TableContents"/>
              <w:spacing w:before="0" w:after="0"/>
              <w:ind w:left="0" w:right="0" w:firstLine="30"/>
              <w:rPr/>
            </w:pPr>
            <w:r>
              <w:rPr/>
              <w:t> </w:t>
            </w:r>
          </w:p>
        </w:tc>
        <w:tc>
          <w:tcPr>
            <w:tcW w:w="13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26" w:type="dxa"/>
            <w:tcBorders/>
            <w:shd w:fill="auto" w:val="clear"/>
            <w:vAlign w:val="center"/>
          </w:tcPr>
          <w:p>
            <w:pPr>
              <w:pStyle w:val="TableContents"/>
              <w:spacing w:before="0" w:after="0"/>
              <w:ind w:left="0" w:right="0" w:firstLine="30"/>
              <w:rPr/>
            </w:pPr>
            <w:r>
              <w:rPr/>
              <w:t> </w:t>
            </w:r>
          </w:p>
        </w:tc>
        <w:tc>
          <w:tcPr>
            <w:tcW w:w="15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4369" w:type="dxa"/>
            <w:tcBorders/>
            <w:shd w:fill="auto" w:val="clear"/>
            <w:vAlign w:val="center"/>
          </w:tcPr>
          <w:p>
            <w:pPr>
              <w:pStyle w:val="TableContents"/>
              <w:spacing w:before="0" w:after="0"/>
              <w:ind w:left="0" w:right="0" w:firstLine="30"/>
              <w:jc w:val="left"/>
              <w:rPr/>
            </w:pPr>
            <w:r>
              <w:rPr/>
              <w:t> </w:t>
            </w:r>
          </w:p>
        </w:tc>
        <w:tc>
          <w:tcPr>
            <w:tcW w:w="130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Carrying</w:t>
            </w:r>
          </w:p>
          <w:p>
            <w:pPr>
              <w:pStyle w:val="TableContents"/>
              <w:spacing w:before="0" w:after="0"/>
              <w:ind w:left="0" w:right="0" w:firstLine="30"/>
              <w:jc w:val="center"/>
              <w:rPr>
                <w:rFonts w:ascii="inherit" w:hAnsi="inherit"/>
                <w:sz w:val="13"/>
              </w:rPr>
            </w:pPr>
            <w:r>
              <w:rPr>
                <w:rFonts w:ascii="inherit" w:hAnsi="inherit"/>
                <w:sz w:val="13"/>
              </w:rPr>
              <w:t>Amount</w:t>
            </w:r>
          </w:p>
        </w:tc>
        <w:tc>
          <w:tcPr>
            <w:tcW w:w="126" w:type="dxa"/>
            <w:tcBorders/>
            <w:shd w:fill="auto" w:val="clear"/>
            <w:vAlign w:val="center"/>
          </w:tcPr>
          <w:p>
            <w:pPr>
              <w:pStyle w:val="TableContents"/>
              <w:spacing w:before="0" w:after="0"/>
              <w:ind w:left="0" w:right="0" w:firstLine="30"/>
              <w:rPr/>
            </w:pPr>
            <w:r>
              <w:rPr/>
              <w:t> </w:t>
            </w:r>
          </w:p>
        </w:tc>
        <w:tc>
          <w:tcPr>
            <w:tcW w:w="131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Debt Premium</w:t>
            </w:r>
          </w:p>
        </w:tc>
        <w:tc>
          <w:tcPr>
            <w:tcW w:w="126" w:type="dxa"/>
            <w:tcBorders/>
            <w:shd w:fill="auto" w:val="clear"/>
            <w:vAlign w:val="center"/>
          </w:tcPr>
          <w:p>
            <w:pPr>
              <w:pStyle w:val="TableContents"/>
              <w:spacing w:before="0" w:after="0"/>
              <w:ind w:left="0" w:right="0" w:firstLine="30"/>
              <w:rPr/>
            </w:pPr>
            <w:r>
              <w:rPr/>
              <w:t> </w:t>
            </w:r>
          </w:p>
        </w:tc>
        <w:tc>
          <w:tcPr>
            <w:tcW w:w="13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26" w:type="dxa"/>
            <w:tcBorders/>
            <w:shd w:fill="auto" w:val="clear"/>
            <w:vAlign w:val="center"/>
          </w:tcPr>
          <w:p>
            <w:pPr>
              <w:pStyle w:val="TableContents"/>
              <w:spacing w:before="0" w:after="0"/>
              <w:ind w:left="0" w:right="0" w:firstLine="30"/>
              <w:rPr/>
            </w:pPr>
            <w:r>
              <w:rPr/>
              <w:t> </w:t>
            </w:r>
          </w:p>
        </w:tc>
        <w:tc>
          <w:tcPr>
            <w:tcW w:w="152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4369"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Recourse to EZCORP:</w:t>
            </w:r>
          </w:p>
        </w:tc>
        <w:tc>
          <w:tcPr>
            <w:tcW w:w="1306"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312"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312"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528" w:type="dxa"/>
            <w:gridSpan w:val="3"/>
            <w:tcBorders/>
            <w:shd w:fill="CCEEFF" w:val="clear"/>
            <w:vAlign w:val="center"/>
          </w:tcPr>
          <w:p>
            <w:pPr>
              <w:pStyle w:val="TableContents"/>
              <w:spacing w:before="0" w:after="0"/>
              <w:ind w:left="0" w:right="0" w:firstLine="30"/>
              <w:rPr/>
            </w:pPr>
            <w:r>
              <w:rPr/>
              <w:t> </w:t>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Domestic line of credit up to $175,000 due 2015</w:t>
            </w:r>
          </w:p>
        </w:tc>
        <w:tc>
          <w:tcPr>
            <w:tcW w:w="14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auto" w:val="clear"/>
            <w:vAlign w:val="center"/>
          </w:tcPr>
          <w:p>
            <w:pPr>
              <w:pStyle w:val="TableContents"/>
              <w:spacing w:before="0" w:after="0"/>
              <w:jc w:val="right"/>
              <w:rPr>
                <w:rFonts w:ascii="inherit" w:hAnsi="inherit"/>
                <w:sz w:val="17"/>
              </w:rPr>
            </w:pPr>
            <w:r>
              <w:rPr>
                <w:rFonts w:ascii="inherit" w:hAnsi="inherit"/>
                <w:sz w:val="17"/>
              </w:rPr>
              <w:t>114,700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26,500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31" w:type="dxa"/>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2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1,159</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2"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Non-recourse to EZCORP:</w:t>
            </w:r>
          </w:p>
        </w:tc>
        <w:tc>
          <w:tcPr>
            <w:tcW w:w="1306"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12"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12"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528" w:type="dxa"/>
            <w:gridSpan w:val="3"/>
            <w:tcBorders/>
            <w:shd w:fill="auto" w:val="clear"/>
            <w:vAlign w:val="center"/>
          </w:tcPr>
          <w:p>
            <w:pPr>
              <w:pStyle w:val="TableContents"/>
              <w:spacing w:before="0" w:after="0"/>
              <w:ind w:left="0" w:right="0" w:firstLine="30"/>
              <w:rPr/>
            </w:pPr>
            <w:r>
              <w:rPr/>
              <w:t> </w:t>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$3,700 due 2014</w:t>
            </w:r>
          </w:p>
        </w:tc>
        <w:tc>
          <w:tcPr>
            <w:tcW w:w="12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2,803</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2"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$71,800 due 2015</w:t>
            </w:r>
          </w:p>
        </w:tc>
        <w:tc>
          <w:tcPr>
            <w:tcW w:w="12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58,455</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9,004</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2" w:type="dxa"/>
            <w:gridSpan w:val="2"/>
            <w:tcBorders/>
            <w:shd w:fill="auto" w:val="clear"/>
            <w:vAlign w:val="center"/>
          </w:tcPr>
          <w:p>
            <w:pPr>
              <w:pStyle w:val="TableContents"/>
              <w:spacing w:before="0" w:after="0"/>
              <w:jc w:val="right"/>
              <w:rPr/>
            </w:pPr>
            <w:r>
              <w:rPr/>
              <w:t>—</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up to $21,975 due 2017</w:t>
            </w:r>
          </w:p>
        </w:tc>
        <w:tc>
          <w:tcPr>
            <w:tcW w:w="12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6,903</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2"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2013</w:t>
            </w:r>
          </w:p>
        </w:tc>
        <w:tc>
          <w:tcPr>
            <w:tcW w:w="12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1,570</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2" w:type="dxa"/>
            <w:gridSpan w:val="2"/>
            <w:tcBorders/>
            <w:shd w:fill="auto" w:val="clear"/>
            <w:vAlign w:val="center"/>
          </w:tcPr>
          <w:p>
            <w:pPr>
              <w:pStyle w:val="TableContents"/>
              <w:spacing w:before="0" w:after="0"/>
              <w:jc w:val="right"/>
              <w:rPr/>
            </w:pPr>
            <w:r>
              <w:rPr/>
              <w:t>—</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16% unsecured notes due 2013</w:t>
            </w:r>
          </w:p>
        </w:tc>
        <w:tc>
          <w:tcPr>
            <w:tcW w:w="12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5,013</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2"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20% unsecured notes due 2013</w:t>
            </w:r>
          </w:p>
        </w:tc>
        <w:tc>
          <w:tcPr>
            <w:tcW w:w="12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11,725</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1,511</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2" w:type="dxa"/>
            <w:gridSpan w:val="2"/>
            <w:tcBorders/>
            <w:shd w:fill="auto" w:val="clear"/>
            <w:vAlign w:val="center"/>
          </w:tcPr>
          <w:p>
            <w:pPr>
              <w:pStyle w:val="TableContents"/>
              <w:spacing w:before="0" w:after="0"/>
              <w:jc w:val="right"/>
              <w:rPr/>
            </w:pPr>
            <w:r>
              <w:rPr/>
              <w:t>—</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2014</w:t>
            </w:r>
          </w:p>
        </w:tc>
        <w:tc>
          <w:tcPr>
            <w:tcW w:w="12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906</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2"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2015</w:t>
            </w:r>
          </w:p>
        </w:tc>
        <w:tc>
          <w:tcPr>
            <w:tcW w:w="12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402</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shd w:fill="auto" w:val="clear"/>
            <w:vAlign w:val="center"/>
          </w:tcPr>
          <w:p>
            <w:pPr>
              <w:pStyle w:val="TableContents"/>
              <w:spacing w:before="0" w:after="0"/>
              <w:jc w:val="right"/>
              <w:rPr/>
            </w:pPr>
            <w:r>
              <w:rPr/>
              <w:t>—</w:t>
            </w:r>
          </w:p>
        </w:tc>
        <w:tc>
          <w:tcPr>
            <w:tcW w:w="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2" w:type="dxa"/>
            <w:gridSpan w:val="2"/>
            <w:tcBorders/>
            <w:shd w:fill="auto" w:val="clear"/>
            <w:vAlign w:val="center"/>
          </w:tcPr>
          <w:p>
            <w:pPr>
              <w:pStyle w:val="TableContents"/>
              <w:spacing w:before="0" w:after="0"/>
              <w:jc w:val="right"/>
              <w:rPr/>
            </w:pPr>
            <w:r>
              <w:rPr/>
              <w:t>—</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18% secured notes due 2015</w:t>
            </w:r>
          </w:p>
        </w:tc>
        <w:tc>
          <w:tcPr>
            <w:tcW w:w="12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4,273</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611</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23" w:type="dxa"/>
            <w:gridSpan w:val="2"/>
            <w:tcBorders/>
            <w:shd w:fill="CCEEFF" w:val="clear"/>
            <w:vAlign w:val="center"/>
          </w:tcPr>
          <w:p>
            <w:pPr>
              <w:pStyle w:val="TableContents"/>
              <w:spacing w:before="0" w:after="0"/>
              <w:jc w:val="right"/>
              <w:rPr/>
            </w:pPr>
            <w:r>
              <w:rPr/>
              <w:t>—</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12" w:type="dxa"/>
            <w:gridSpan w:val="2"/>
            <w:tcBorders/>
            <w:shd w:fill="CCEEFF" w:val="clear"/>
            <w:vAlign w:val="center"/>
          </w:tcPr>
          <w:p>
            <w:pPr>
              <w:pStyle w:val="TableContents"/>
              <w:spacing w:before="0" w:after="0"/>
              <w:jc w:val="right"/>
              <w:rPr/>
            </w:pPr>
            <w:r>
              <w:rPr/>
              <w:t>—</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2016</w:t>
            </w:r>
          </w:p>
        </w:tc>
        <w:tc>
          <w:tcPr>
            <w:tcW w:w="12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116</w:t>
            </w:r>
          </w:p>
        </w:tc>
        <w:tc>
          <w:tcPr>
            <w:tcW w:w="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long-term obligations</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shd w:fill="CCEEFF" w:val="clear"/>
            <w:vAlign w:val="center"/>
          </w:tcPr>
          <w:p>
            <w:pPr>
              <w:pStyle w:val="TableContents"/>
              <w:spacing w:before="0" w:after="0"/>
              <w:jc w:val="right"/>
              <w:rPr>
                <w:rFonts w:ascii="inherit" w:hAnsi="inherit"/>
                <w:sz w:val="17"/>
              </w:rPr>
            </w:pPr>
            <w:r>
              <w:rPr>
                <w:rFonts w:ascii="inherit" w:hAnsi="inherit"/>
                <w:sz w:val="17"/>
              </w:rPr>
              <w:t>208,025</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rFonts w:ascii="inherit" w:hAnsi="inherit"/>
                <w:sz w:val="17"/>
              </w:rPr>
            </w:pPr>
            <w:r>
              <w:rPr>
                <w:rFonts w:ascii="inherit" w:hAnsi="inherit"/>
                <w:sz w:val="17"/>
              </w:rPr>
              <w:t>11,510</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rFonts w:ascii="inherit" w:hAnsi="inherit"/>
                <w:sz w:val="17"/>
              </w:rPr>
            </w:pPr>
            <w:r>
              <w:rPr>
                <w:rFonts w:ascii="inherit" w:hAnsi="inherit"/>
                <w:sz w:val="17"/>
              </w:rPr>
              <w:t>26,500</w:t>
            </w:r>
          </w:p>
        </w:tc>
        <w:tc>
          <w:tcPr>
            <w:tcW w:w="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31" w:type="dxa"/>
            <w:tcBorders/>
            <w:shd w:fill="CCEEFF" w:val="clear"/>
            <w:vAlign w:val="center"/>
          </w:tcPr>
          <w:p>
            <w:pPr>
              <w:pStyle w:val="TableContents"/>
              <w:spacing w:before="0" w:after="0"/>
              <w:jc w:val="right"/>
              <w:rPr>
                <w:rFonts w:ascii="inherit" w:hAnsi="inherit"/>
                <w:sz w:val="17"/>
              </w:rPr>
            </w:pPr>
            <w:r>
              <w:rPr>
                <w:rFonts w:ascii="inherit" w:hAnsi="inherit"/>
                <w:sz w:val="17"/>
              </w:rPr>
              <w:t>17,500</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Less current portion</w:t>
            </w:r>
          </w:p>
        </w:tc>
        <w:tc>
          <w:tcPr>
            <w:tcW w:w="130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right"/>
              <w:rPr>
                <w:rFonts w:ascii="inherit" w:hAnsi="inherit"/>
                <w:sz w:val="17"/>
              </w:rPr>
            </w:pPr>
            <w:r>
              <w:rPr>
                <w:rFonts w:ascii="inherit" w:hAnsi="inherit"/>
                <w:sz w:val="17"/>
              </w:rPr>
              <w:t>31,521</w:t>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69"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Total long-term and capital lease obligations</w:t>
            </w:r>
          </w:p>
        </w:tc>
        <w:tc>
          <w:tcPr>
            <w:tcW w:w="1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176,504</w:t>
            </w:r>
          </w:p>
        </w:tc>
        <w:tc>
          <w:tcPr>
            <w:tcW w:w="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11,510</w:t>
            </w:r>
          </w:p>
        </w:tc>
        <w:tc>
          <w:tcPr>
            <w:tcW w:w="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26,500</w:t>
            </w:r>
          </w:p>
        </w:tc>
        <w:tc>
          <w:tcPr>
            <w:tcW w:w="8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3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17,500</w:t>
            </w:r>
          </w:p>
        </w:tc>
        <w:tc>
          <w:tcPr>
            <w:tcW w:w="11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36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syndicate of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banks, replacing our previous credit agreement. Among other things, the new credit agreement provides for a </w:t>
      </w:r>
      <w:r>
        <w:rPr>
          <w:rFonts w:ascii="inherit" w:hAnsi="inherit"/>
          <w:strike w:val="false"/>
          <w:dstrike w:val="false"/>
          <w:color w:val="000000"/>
          <w:sz w:val="17"/>
          <w:u w:val="none"/>
          <w:effect w:val="none"/>
        </w:rPr>
        <w:t>four</w:t>
      </w:r>
      <w:r>
        <w:rPr>
          <w:sz w:val="17"/>
        </w:rPr>
        <w:t xml:space="preserve"> </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our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outstanding debt. The new credit facility increases our available credit and provides greater flexibility to make investments and acquisitions both domestically and internationally.</w:t>
      </w:r>
    </w:p>
    <w:p>
      <w:pPr>
        <w:pStyle w:val="TextBody"/>
        <w:spacing w:lineRule="auto" w:line="288" w:before="0" w:after="0"/>
        <w:rPr>
          <w:sz w:val="17"/>
        </w:rPr>
      </w:pPr>
      <w:r>
        <w:rPr>
          <w:rFonts w:ascii="inherit" w:hAnsi="inherit"/>
          <w:sz w:val="17"/>
        </w:rPr>
        <w:t xml:space="preserve">Pursuant to the credit agreement, we may choose to pay interest to the lenders for outstanding borrowings at </w:t>
      </w:r>
      <w:r>
        <w:rPr>
          <w:rFonts w:ascii="inherit" w:hAnsi="inherit"/>
          <w:strike w:val="false"/>
          <w:dstrike w:val="false"/>
          <w:color w:val="000000"/>
          <w:sz w:val="17"/>
          <w:u w:val="none"/>
          <w:effect w:val="none"/>
        </w:rPr>
        <w:t>LIBOR plus 200 to 275 basis points or the bank's base rate plus 100 to 175 basis points</w:t>
      </w:r>
      <w:r>
        <w:rPr>
          <w:rFonts w:ascii="inherit" w:hAnsi="inherit"/>
          <w:sz w:val="17"/>
        </w:rPr>
        <w:t xml:space="preserve">, depending on our leverage ratio computed at the end of each calendar quarter. On the unused amount of the credit facility, we pay a </w:t>
      </w:r>
      <w:r>
        <w:rPr>
          <w:rFonts w:ascii="inherit" w:hAnsi="inherit"/>
          <w:strike w:val="false"/>
          <w:dstrike w:val="false"/>
          <w:color w:val="000000"/>
          <w:sz w:val="17"/>
          <w:u w:val="none"/>
          <w:effect w:val="none"/>
        </w:rPr>
        <w:t>commitment fee of 37.5 to 50 basis points depending on our leverage ratio calculated at the end of each quarter</w:t>
      </w:r>
      <w:r>
        <w:rPr>
          <w:rFonts w:ascii="inherit" w:hAnsi="inherit"/>
          <w:sz w:val="17"/>
        </w:rPr>
        <w:t xml:space="preserve">. Terms of the credit agreement require, among other things, that we meet certain financial covenants. At </w:t>
      </w:r>
      <w:r>
        <w:rPr>
          <w:rFonts w:ascii="inherit" w:hAnsi="inherit"/>
          <w:strike w:val="false"/>
          <w:dstrike w:val="false"/>
          <w:color w:val="000000"/>
          <w:sz w:val="17"/>
          <w:u w:val="none"/>
          <w:effect w:val="none"/>
        </w:rPr>
        <w:t>June 30, 2012</w:t>
      </w:r>
      <w:r>
        <w:rPr>
          <w:rFonts w:ascii="inherit" w:hAnsi="inherit"/>
          <w:sz w:val="17"/>
        </w:rPr>
        <w:t>, we were in compliance with all covenants. We expect the recorded value of our debt to approximate its fair value, as it is all variable rate debt and carries no pre-payment penalty, and would be considered a level 3 estimate within the fair value hierarchy.</w:t>
      </w:r>
    </w:p>
    <w:p>
      <w:pPr>
        <w:pStyle w:val="TextBody"/>
        <w:spacing w:lineRule="auto" w:line="288" w:before="0" w:after="0"/>
        <w:rPr>
          <w:rFonts w:ascii="inherit" w:hAnsi="inherit"/>
          <w:sz w:val="17"/>
        </w:rPr>
      </w:pPr>
      <w:r>
        <w:rPr>
          <w:rFonts w:ascii="inherit" w:hAnsi="inherit"/>
          <w:sz w:val="17"/>
        </w:rPr>
        <w:t>Deferred financing costs related to our credit agreement are included in intangible assets, net on the balance sheet and are being amortized to interest expense over the term of the agreement.</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January 30, 2012</w:t>
      </w:r>
      <w:r>
        <w:rPr>
          <w:rFonts w:ascii="inherit" w:hAnsi="inherit"/>
          <w:sz w:val="17"/>
        </w:rPr>
        <w:t xml:space="preserve">, we acquired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ownership interest in Crediamigo, a specialty consumer finance company headquartered in Mexico City. Non-recourse debt amounts in the table above represent Crediamigo’s third party debt. All lines of credit are guaranteed by the Crediamigo loan portfolio. Interest on lines of credit due 2014 and 2015 is charged at the Mexican Interbank Equilibrium ("TIIE") plus a margin varying from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20%</w:t>
      </w:r>
      <w:r>
        <w:rPr>
          <w:rFonts w:ascii="inherit" w:hAnsi="inherit"/>
          <w:sz w:val="17"/>
        </w:rPr>
        <w:t xml:space="preserve">. The line of credit due 2014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 xml:space="preserve">with remaining principal due at maturity. The line of credit due 2015 requires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$0.8 million</w:t>
      </w:r>
      <w:r>
        <w:rPr>
          <w:sz w:val="17"/>
        </w:rPr>
        <w:t xml:space="preserve"> </w:t>
      </w:r>
      <w:r>
        <w:rPr>
          <w:rFonts w:ascii="inherit" w:hAnsi="inherit"/>
          <w:sz w:val="17"/>
        </w:rPr>
        <w:t xml:space="preserve">increasing to </w:t>
      </w:r>
      <w:r>
        <w:rPr>
          <w:rFonts w:ascii="inherit" w:hAnsi="inherit"/>
          <w:strike w:val="false"/>
          <w:dstrike w:val="false"/>
          <w:color w:val="000000"/>
          <w:sz w:val="17"/>
          <w:u w:val="none"/>
          <w:effect w:val="none"/>
        </w:rPr>
        <w:t>$1.9 million</w:t>
      </w:r>
      <w:r>
        <w:rPr>
          <w:sz w:val="17"/>
        </w:rPr>
        <w:t xml:space="preserve"> </w:t>
      </w:r>
      <w:r>
        <w:rPr>
          <w:rFonts w:ascii="inherit" w:hAnsi="inherit"/>
          <w:sz w:val="17"/>
        </w:rPr>
        <w:t xml:space="preserve">on November 30, 2012, with the remaining principal due at maturity. Beginning </w:t>
      </w:r>
      <w:r>
        <w:rPr>
          <w:rFonts w:ascii="inherit" w:hAnsi="inherit"/>
          <w:strike w:val="false"/>
          <w:dstrike w:val="false"/>
          <w:color w:val="000000"/>
          <w:sz w:val="17"/>
          <w:u w:val="none"/>
          <w:effect w:val="none"/>
        </w:rPr>
        <w:t>September 30, 2012</w:t>
      </w:r>
      <w:r>
        <w:rPr>
          <w:rFonts w:ascii="inherit" w:hAnsi="inherit"/>
          <w:sz w:val="17"/>
        </w:rPr>
        <w:t xml:space="preserve">, the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secured notes require </w:t>
      </w:r>
      <w:r>
        <w:rPr>
          <w:rFonts w:ascii="inherit" w:hAnsi="inherit"/>
          <w:strike w:val="false"/>
          <w:dstrike w:val="false"/>
          <w:color w:val="000000"/>
          <w:sz w:val="17"/>
          <w:u w:val="none"/>
          <w:effect w:val="none"/>
        </w:rPr>
        <w:t>monthly payments</w:t>
      </w:r>
      <w:r>
        <w:rPr>
          <w:sz w:val="17"/>
        </w:rPr>
        <w:t xml:space="preserve"> </w:t>
      </w:r>
      <w:r>
        <w:rPr>
          <w:rFonts w:ascii="inherit" w:hAnsi="inherit"/>
          <w:sz w:val="17"/>
        </w:rPr>
        <w:t xml:space="preserve">of </w:t>
      </w:r>
      <w:r>
        <w:rPr>
          <w:rFonts w:ascii="inherit" w:hAnsi="inherit"/>
          <w:strike w:val="false"/>
          <w:dstrike w:val="false"/>
          <w:color w:val="000000"/>
          <w:sz w:val="17"/>
          <w:u w:val="none"/>
          <w:effect w:val="none"/>
        </w:rPr>
        <w:t>$0.1 million</w:t>
      </w:r>
      <w:r>
        <w:rPr>
          <w:sz w:val="17"/>
        </w:rPr>
        <w:t xml:space="preserve"> </w:t>
      </w:r>
      <w:r>
        <w:rPr>
          <w:rFonts w:ascii="inherit" w:hAnsi="inherit"/>
          <w:sz w:val="17"/>
        </w:rPr>
        <w:t>with remaining principal due at maturity. The debt premium on Crediamigo’s debt was recorded at acquisition and is being amortized as a reduction of interest expense over the life of the debt. We expect the recorded value of our debt to approximate its fair value and would be considered level 3 estimates within the fair value hierarchy.</w:t>
      </w:r>
    </w:p>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 xml:space="preserve">On June 29, 2012 Crediamigo renegotiated their revolving line of credit originally due 2016. The interest rate was decreased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16</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left"/>
        <w:rPr>
          <w:sz w:val="17"/>
        </w:rPr>
      </w:pPr>
      <w:r>
        <w:rPr>
          <w:rFonts w:ascii="inherit" w:hAnsi="inherit"/>
          <w:sz w:val="17"/>
        </w:rPr>
        <w:t xml:space="preserve">from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14.5%</w:t>
      </w:r>
      <w:r>
        <w:rPr>
          <w:sz w:val="17"/>
        </w:rPr>
        <w:t xml:space="preserve"> </w:t>
      </w:r>
      <w:r>
        <w:rPr>
          <w:rFonts w:ascii="inherit" w:hAnsi="inherit"/>
          <w:sz w:val="17"/>
        </w:rPr>
        <w:t xml:space="preserve">and the term was extended </w:t>
      </w:r>
      <w:r>
        <w:rPr>
          <w:rFonts w:ascii="inherit" w:hAnsi="inherit"/>
          <w:strike w:val="false"/>
          <w:dstrike w:val="false"/>
          <w:color w:val="000000"/>
          <w:sz w:val="17"/>
          <w:u w:val="none"/>
          <w:effect w:val="none"/>
        </w:rPr>
        <w:t>6 months</w:t>
      </w:r>
      <w:r>
        <w:rPr>
          <w:rFonts w:ascii="inherit" w:hAnsi="inherit"/>
          <w:sz w:val="17"/>
        </w:rPr>
        <w:t xml:space="preserve">, now being due at the end of April 2017. The maximum borrowing capacity was also raised from </w:t>
      </w:r>
      <w:r>
        <w:rPr>
          <w:rFonts w:ascii="inherit" w:hAnsi="inherit"/>
          <w:strike w:val="false"/>
          <w:dstrike w:val="false"/>
          <w:color w:val="000000"/>
          <w:sz w:val="17"/>
          <w:u w:val="none"/>
          <w:effect w:val="none"/>
        </w:rPr>
        <w:t>$14.6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$22.0 million</w:t>
      </w:r>
      <w:r>
        <w:rPr>
          <w:rFonts w:ascii="inherit" w:hAnsi="inherit"/>
          <w:sz w:val="17"/>
        </w:rPr>
        <w:t xml:space="preserve">. Due to the substantial improvement in the renegotiated terms, the remaining unamortized premium of </w:t>
      </w:r>
      <w:r>
        <w:rPr>
          <w:rFonts w:ascii="inherit" w:hAnsi="inherit"/>
          <w:strike w:val="false"/>
          <w:dstrike w:val="false"/>
          <w:color w:val="000000"/>
          <w:sz w:val="17"/>
          <w:u w:val="none"/>
          <w:effect w:val="none"/>
        </w:rPr>
        <w:t>$2.8 million</w:t>
      </w:r>
      <w:r>
        <w:rPr>
          <w:rFonts w:ascii="inherit" w:hAnsi="inherit"/>
          <w:sz w:val="17"/>
        </w:rPr>
        <w:t>, valued at acquisition, was accelerated and recognized as a reduction to interest expense in the current quarter.</w:t>
      </w:r>
    </w:p>
    <w:p>
      <w:pPr>
        <w:pStyle w:val="TextBody"/>
        <w:spacing w:lineRule="auto" w:line="288" w:before="0" w:after="0"/>
        <w:rPr>
          <w:rFonts w:ascii="inherit" w:hAnsi="inherit"/>
          <w:sz w:val="17"/>
        </w:rPr>
      </w:pPr>
      <w:r>
        <w:rPr>
          <w:rFonts w:ascii="inherit" w:hAnsi="inherit"/>
          <w:sz w:val="17"/>
        </w:rPr>
        <w:t>Included in the amounts above are notes due to Crediamigo’s shareholders, which are presented in the table below (in thousands):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8727"/>
        <w:gridCol w:w="152"/>
        <w:gridCol w:w="1211"/>
        <w:gridCol w:w="115"/>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872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1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8727" w:type="dxa"/>
            <w:tcBorders/>
            <w:shd w:fill="auto" w:val="clear"/>
            <w:vAlign w:val="center"/>
          </w:tcPr>
          <w:p>
            <w:pPr>
              <w:pStyle w:val="TableContents"/>
              <w:spacing w:before="0" w:after="0"/>
              <w:ind w:left="0" w:right="0" w:firstLine="30"/>
              <w:jc w:val="left"/>
              <w:rPr/>
            </w:pPr>
            <w:r>
              <w:rPr/>
              <w:t> </w:t>
            </w:r>
          </w:p>
        </w:tc>
        <w:tc>
          <w:tcPr>
            <w:tcW w:w="14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2012</w:t>
            </w:r>
          </w:p>
        </w:tc>
      </w:tr>
      <w:tr>
        <w:trPr/>
        <w:tc>
          <w:tcPr>
            <w:tcW w:w="87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16% unsecured notes due 2013</w:t>
            </w:r>
          </w:p>
        </w:tc>
        <w:tc>
          <w:tcPr>
            <w:tcW w:w="15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1" w:type="dxa"/>
            <w:tcBorders/>
            <w:shd w:fill="CCEEFF" w:val="clear"/>
            <w:vAlign w:val="center"/>
          </w:tcPr>
          <w:p>
            <w:pPr>
              <w:pStyle w:val="TableContents"/>
              <w:spacing w:before="0" w:after="0"/>
              <w:jc w:val="right"/>
              <w:rPr>
                <w:rFonts w:ascii="inherit" w:hAnsi="inherit"/>
                <w:sz w:val="17"/>
              </w:rPr>
            </w:pPr>
            <w:r>
              <w:rPr>
                <w:rFonts w:ascii="inherit" w:hAnsi="inherit"/>
                <w:sz w:val="17"/>
              </w:rPr>
              <w:t>5,013</w:t>
            </w:r>
          </w:p>
        </w:tc>
        <w:tc>
          <w:tcPr>
            <w:tcW w:w="1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7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10% unsecured notes due 2014</w:t>
            </w:r>
          </w:p>
        </w:tc>
        <w:tc>
          <w:tcPr>
            <w:tcW w:w="13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906</w:t>
            </w:r>
          </w:p>
        </w:tc>
        <w:tc>
          <w:tcPr>
            <w:tcW w:w="1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7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Secured foreign currency line of credit due 2015</w:t>
            </w:r>
          </w:p>
        </w:tc>
        <w:tc>
          <w:tcPr>
            <w:tcW w:w="13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10,284</w:t>
            </w:r>
          </w:p>
        </w:tc>
        <w:tc>
          <w:tcPr>
            <w:tcW w:w="11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872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debt to stockholders</w:t>
            </w:r>
          </w:p>
        </w:tc>
        <w:tc>
          <w:tcPr>
            <w:tcW w:w="15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16,203</w:t>
            </w:r>
          </w:p>
        </w:tc>
        <w:tc>
          <w:tcPr>
            <w:tcW w:w="11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0" w:name="s7E663632E4791E13B694A41249FAD234"/>
      <w:bookmarkEnd w:id="20"/>
      <w:r>
        <w:rPr>
          <w:rFonts w:ascii="inherit" w:hAnsi="inherit"/>
          <w:b/>
          <w:sz w:val="17"/>
        </w:rPr>
        <w:t>Note G: Stock Compensation</w:t>
      </w:r>
    </w:p>
    <w:p>
      <w:pPr>
        <w:pStyle w:val="TextBody"/>
        <w:spacing w:lineRule="auto" w:line="288" w:before="0" w:after="0"/>
        <w:rPr>
          <w:rFonts w:ascii="inherit" w:hAnsi="inherit"/>
          <w:sz w:val="17"/>
        </w:rPr>
      </w:pPr>
      <w:r>
        <w:rPr>
          <w:rFonts w:ascii="inherit" w:hAnsi="inherit"/>
          <w:sz w:val="17"/>
        </w:rPr>
        <w:t>Our net income includes the following compensation costs related to our stock compensation arrangements: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704"/>
        <w:gridCol w:w="126"/>
        <w:gridCol w:w="1031"/>
        <w:gridCol w:w="121"/>
        <w:gridCol w:w="115"/>
        <w:gridCol w:w="126"/>
        <w:gridCol w:w="1031"/>
        <w:gridCol w:w="121"/>
        <w:gridCol w:w="115"/>
        <w:gridCol w:w="126"/>
        <w:gridCol w:w="1031"/>
        <w:gridCol w:w="121"/>
        <w:gridCol w:w="115"/>
        <w:gridCol w:w="126"/>
        <w:gridCol w:w="1063"/>
        <w:gridCol w:w="133"/>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704"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06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704" w:type="dxa"/>
            <w:tcBorders/>
            <w:shd w:fill="auto" w:val="clear"/>
            <w:vAlign w:val="center"/>
          </w:tcPr>
          <w:p>
            <w:pPr>
              <w:pStyle w:val="TableContents"/>
              <w:spacing w:before="0" w:after="0"/>
              <w:ind w:left="0" w:right="0" w:firstLine="30"/>
              <w:rPr/>
            </w:pPr>
            <w:r>
              <w:rPr/>
              <w:t> </w:t>
            </w:r>
          </w:p>
        </w:tc>
        <w:tc>
          <w:tcPr>
            <w:tcW w:w="267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br/>
              <w:t>June 30,</w:t>
            </w:r>
          </w:p>
        </w:tc>
        <w:tc>
          <w:tcPr>
            <w:tcW w:w="115" w:type="dxa"/>
            <w:tcBorders/>
            <w:shd w:fill="auto" w:val="clear"/>
            <w:vAlign w:val="center"/>
          </w:tcPr>
          <w:p>
            <w:pPr>
              <w:pStyle w:val="TableContents"/>
              <w:spacing w:before="0" w:after="0"/>
              <w:ind w:left="0" w:right="0" w:firstLine="30"/>
              <w:rPr/>
            </w:pPr>
            <w:r>
              <w:rPr/>
              <w:t> </w:t>
            </w:r>
          </w:p>
        </w:tc>
        <w:tc>
          <w:tcPr>
            <w:tcW w:w="271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4704" w:type="dxa"/>
            <w:tcBorders/>
            <w:shd w:fill="auto" w:val="clear"/>
            <w:vAlign w:val="center"/>
          </w:tcPr>
          <w:p>
            <w:pPr>
              <w:pStyle w:val="TableContents"/>
              <w:spacing w:before="0" w:after="0"/>
              <w:ind w:left="0" w:right="0" w:firstLine="30"/>
              <w:jc w:val="left"/>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15" w:type="dxa"/>
            <w:tcBorders/>
            <w:shd w:fill="auto" w:val="clear"/>
            <w:vAlign w:val="center"/>
          </w:tcPr>
          <w:p>
            <w:pPr>
              <w:pStyle w:val="TableContents"/>
              <w:spacing w:before="0" w:after="0"/>
              <w:ind w:left="0" w:right="0" w:firstLine="30"/>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15" w:type="dxa"/>
            <w:tcBorders/>
            <w:shd w:fill="auto" w:val="clear"/>
            <w:vAlign w:val="center"/>
          </w:tcPr>
          <w:p>
            <w:pPr>
              <w:pStyle w:val="TableContents"/>
              <w:spacing w:before="0" w:after="0"/>
              <w:ind w:left="0" w:right="0" w:firstLine="30"/>
              <w:rPr/>
            </w:pPr>
            <w:r>
              <w:rPr/>
              <w:t> </w:t>
            </w:r>
          </w:p>
        </w:tc>
        <w:tc>
          <w:tcPr>
            <w:tcW w:w="12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15" w:type="dxa"/>
            <w:tcBorders/>
            <w:shd w:fill="auto" w:val="clear"/>
            <w:vAlign w:val="center"/>
          </w:tcPr>
          <w:p>
            <w:pPr>
              <w:pStyle w:val="TableContents"/>
              <w:spacing w:before="0" w:after="0"/>
              <w:ind w:left="0" w:right="0" w:firstLine="30"/>
              <w:rPr/>
            </w:pPr>
            <w:r>
              <w:rPr/>
              <w:t> </w:t>
            </w:r>
          </w:p>
        </w:tc>
        <w:tc>
          <w:tcPr>
            <w:tcW w:w="132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4704" w:type="dxa"/>
            <w:tcBorders/>
            <w:shd w:fill="auto" w:val="clear"/>
            <w:vAlign w:val="center"/>
          </w:tcPr>
          <w:p>
            <w:pPr>
              <w:pStyle w:val="TableContents"/>
              <w:spacing w:before="0" w:after="0"/>
              <w:ind w:left="0" w:right="0" w:firstLine="30"/>
              <w:jc w:val="left"/>
              <w:rPr/>
            </w:pPr>
            <w:r>
              <w:rPr/>
              <w:t> </w:t>
            </w:r>
          </w:p>
        </w:tc>
        <w:tc>
          <w:tcPr>
            <w:tcW w:w="550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7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compensation costs</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CCEEFF" w:val="clear"/>
            <w:vAlign w:val="center"/>
          </w:tcPr>
          <w:p>
            <w:pPr>
              <w:pStyle w:val="TableContents"/>
              <w:spacing w:before="0" w:after="0"/>
              <w:jc w:val="right"/>
              <w:rPr>
                <w:rFonts w:ascii="inherit" w:hAnsi="inherit"/>
                <w:sz w:val="17"/>
              </w:rPr>
            </w:pPr>
            <w:r>
              <w:rPr>
                <w:rFonts w:ascii="inherit" w:hAnsi="inherit"/>
                <w:sz w:val="17"/>
              </w:rPr>
              <w:t>1,953</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CCEEFF" w:val="clear"/>
            <w:vAlign w:val="center"/>
          </w:tcPr>
          <w:p>
            <w:pPr>
              <w:pStyle w:val="TableContents"/>
              <w:spacing w:before="0" w:after="0"/>
              <w:jc w:val="right"/>
              <w:rPr>
                <w:rFonts w:ascii="inherit" w:hAnsi="inherit"/>
                <w:sz w:val="17"/>
              </w:rPr>
            </w:pPr>
            <w:r>
              <w:rPr>
                <w:rFonts w:ascii="inherit" w:hAnsi="inherit"/>
                <w:sz w:val="17"/>
              </w:rPr>
              <w:t>1,508</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shd w:fill="CCEEFF" w:val="clear"/>
            <w:vAlign w:val="center"/>
          </w:tcPr>
          <w:p>
            <w:pPr>
              <w:pStyle w:val="TableContents"/>
              <w:spacing w:before="0" w:after="0"/>
              <w:jc w:val="right"/>
              <w:rPr>
                <w:rFonts w:ascii="inherit" w:hAnsi="inherit"/>
                <w:sz w:val="17"/>
              </w:rPr>
            </w:pPr>
            <w:r>
              <w:rPr>
                <w:rFonts w:ascii="inherit" w:hAnsi="inherit"/>
                <w:sz w:val="17"/>
              </w:rPr>
              <w:t>5,191</w:t>
            </w:r>
          </w:p>
        </w:tc>
        <w:tc>
          <w:tcPr>
            <w:tcW w:w="12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63" w:type="dxa"/>
            <w:tcBorders/>
            <w:shd w:fill="CCEEFF" w:val="clear"/>
            <w:vAlign w:val="center"/>
          </w:tcPr>
          <w:p>
            <w:pPr>
              <w:pStyle w:val="TableContents"/>
              <w:spacing w:before="0" w:after="0"/>
              <w:jc w:val="right"/>
              <w:rPr>
                <w:rFonts w:ascii="inherit" w:hAnsi="inherit"/>
                <w:sz w:val="17"/>
              </w:rPr>
            </w:pPr>
            <w:r>
              <w:rPr>
                <w:rFonts w:ascii="inherit" w:hAnsi="inherit"/>
                <w:sz w:val="17"/>
              </w:rPr>
              <w:t>11,536</w:t>
            </w:r>
          </w:p>
        </w:tc>
        <w:tc>
          <w:tcPr>
            <w:tcW w:w="13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7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benefits</w:t>
            </w:r>
          </w:p>
        </w:tc>
        <w:tc>
          <w:tcPr>
            <w:tcW w:w="11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(650</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(499</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5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(1,666</w:t>
            </w:r>
          </w:p>
        </w:tc>
        <w:tc>
          <w:tcPr>
            <w:tcW w:w="12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(3,952</w:t>
            </w:r>
          </w:p>
        </w:tc>
        <w:tc>
          <w:tcPr>
            <w:tcW w:w="13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7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compensation expense</w:t>
            </w:r>
          </w:p>
        </w:tc>
        <w:tc>
          <w:tcPr>
            <w:tcW w:w="12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1,303</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1,009</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3,525</w:t>
            </w:r>
          </w:p>
        </w:tc>
        <w:tc>
          <w:tcPr>
            <w:tcW w:w="12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6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7,584</w:t>
            </w:r>
          </w:p>
        </w:tc>
        <w:tc>
          <w:tcPr>
            <w:tcW w:w="13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Included in the compensation cost for the </w:t>
      </w:r>
      <w:r>
        <w:rPr>
          <w:rFonts w:ascii="inherit" w:hAnsi="inherit"/>
          <w:strike w:val="false"/>
          <w:dstrike w:val="false"/>
          <w:color w:val="000000"/>
          <w:sz w:val="17"/>
          <w:u w:val="none"/>
          <w:effect w:val="none"/>
        </w:rPr>
        <w:t>nine months ended</w:t>
      </w:r>
      <w:r>
        <w:rPr>
          <w:sz w:val="17"/>
        </w:rPr>
        <w:t xml:space="preserve"> </w:t>
      </w:r>
      <w:r>
        <w:rPr>
          <w:rFonts w:ascii="inherit" w:hAnsi="inherit"/>
          <w:strike w:val="false"/>
          <w:dstrike w:val="false"/>
          <w:color w:val="000000"/>
          <w:sz w:val="17"/>
          <w:u w:val="none"/>
          <w:effect w:val="none"/>
        </w:rPr>
        <w:t>June 30, 2011</w:t>
      </w:r>
      <w:r>
        <w:rPr>
          <w:sz w:val="17"/>
        </w:rPr>
        <w:t xml:space="preserve"> </w:t>
      </w:r>
      <w:r>
        <w:rPr>
          <w:rFonts w:ascii="inherit" w:hAnsi="inherit"/>
          <w:sz w:val="17"/>
        </w:rPr>
        <w:t xml:space="preserve">is </w:t>
      </w:r>
      <w:r>
        <w:rPr>
          <w:rFonts w:ascii="inherit" w:hAnsi="inherit"/>
          <w:strike w:val="false"/>
          <w:dstrike w:val="false"/>
          <w:color w:val="000000"/>
          <w:sz w:val="17"/>
          <w:u w:val="none"/>
          <w:effect w:val="none"/>
        </w:rPr>
        <w:t>$7.3 million</w:t>
      </w:r>
      <w:r>
        <w:rPr>
          <w:sz w:val="17"/>
        </w:rPr>
        <w:t xml:space="preserve"> </w:t>
      </w:r>
      <w:r>
        <w:rPr>
          <w:rFonts w:ascii="inherit" w:hAnsi="inherit"/>
          <w:sz w:val="17"/>
        </w:rPr>
        <w:t xml:space="preserve">for the accelerated vesting of restricted stock upon the retirement of our former Chief Executive Officer on </w:t>
      </w:r>
      <w:r>
        <w:rPr>
          <w:rFonts w:ascii="inherit" w:hAnsi="inherit"/>
          <w:strike w:val="false"/>
          <w:dstrike w:val="false"/>
          <w:color w:val="000000"/>
          <w:sz w:val="17"/>
          <w:u w:val="none"/>
          <w:effect w:val="none"/>
        </w:rPr>
        <w:t>October 31, 2010</w:t>
      </w:r>
      <w:r>
        <w:rPr>
          <w:rFonts w:ascii="inherit" w:hAnsi="inherit"/>
          <w:sz w:val="17"/>
        </w:rPr>
        <w:t xml:space="preserve">, and a related </w:t>
      </w:r>
      <w:r>
        <w:rPr>
          <w:rFonts w:ascii="inherit" w:hAnsi="inherit"/>
          <w:strike w:val="false"/>
          <w:dstrike w:val="false"/>
          <w:color w:val="000000"/>
          <w:sz w:val="17"/>
          <w:u w:val="none"/>
          <w:effect w:val="none"/>
        </w:rPr>
        <w:t>$2.5 million</w:t>
      </w:r>
      <w:r>
        <w:rPr>
          <w:sz w:val="17"/>
        </w:rPr>
        <w:t xml:space="preserve"> </w:t>
      </w:r>
      <w:r>
        <w:rPr>
          <w:rFonts w:ascii="inherit" w:hAnsi="inherit"/>
          <w:sz w:val="17"/>
        </w:rPr>
        <w:t xml:space="preserve">income tax benefit. In the current quarter, stock option exercises resulted in the issuance of </w:t>
      </w:r>
      <w:r>
        <w:rPr>
          <w:rFonts w:ascii="inherit" w:hAnsi="inherit"/>
          <w:strike w:val="false"/>
          <w:dstrike w:val="false"/>
          <w:color w:val="000000"/>
          <w:sz w:val="17"/>
          <w:u w:val="none"/>
          <w:effect w:val="none"/>
        </w:rPr>
        <w:t>5,400</w:t>
      </w:r>
      <w:r>
        <w:rPr>
          <w:sz w:val="17"/>
        </w:rPr>
        <w:t xml:space="preserve"> </w:t>
      </w:r>
      <w:r>
        <w:rPr>
          <w:rFonts w:ascii="inherit" w:hAnsi="inherit"/>
          <w:sz w:val="17"/>
        </w:rPr>
        <w:t xml:space="preserve">shares for immaterial proceeds. In the nine-month period ended June 30, 2012, stock option exercises resulted in the issuance of </w:t>
      </w:r>
      <w:r>
        <w:rPr>
          <w:rFonts w:ascii="inherit" w:hAnsi="inherit"/>
          <w:strike w:val="false"/>
          <w:dstrike w:val="false"/>
          <w:color w:val="000000"/>
          <w:sz w:val="17"/>
          <w:u w:val="none"/>
          <w:effect w:val="none"/>
        </w:rPr>
        <w:t>201,298</w:t>
      </w:r>
      <w:r>
        <w:rPr>
          <w:sz w:val="17"/>
        </w:rPr>
        <w:t xml:space="preserve"> </w:t>
      </w:r>
      <w:r>
        <w:rPr>
          <w:rFonts w:ascii="inherit" w:hAnsi="inherit"/>
          <w:sz w:val="17"/>
        </w:rPr>
        <w:t xml:space="preserve">shares for total proceeds of </w:t>
      </w:r>
      <w:r>
        <w:rPr>
          <w:rFonts w:ascii="inherit" w:hAnsi="inherit"/>
          <w:strike w:val="false"/>
          <w:dstrike w:val="false"/>
          <w:color w:val="000000"/>
          <w:sz w:val="17"/>
          <w:u w:val="none"/>
          <w:effect w:val="none"/>
        </w:rPr>
        <w:t>$0.6 million</w:t>
      </w:r>
      <w:r>
        <w:rPr>
          <w:rFonts w:ascii="inherit" w:hAnsi="inherit"/>
          <w:sz w:val="17"/>
        </w:rPr>
        <w:t>. All options and restricted stock relate to our Class A Non-voting Common Stock.</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1" w:name="sEDDC2636EF7D9786227CA412581B9070"/>
      <w:bookmarkEnd w:id="21"/>
      <w:r>
        <w:rPr>
          <w:rFonts w:ascii="inherit" w:hAnsi="inherit"/>
          <w:b/>
          <w:sz w:val="17"/>
        </w:rPr>
        <w:t>Note H: Income Taxes</w:t>
      </w:r>
    </w:p>
    <w:p>
      <w:pPr>
        <w:pStyle w:val="TextBody"/>
        <w:spacing w:lineRule="auto" w:line="288" w:before="0" w:after="0"/>
        <w:rPr>
          <w:rFonts w:ascii="inherit" w:hAnsi="inherit"/>
          <w:sz w:val="17"/>
        </w:rPr>
      </w:pPr>
      <w:r>
        <w:rPr>
          <w:rFonts w:ascii="inherit" w:hAnsi="inherit"/>
          <w:sz w:val="17"/>
        </w:rPr>
        <w:t>Income tax expense is provided at the U.S. tax rate on financial statement earnings, adjusted for the difference between the U.S. tax rate and the rate of tax in effect for non-U.S. earnings deemed to be permanently reinvested in the Company's non-U.S. operations.  Deferred income taxes have not been provided for the potential remittance of non-U.S. undistributed earnings to the extent those earnings are deemed to be permanently reinvested, or to the extent such recognition would result in a deferred tax asset.</w:t>
      </w:r>
    </w:p>
    <w:p>
      <w:pPr>
        <w:pStyle w:val="TextBody"/>
        <w:spacing w:lineRule="auto" w:line="288" w:before="0" w:after="0"/>
        <w:rPr>
          <w:sz w:val="17"/>
        </w:rPr>
      </w:pPr>
      <w:r>
        <w:rPr>
          <w:rFonts w:ascii="inherit" w:hAnsi="inherit"/>
          <w:sz w:val="17"/>
        </w:rPr>
        <w:t xml:space="preserve">The current quarter’s effective tax rate is </w:t>
      </w:r>
      <w:r>
        <w:rPr>
          <w:rFonts w:ascii="inherit" w:hAnsi="inherit"/>
          <w:strike w:val="false"/>
          <w:dstrike w:val="false"/>
          <w:color w:val="000000"/>
          <w:sz w:val="17"/>
          <w:u w:val="none"/>
          <w:effect w:val="none"/>
        </w:rPr>
        <w:t>29.8%</w:t>
      </w:r>
      <w:r>
        <w:rPr>
          <w:sz w:val="17"/>
        </w:rPr>
        <w:t xml:space="preserve"> </w:t>
      </w:r>
      <w:r>
        <w:rPr>
          <w:rFonts w:ascii="inherit" w:hAnsi="inherit"/>
          <w:sz w:val="17"/>
        </w:rPr>
        <w:t xml:space="preserve">of pretax income compared to </w:t>
      </w:r>
      <w:r>
        <w:rPr>
          <w:rFonts w:ascii="inherit" w:hAnsi="inherit"/>
          <w:strike w:val="false"/>
          <w:dstrike w:val="false"/>
          <w:color w:val="000000"/>
          <w:sz w:val="17"/>
          <w:u w:val="none"/>
          <w:effect w:val="none"/>
        </w:rPr>
        <w:t>34.7%</w:t>
      </w:r>
      <w:r>
        <w:rPr>
          <w:sz w:val="17"/>
        </w:rPr>
        <w:t xml:space="preserve"> </w:t>
      </w:r>
      <w:r>
        <w:rPr>
          <w:rFonts w:ascii="inherit" w:hAnsi="inherit"/>
          <w:sz w:val="17"/>
        </w:rPr>
        <w:t xml:space="preserve">for the prior year quarter. For the current </w:t>
      </w:r>
      <w:r>
        <w:rPr>
          <w:rFonts w:ascii="inherit" w:hAnsi="inherit"/>
          <w:strike w:val="false"/>
          <w:dstrike w:val="false"/>
          <w:color w:val="000000"/>
          <w:sz w:val="17"/>
          <w:u w:val="none"/>
          <w:effect w:val="none"/>
        </w:rPr>
        <w:t>nine-month period</w:t>
      </w:r>
      <w:r>
        <w:rPr>
          <w:rFonts w:ascii="inherit" w:hAnsi="inherit"/>
          <w:sz w:val="17"/>
        </w:rPr>
        <w:t xml:space="preserve">, the effective tax rate is </w:t>
      </w:r>
      <w:r>
        <w:rPr>
          <w:rFonts w:ascii="inherit" w:hAnsi="inherit"/>
          <w:strike w:val="false"/>
          <w:dstrike w:val="false"/>
          <w:color w:val="000000"/>
          <w:sz w:val="17"/>
          <w:u w:val="none"/>
          <w:effect w:val="none"/>
        </w:rPr>
        <w:t>33.1%</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35.2%</w:t>
      </w:r>
      <w:r>
        <w:rPr>
          <w:sz w:val="17"/>
        </w:rPr>
        <w:t xml:space="preserve"> </w:t>
      </w:r>
      <w:r>
        <w:rPr>
          <w:rFonts w:ascii="inherit" w:hAnsi="inherit"/>
          <w:sz w:val="17"/>
        </w:rPr>
        <w:t xml:space="preserve">in the prior </w:t>
      </w:r>
      <w:r>
        <w:rPr>
          <w:rFonts w:ascii="inherit" w:hAnsi="inherit"/>
          <w:strike w:val="false"/>
          <w:dstrike w:val="false"/>
          <w:color w:val="000000"/>
          <w:sz w:val="17"/>
          <w:u w:val="none"/>
          <w:effect w:val="none"/>
        </w:rPr>
        <w:t>nine-month period</w:t>
      </w:r>
      <w:r>
        <w:rPr>
          <w:rFonts w:ascii="inherit" w:hAnsi="inherit"/>
          <w:sz w:val="17"/>
        </w:rPr>
        <w:t>. The decrease in the effective tax rates is primarily due to the determination that the undistributed earnings of non-U.S. subsidiaries on which income taxes were previously recorded will not be repatriated in the foreseeable future, as well as the recognition of state net operating losses.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2" w:name="s4A6447C1AB94CCB988F2A412583BE7C9"/>
      <w:bookmarkEnd w:id="22"/>
      <w:r>
        <w:rPr>
          <w:rFonts w:ascii="inherit" w:hAnsi="inherit"/>
          <w:b/>
          <w:sz w:val="17"/>
        </w:rPr>
        <w:t>Note I: Contingencies</w:t>
      </w:r>
    </w:p>
    <w:p>
      <w:pPr>
        <w:pStyle w:val="TextBody"/>
        <w:spacing w:lineRule="auto" w:line="288" w:before="0" w:after="0"/>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23" w:name="sB8220814D939A6D14CBBA41247A5AFB2"/>
      <w:bookmarkStart w:id="24" w:name="sB8220814D939A6D14CBBA41247A5AFB2"/>
      <w:bookmarkEnd w:id="24"/>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17</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J: Operating Segment Information</w:t>
      </w:r>
    </w:p>
    <w:p>
      <w:pPr>
        <w:pStyle w:val="TextBody"/>
        <w:spacing w:lineRule="auto" w:line="288" w:before="0" w:after="0"/>
        <w:rPr>
          <w:sz w:val="17"/>
        </w:rPr>
      </w:pPr>
      <w:r>
        <w:rPr>
          <w:rFonts w:ascii="inherit" w:hAnsi="inherit"/>
          <w:sz w:val="17"/>
        </w:rPr>
        <w:t xml:space="preserve">Segment information is prepared on the same basis that our management reviews financial information for operational decision-making purposes. Previously, we reported segment information based primarily on product offerings. Beginning with the second quarter of fiscal </w:t>
      </w:r>
      <w:r>
        <w:rPr>
          <w:rFonts w:ascii="inherit" w:hAnsi="inherit"/>
          <w:strike w:val="false"/>
          <w:dstrike w:val="false"/>
          <w:color w:val="000000"/>
          <w:sz w:val="17"/>
          <w:u w:val="none"/>
          <w:effect w:val="none"/>
        </w:rPr>
        <w:t>2012</w:t>
      </w:r>
      <w:r>
        <w:rPr>
          <w:rFonts w:ascii="inherit" w:hAnsi="inherit"/>
          <w:sz w:val="17"/>
        </w:rPr>
        <w:t>, we redefined our reportable operating segments based on geography as our company is increasingly being organized and managed along geographic lines, with product offerings and channels based on local custom and regulation. As a result, we concluded that segment reporting based on geography more closely aligns with our management organization and strategic direction.</w:t>
      </w:r>
    </w:p>
    <w:p>
      <w:pPr>
        <w:pStyle w:val="TextBody"/>
        <w:spacing w:lineRule="auto" w:line="288" w:before="0" w:after="0"/>
        <w:rPr>
          <w:sz w:val="17"/>
        </w:rPr>
      </w:pPr>
      <w:r>
        <w:rPr>
          <w:rFonts w:ascii="inherit" w:hAnsi="inherit"/>
          <w:sz w:val="17"/>
        </w:rPr>
        <w:t xml:space="preserve">For periods ending after </w:t>
      </w:r>
      <w:r>
        <w:rPr>
          <w:rFonts w:ascii="inherit" w:hAnsi="inherit"/>
          <w:strike w:val="false"/>
          <w:dstrike w:val="false"/>
          <w:color w:val="000000"/>
          <w:sz w:val="17"/>
          <w:u w:val="none"/>
          <w:effect w:val="none"/>
        </w:rPr>
        <w:t>January 1, 2012</w:t>
      </w:r>
      <w:r>
        <w:rPr>
          <w:rFonts w:ascii="inherit" w:hAnsi="inherit"/>
          <w:sz w:val="17"/>
        </w:rPr>
        <w:t>, we will report segments as follows:</w:t>
      </w:r>
    </w:p>
    <w:tbl>
      <w:tblPr>
        <w:tblW w:w="6385" w:type="dxa"/>
        <w:jc w:val="left"/>
        <w:tblInd w:w="0" w:type="dxa"/>
        <w:tblCellMar>
          <w:top w:w="0" w:type="dxa"/>
          <w:left w:w="0" w:type="dxa"/>
          <w:bottom w:w="0" w:type="dxa"/>
          <w:right w:w="0" w:type="dxa"/>
        </w:tblCellMar>
      </w:tblPr>
      <w:tblGrid>
        <w:gridCol w:w="485"/>
        <w:gridCol w:w="5900"/>
      </w:tblGrid>
      <w:tr>
        <w:trPr/>
        <w:tc>
          <w:tcPr>
            <w:tcW w:w="485" w:type="dxa"/>
            <w:tcBorders/>
            <w:shd w:fill="auto" w:val="clear"/>
            <w:vAlign w:val="center"/>
          </w:tcPr>
          <w:p>
            <w:pPr>
              <w:pStyle w:val="TableContents"/>
              <w:spacing w:before="0" w:after="283"/>
              <w:rPr>
                <w:sz w:val="4"/>
                <w:szCs w:val="4"/>
              </w:rPr>
            </w:pPr>
            <w:r>
              <w:rPr>
                <w:sz w:val="4"/>
                <w:szCs w:val="4"/>
              </w:rPr>
            </w:r>
          </w:p>
        </w:tc>
        <w:tc>
          <w:tcPr>
            <w:tcW w:w="590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5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U.S. &amp; Canada – All business activities in the United States and Canada</w:t>
            </w:r>
          </w:p>
        </w:tc>
      </w:tr>
    </w:tbl>
    <w:tbl>
      <w:tblPr>
        <w:tblW w:w="7210" w:type="dxa"/>
        <w:jc w:val="left"/>
        <w:tblInd w:w="0" w:type="dxa"/>
        <w:tblCellMar>
          <w:top w:w="0" w:type="dxa"/>
          <w:left w:w="0" w:type="dxa"/>
          <w:bottom w:w="0" w:type="dxa"/>
          <w:right w:w="0" w:type="dxa"/>
        </w:tblCellMar>
      </w:tblPr>
      <w:tblGrid>
        <w:gridCol w:w="485"/>
        <w:gridCol w:w="6725"/>
      </w:tblGrid>
      <w:tr>
        <w:trPr/>
        <w:tc>
          <w:tcPr>
            <w:tcW w:w="485" w:type="dxa"/>
            <w:tcBorders/>
            <w:shd w:fill="auto" w:val="clear"/>
            <w:vAlign w:val="center"/>
          </w:tcPr>
          <w:p>
            <w:pPr>
              <w:pStyle w:val="TableContents"/>
              <w:spacing w:before="0" w:after="283"/>
              <w:rPr>
                <w:sz w:val="4"/>
                <w:szCs w:val="4"/>
              </w:rPr>
            </w:pPr>
            <w:r>
              <w:rPr>
                <w:sz w:val="4"/>
                <w:szCs w:val="4"/>
              </w:rPr>
            </w:r>
          </w:p>
        </w:tc>
        <w:tc>
          <w:tcPr>
            <w:tcW w:w="6725"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672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Latin America – All business activities in Mexico and other parts of Latin America</w:t>
            </w:r>
          </w:p>
        </w:tc>
      </w:tr>
    </w:tbl>
    <w:tbl>
      <w:tblPr>
        <w:tblW w:w="10205" w:type="dxa"/>
        <w:jc w:val="left"/>
        <w:tblInd w:w="0" w:type="dxa"/>
        <w:tblCellMar>
          <w:top w:w="0" w:type="dxa"/>
          <w:left w:w="0" w:type="dxa"/>
          <w:bottom w:w="0" w:type="dxa"/>
          <w:right w:w="0" w:type="dxa"/>
        </w:tblCellMar>
      </w:tblPr>
      <w:tblGrid>
        <w:gridCol w:w="485"/>
        <w:gridCol w:w="9720"/>
      </w:tblGrid>
      <w:tr>
        <w:trPr/>
        <w:tc>
          <w:tcPr>
            <w:tcW w:w="485" w:type="dxa"/>
            <w:tcBorders/>
            <w:shd w:fill="auto" w:val="clear"/>
            <w:vAlign w:val="center"/>
          </w:tcPr>
          <w:p>
            <w:pPr>
              <w:pStyle w:val="TableContents"/>
              <w:spacing w:before="0" w:after="283"/>
              <w:rPr>
                <w:sz w:val="4"/>
                <w:szCs w:val="4"/>
              </w:rPr>
            </w:pPr>
            <w:r>
              <w:rPr>
                <w:sz w:val="4"/>
                <w:szCs w:val="4"/>
              </w:rPr>
            </w:r>
          </w:p>
        </w:tc>
        <w:tc>
          <w:tcPr>
            <w:tcW w:w="9720" w:type="dxa"/>
            <w:tcBorders/>
            <w:shd w:fill="auto" w:val="clear"/>
            <w:vAlign w:val="center"/>
          </w:tcPr>
          <w:p>
            <w:pPr>
              <w:pStyle w:val="TableContents"/>
              <w:spacing w:before="0" w:after="283"/>
              <w:rPr>
                <w:sz w:val="4"/>
                <w:szCs w:val="4"/>
              </w:rPr>
            </w:pPr>
            <w:r>
              <w:rPr>
                <w:sz w:val="4"/>
                <w:szCs w:val="4"/>
              </w:rPr>
            </w:r>
          </w:p>
        </w:tc>
      </w:tr>
      <w:tr>
        <w:trPr/>
        <w:tc>
          <w:tcPr>
            <w:tcW w:w="485" w:type="dxa"/>
            <w:tcBorders/>
            <w:shd w:fill="auto" w:val="clear"/>
            <w:vAlign w:val="center"/>
          </w:tcPr>
          <w:p>
            <w:pPr>
              <w:pStyle w:val="TableContents"/>
              <w:spacing w:lineRule="auto" w:line="288" w:before="0" w:after="0"/>
              <w:ind w:left="0" w:right="0" w:firstLine="360"/>
              <w:rPr/>
            </w:pPr>
            <w:r>
              <w:rPr/>
              <w:t>•</w:t>
            </w:r>
          </w:p>
        </w:tc>
        <w:tc>
          <w:tcPr>
            <w:tcW w:w="972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Other International – All business activities in the rest of the world (currently consisting of consumer loans online in the U.K. and our equity interests in the net income of Albemarle &amp; Bond and Cash Converters International)</w:t>
            </w:r>
          </w:p>
        </w:tc>
      </w:tr>
    </w:tbl>
    <w:p>
      <w:pPr>
        <w:pStyle w:val="TextBody"/>
        <w:spacing w:lineRule="auto" w:line="288" w:before="0" w:after="0"/>
        <w:rPr>
          <w:rFonts w:ascii="inherit" w:hAnsi="inherit"/>
          <w:sz w:val="17"/>
        </w:rPr>
      </w:pPr>
      <w:r>
        <w:rPr>
          <w:rFonts w:ascii="inherit" w:hAnsi="inherit"/>
          <w:sz w:val="17"/>
        </w:rPr>
        <w:t>Concurrent with the change in reportable operating segments, we revised our prior period financial information to reflect comparable financial information for the new segment structure.</w:t>
      </w:r>
    </w:p>
    <w:p>
      <w:pPr>
        <w:pStyle w:val="TextBody"/>
        <w:spacing w:lineRule="auto" w:line="288" w:before="0" w:after="0"/>
        <w:rPr>
          <w:sz w:val="17"/>
        </w:rPr>
      </w:pPr>
      <w:r>
        <w:rPr>
          <w:rFonts w:ascii="inherit" w:hAnsi="inherit"/>
          <w:sz w:val="17"/>
        </w:rPr>
        <w:t xml:space="preserve">There are no inter-segment revenues, and the amounts below were determined in accordance with the same accounting principles used in our consolidated financial statements. The following tables present operating segment information for the three and </w:t>
      </w:r>
      <w:r>
        <w:rPr>
          <w:rFonts w:ascii="inherit" w:hAnsi="inherit"/>
          <w:strike w:val="false"/>
          <w:dstrike w:val="false"/>
          <w:color w:val="000000"/>
          <w:sz w:val="17"/>
          <w:u w:val="none"/>
          <w:effect w:val="none"/>
        </w:rPr>
        <w:t>nine-month period</w:t>
      </w:r>
      <w:r>
        <w:rPr>
          <w:rFonts w:ascii="inherit" w:hAnsi="inherit"/>
          <w:sz w:val="17"/>
        </w:rPr>
        <w:t xml:space="preserve">s ending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rFonts w:ascii="inherit" w:hAnsi="inherit"/>
          <w:sz w:val="17"/>
        </w:rPr>
        <w:t>, including the reclassifications discussed in Note A “Significant Accounting Policies.”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18</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603"/>
        <w:gridCol w:w="165"/>
        <w:gridCol w:w="1033"/>
        <w:gridCol w:w="151"/>
        <w:gridCol w:w="132"/>
        <w:gridCol w:w="165"/>
        <w:gridCol w:w="1033"/>
        <w:gridCol w:w="151"/>
        <w:gridCol w:w="132"/>
        <w:gridCol w:w="209"/>
        <w:gridCol w:w="1108"/>
        <w:gridCol w:w="191"/>
        <w:gridCol w:w="132"/>
        <w:gridCol w:w="165"/>
        <w:gridCol w:w="1033"/>
        <w:gridCol w:w="80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60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209"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33"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603" w:type="dxa"/>
            <w:tcBorders/>
            <w:shd w:fill="auto" w:val="clear"/>
            <w:vAlign w:val="center"/>
          </w:tcPr>
          <w:p>
            <w:pPr>
              <w:pStyle w:val="TableContents"/>
              <w:spacing w:before="0" w:after="0"/>
              <w:ind w:left="0" w:right="0" w:firstLine="30"/>
              <w:jc w:val="left"/>
              <w:rPr/>
            </w:pPr>
            <w:r>
              <w:rPr/>
              <w:t> </w:t>
            </w:r>
          </w:p>
        </w:tc>
        <w:tc>
          <w:tcPr>
            <w:tcW w:w="660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 June 30, 2012</w:t>
            </w:r>
          </w:p>
        </w:tc>
      </w:tr>
      <w:tr>
        <w:trPr/>
        <w:tc>
          <w:tcPr>
            <w:tcW w:w="3603" w:type="dxa"/>
            <w:tcBorders/>
            <w:shd w:fill="auto" w:val="clear"/>
            <w:vAlign w:val="center"/>
          </w:tcPr>
          <w:p>
            <w:pPr>
              <w:pStyle w:val="TableContents"/>
              <w:spacing w:before="0" w:after="0"/>
              <w:ind w:left="0" w:right="0" w:firstLine="30"/>
              <w:rPr/>
            </w:pPr>
            <w:r>
              <w:rPr/>
              <w:t>  </w:t>
            </w:r>
          </w:p>
        </w:tc>
        <w:tc>
          <w:tcPr>
            <w:tcW w:w="134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2" w:type="dxa"/>
            <w:tcBorders/>
            <w:shd w:fill="auto" w:val="clear"/>
            <w:vAlign w:val="center"/>
          </w:tcPr>
          <w:p>
            <w:pPr>
              <w:pStyle w:val="TableContents"/>
              <w:spacing w:before="0" w:after="0"/>
              <w:ind w:left="0" w:right="0" w:firstLine="30"/>
              <w:rPr/>
            </w:pPr>
            <w:r>
              <w:rPr/>
              <w:t> </w:t>
            </w:r>
          </w:p>
        </w:tc>
        <w:tc>
          <w:tcPr>
            <w:tcW w:w="20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603" w:type="dxa"/>
            <w:tcBorders/>
            <w:shd w:fill="auto" w:val="clear"/>
            <w:vAlign w:val="center"/>
          </w:tcPr>
          <w:p>
            <w:pPr>
              <w:pStyle w:val="TableContents"/>
              <w:spacing w:before="0" w:after="0"/>
              <w:ind w:left="0" w:right="0" w:firstLine="30"/>
              <w:jc w:val="left"/>
              <w:rPr/>
            </w:pPr>
            <w:r>
              <w:rPr/>
              <w:t> </w:t>
            </w:r>
          </w:p>
        </w:tc>
        <w:tc>
          <w:tcPr>
            <w:tcW w:w="6602"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08"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2000" w:type="dxa"/>
            <w:gridSpan w:val="3"/>
            <w:tcBorders/>
            <w:shd w:fill="CCEEFF" w:val="clear"/>
            <w:vAlign w:val="center"/>
          </w:tcPr>
          <w:p>
            <w:pPr>
              <w:pStyle w:val="TableContents"/>
              <w:spacing w:before="0" w:after="0"/>
              <w:ind w:left="0" w:right="0" w:firstLine="420"/>
              <w:rPr/>
            </w:pPr>
            <w:r>
              <w:rPr/>
              <w:t> </w:t>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auto" w:val="clear"/>
            <w:vAlign w:val="center"/>
          </w:tcPr>
          <w:p>
            <w:pPr>
              <w:pStyle w:val="TableContents"/>
              <w:spacing w:before="0" w:after="0"/>
              <w:jc w:val="right"/>
              <w:rPr>
                <w:rFonts w:ascii="inherit" w:hAnsi="inherit"/>
                <w:sz w:val="17"/>
              </w:rPr>
            </w:pPr>
            <w:r>
              <w:rPr>
                <w:rFonts w:ascii="inherit" w:hAnsi="inherit"/>
                <w:sz w:val="17"/>
              </w:rPr>
              <w:t>65,799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auto" w:val="clear"/>
            <w:vAlign w:val="center"/>
          </w:tcPr>
          <w:p>
            <w:pPr>
              <w:pStyle w:val="TableContents"/>
              <w:spacing w:before="0" w:after="0"/>
              <w:jc w:val="right"/>
              <w:rPr>
                <w:rFonts w:ascii="inherit" w:hAnsi="inherit"/>
                <w:sz w:val="17"/>
              </w:rPr>
            </w:pPr>
            <w:r>
              <w:rPr>
                <w:rFonts w:ascii="inherit" w:hAnsi="inherit"/>
                <w:sz w:val="17"/>
              </w:rPr>
              <w:t>10,159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20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auto" w:val="clear"/>
            <w:vAlign w:val="center"/>
          </w:tcPr>
          <w:p>
            <w:pPr>
              <w:pStyle w:val="TableContents"/>
              <w:spacing w:before="0" w:after="0"/>
              <w:jc w:val="right"/>
              <w:rPr>
                <w:rFonts w:ascii="inherit" w:hAnsi="inherit"/>
                <w:sz w:val="17"/>
              </w:rPr>
            </w:pPr>
            <w:r>
              <w:rPr>
                <w:rFonts w:ascii="inherit" w:hAnsi="inherit"/>
                <w:sz w:val="17"/>
              </w:rPr>
              <w:t>75,958</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37,456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41,974</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49,979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6,184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56,163</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39,243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10,381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3,880</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53,504</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649</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558</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1,365</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193,126</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31,800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228,964</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38,519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5,735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pPr>
            <w:r>
              <w:rPr/>
              <w:t>—</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44,254</w:t>
            </w:r>
          </w:p>
        </w:tc>
        <w:tc>
          <w:tcPr>
            <w:tcW w:w="8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24,415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3,784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pPr>
            <w:r>
              <w:rPr/>
              <w:t>—</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28,199</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9,368</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w:t>
            </w:r>
          </w:p>
        </w:tc>
        <w:tc>
          <w:tcPr>
            <w:tcW w:w="19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11,251</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120,824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21,649</w:t>
            </w:r>
          </w:p>
        </w:tc>
        <w:tc>
          <w:tcPr>
            <w:tcW w:w="151"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2,787</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145,260</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000" w:type="dxa"/>
            <w:gridSpan w:val="3"/>
            <w:tcBorders/>
            <w:shd w:fill="auto" w:val="clear"/>
            <w:vAlign w:val="center"/>
          </w:tcPr>
          <w:p>
            <w:pPr>
              <w:pStyle w:val="TableContents"/>
              <w:spacing w:before="0" w:after="0"/>
              <w:ind w:left="0" w:right="0" w:firstLine="420"/>
              <w:rPr/>
            </w:pPr>
            <w:r>
              <w:rPr/>
              <w:t> </w:t>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65,975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8,792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942</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75,709</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5,970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4,335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1,870</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12,175</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3,622</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4,749</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142</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1,162</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93</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312</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9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198"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1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614</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1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19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CCEEFF" w:val="clear"/>
            <w:vAlign w:val="center"/>
          </w:tcPr>
          <w:p>
            <w:pPr>
              <w:pStyle w:val="TableContents"/>
              <w:spacing w:before="0" w:after="0"/>
              <w:jc w:val="right"/>
              <w:rPr>
                <w:rFonts w:ascii="inherit" w:hAnsi="inherit"/>
                <w:sz w:val="17"/>
              </w:rPr>
            </w:pPr>
            <w:r>
              <w:rPr>
                <w:rFonts w:ascii="inherit" w:hAnsi="inherit"/>
                <w:sz w:val="17"/>
              </w:rPr>
              <w:t>44,409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CCEEFF" w:val="clear"/>
            <w:vAlign w:val="center"/>
          </w:tcPr>
          <w:p>
            <w:pPr>
              <w:pStyle w:val="TableContents"/>
              <w:spacing w:before="0" w:after="0"/>
              <w:jc w:val="right"/>
              <w:rPr>
                <w:rFonts w:ascii="inherit" w:hAnsi="inherit"/>
                <w:sz w:val="17"/>
              </w:rPr>
            </w:pPr>
            <w:r>
              <w:rPr>
                <w:rFonts w:ascii="inherit" w:hAnsi="inherit"/>
                <w:sz w:val="17"/>
              </w:rPr>
              <w:t>6,464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20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8" w:type="dxa"/>
            <w:tcBorders/>
            <w:shd w:fill="CCEEFF" w:val="clear"/>
            <w:vAlign w:val="center"/>
          </w:tcPr>
          <w:p>
            <w:pPr>
              <w:pStyle w:val="TableContents"/>
              <w:spacing w:before="0" w:after="0"/>
              <w:jc w:val="right"/>
              <w:rPr>
                <w:rFonts w:ascii="inherit" w:hAnsi="inherit"/>
                <w:sz w:val="17"/>
              </w:rPr>
            </w:pPr>
            <w:r>
              <w:rPr>
                <w:rFonts w:ascii="inherit" w:hAnsi="inherit"/>
                <w:sz w:val="17"/>
              </w:rPr>
              <w:t>4,297</w:t>
            </w:r>
          </w:p>
        </w:tc>
        <w:tc>
          <w:tcPr>
            <w:tcW w:w="19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shd w:fill="CCEEFF" w:val="clear"/>
            <w:vAlign w:val="center"/>
          </w:tcPr>
          <w:p>
            <w:pPr>
              <w:pStyle w:val="TableContents"/>
              <w:spacing w:before="0" w:after="0"/>
              <w:jc w:val="right"/>
              <w:rPr>
                <w:rFonts w:ascii="inherit" w:hAnsi="inherit"/>
                <w:sz w:val="17"/>
              </w:rPr>
            </w:pPr>
            <w:r>
              <w:rPr>
                <w:rFonts w:ascii="inherit" w:hAnsi="inherit"/>
                <w:sz w:val="17"/>
              </w:rPr>
              <w:t>55,170</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000" w:type="dxa"/>
            <w:gridSpan w:val="3"/>
            <w:tcBorders/>
            <w:shd w:fill="auto" w:val="clear"/>
            <w:vAlign w:val="center"/>
          </w:tcPr>
          <w:p>
            <w:pPr>
              <w:pStyle w:val="TableContents"/>
              <w:spacing w:before="0" w:after="0"/>
              <w:ind w:left="0" w:right="0" w:firstLine="420"/>
              <w:rPr/>
            </w:pPr>
            <w:r>
              <w:rPr/>
              <w:t> </w:t>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08"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10,522</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1,466</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08"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877</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42,305</w:t>
            </w:r>
          </w:p>
        </w:tc>
        <w:tc>
          <w:tcPr>
            <w:tcW w:w="8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4470" w:type="dxa"/>
            <w:gridSpan w:val="11"/>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12,594</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19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29,711</w:t>
            </w:r>
          </w:p>
        </w:tc>
        <w:tc>
          <w:tcPr>
            <w:tcW w:w="8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349"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508" w:type="dxa"/>
            <w:gridSpan w:val="3"/>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ind w:left="0" w:right="0" w:firstLine="30"/>
              <w:rPr/>
            </w:pPr>
            <w:r>
              <w:rPr/>
              <w:t> </w:t>
            </w:r>
          </w:p>
        </w:tc>
        <w:tc>
          <w:tcPr>
            <w:tcW w:w="119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6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349"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0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19</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725"/>
        <w:gridCol w:w="167"/>
        <w:gridCol w:w="1058"/>
        <w:gridCol w:w="78"/>
        <w:gridCol w:w="134"/>
        <w:gridCol w:w="167"/>
        <w:gridCol w:w="959"/>
        <w:gridCol w:w="78"/>
        <w:gridCol w:w="134"/>
        <w:gridCol w:w="212"/>
        <w:gridCol w:w="1133"/>
        <w:gridCol w:w="194"/>
        <w:gridCol w:w="134"/>
        <w:gridCol w:w="167"/>
        <w:gridCol w:w="1058"/>
        <w:gridCol w:w="80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725"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1133"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58" w:type="dxa"/>
            <w:tcBorders/>
            <w:shd w:fill="auto" w:val="clear"/>
            <w:vAlign w:val="center"/>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25" w:type="dxa"/>
            <w:tcBorders/>
            <w:shd w:fill="auto" w:val="clear"/>
            <w:vAlign w:val="center"/>
          </w:tcPr>
          <w:p>
            <w:pPr>
              <w:pStyle w:val="TableContents"/>
              <w:spacing w:before="0" w:after="0"/>
              <w:ind w:left="0" w:right="0" w:firstLine="30"/>
              <w:jc w:val="left"/>
              <w:rPr/>
            </w:pPr>
            <w:r>
              <w:rPr/>
              <w:t> </w:t>
            </w:r>
          </w:p>
        </w:tc>
        <w:tc>
          <w:tcPr>
            <w:tcW w:w="6480"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 June 30, 2011</w:t>
            </w:r>
          </w:p>
        </w:tc>
      </w:tr>
      <w:tr>
        <w:trPr/>
        <w:tc>
          <w:tcPr>
            <w:tcW w:w="3725" w:type="dxa"/>
            <w:tcBorders/>
            <w:shd w:fill="auto" w:val="clear"/>
            <w:vAlign w:val="center"/>
          </w:tcPr>
          <w:p>
            <w:pPr>
              <w:pStyle w:val="TableContents"/>
              <w:spacing w:before="0" w:after="0"/>
              <w:ind w:left="0" w:right="0" w:firstLine="30"/>
              <w:rPr/>
            </w:pPr>
            <w:r>
              <w:rPr/>
              <w:t>  </w:t>
            </w:r>
          </w:p>
        </w:tc>
        <w:tc>
          <w:tcPr>
            <w:tcW w:w="130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0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539"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4"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03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725" w:type="dxa"/>
            <w:tcBorders/>
            <w:shd w:fill="auto" w:val="clear"/>
            <w:vAlign w:val="center"/>
          </w:tcPr>
          <w:p>
            <w:pPr>
              <w:pStyle w:val="TableContents"/>
              <w:spacing w:before="0" w:after="0"/>
              <w:ind w:left="0" w:right="0" w:firstLine="30"/>
              <w:jc w:val="left"/>
              <w:rPr/>
            </w:pPr>
            <w:r>
              <w:rPr/>
              <w:t> </w:t>
            </w:r>
          </w:p>
        </w:tc>
        <w:tc>
          <w:tcPr>
            <w:tcW w:w="6480"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0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04"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9"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2032" w:type="dxa"/>
            <w:gridSpan w:val="3"/>
            <w:tcBorders/>
            <w:shd w:fill="CCEEFF" w:val="clear"/>
            <w:vAlign w:val="center"/>
          </w:tcPr>
          <w:p>
            <w:pPr>
              <w:pStyle w:val="TableContents"/>
              <w:spacing w:before="0" w:after="0"/>
              <w:ind w:left="0" w:right="0" w:firstLine="420"/>
              <w:rPr/>
            </w:pPr>
            <w:r>
              <w:rPr/>
              <w:t> </w:t>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auto" w:val="clear"/>
            <w:vAlign w:val="center"/>
          </w:tcPr>
          <w:p>
            <w:pPr>
              <w:pStyle w:val="TableContents"/>
              <w:spacing w:before="0" w:after="0"/>
              <w:jc w:val="right"/>
              <w:rPr>
                <w:rFonts w:ascii="inherit" w:hAnsi="inherit"/>
                <w:sz w:val="17"/>
              </w:rPr>
            </w:pPr>
            <w:r>
              <w:rPr>
                <w:rFonts w:ascii="inherit" w:hAnsi="inherit"/>
                <w:sz w:val="17"/>
              </w:rPr>
              <w:t>58,173</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9" w:type="dxa"/>
            <w:tcBorders/>
            <w:shd w:fill="auto" w:val="clear"/>
            <w:vAlign w:val="center"/>
          </w:tcPr>
          <w:p>
            <w:pPr>
              <w:pStyle w:val="TableContents"/>
              <w:spacing w:before="0" w:after="0"/>
              <w:jc w:val="right"/>
              <w:rPr>
                <w:rFonts w:ascii="inherit" w:hAnsi="inherit"/>
                <w:sz w:val="17"/>
              </w:rPr>
            </w:pPr>
            <w:r>
              <w:rPr>
                <w:rFonts w:ascii="inherit" w:hAnsi="inherit"/>
                <w:sz w:val="17"/>
              </w:rPr>
              <w:t>6,401</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21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3" w:type="dxa"/>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auto" w:val="clear"/>
            <w:vAlign w:val="center"/>
          </w:tcPr>
          <w:p>
            <w:pPr>
              <w:pStyle w:val="TableContents"/>
              <w:spacing w:before="0" w:after="0"/>
              <w:jc w:val="right"/>
              <w:rPr>
                <w:rFonts w:ascii="inherit" w:hAnsi="inherit"/>
                <w:sz w:val="17"/>
              </w:rPr>
            </w:pPr>
            <w:r>
              <w:rPr>
                <w:rFonts w:ascii="inherit" w:hAnsi="inherit"/>
                <w:sz w:val="17"/>
              </w:rPr>
              <w:t>64,574</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46,514</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4,257</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50,771</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43,846</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4,519</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48,365</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38,870</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38,870</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566</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572</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187,969</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15,183</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203,152</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32,924</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3,767</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36,691</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28,951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3,486</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32,437</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9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807"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115,067</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7,930</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122,997</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30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0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2032" w:type="dxa"/>
            <w:gridSpan w:val="3"/>
            <w:tcBorders/>
            <w:shd w:fill="auto" w:val="clear"/>
            <w:vAlign w:val="center"/>
          </w:tcPr>
          <w:p>
            <w:pPr>
              <w:pStyle w:val="TableContents"/>
              <w:spacing w:before="0" w:after="0"/>
              <w:ind w:left="0" w:right="0" w:firstLine="420"/>
              <w:rPr/>
            </w:pPr>
            <w:r>
              <w:rPr/>
              <w:t> </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61,347</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5,406</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66,753</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4,293</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1,014</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5,813</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2,828</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639</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3,467</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pPr>
            <w:r>
              <w:rPr/>
              <w:t>—</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shd w:fill="auto" w:val="clear"/>
            <w:vAlign w:val="center"/>
          </w:tcPr>
          <w:p>
            <w:pPr>
              <w:pStyle w:val="TableContents"/>
              <w:spacing w:before="0" w:after="0"/>
              <w:jc w:val="right"/>
              <w:rPr/>
            </w:pPr>
            <w:r>
              <w:rPr/>
              <w:t>—</w:t>
            </w:r>
          </w:p>
        </w:tc>
        <w:tc>
          <w:tcPr>
            <w:tcW w:w="19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25"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pPr>
            <w:r>
              <w:rPr/>
              <w:t>—</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4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(4,099</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(4,099</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7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4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9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80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CCEEFF" w:val="clear"/>
            <w:vAlign w:val="center"/>
          </w:tcPr>
          <w:p>
            <w:pPr>
              <w:pStyle w:val="TableContents"/>
              <w:spacing w:before="0" w:after="0"/>
              <w:jc w:val="right"/>
              <w:rPr>
                <w:rFonts w:ascii="inherit" w:hAnsi="inherit"/>
                <w:sz w:val="17"/>
              </w:rPr>
            </w:pPr>
            <w:r>
              <w:rPr>
                <w:rFonts w:ascii="inherit" w:hAnsi="inherit"/>
                <w:sz w:val="17"/>
              </w:rPr>
              <w:t>46,303</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59" w:type="dxa"/>
            <w:tcBorders/>
            <w:shd w:fill="CCEEFF" w:val="clear"/>
            <w:vAlign w:val="center"/>
          </w:tcPr>
          <w:p>
            <w:pPr>
              <w:pStyle w:val="TableContents"/>
              <w:spacing w:before="0" w:after="0"/>
              <w:jc w:val="right"/>
              <w:rPr>
                <w:rFonts w:ascii="inherit" w:hAnsi="inherit"/>
                <w:sz w:val="17"/>
              </w:rPr>
            </w:pPr>
            <w:r>
              <w:rPr>
                <w:rFonts w:ascii="inherit" w:hAnsi="inherit"/>
                <w:sz w:val="17"/>
              </w:rPr>
              <w:t>751</w:t>
            </w:r>
          </w:p>
        </w:tc>
        <w:tc>
          <w:tcPr>
            <w:tcW w:w="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21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3" w:type="dxa"/>
            <w:tcBorders/>
            <w:shd w:fill="CCEEFF" w:val="clear"/>
            <w:vAlign w:val="center"/>
          </w:tcPr>
          <w:p>
            <w:pPr>
              <w:pStyle w:val="TableContents"/>
              <w:spacing w:before="0" w:after="0"/>
              <w:jc w:val="right"/>
              <w:rPr>
                <w:rFonts w:ascii="inherit" w:hAnsi="inherit"/>
                <w:sz w:val="17"/>
              </w:rPr>
            </w:pPr>
            <w:r>
              <w:rPr>
                <w:rFonts w:ascii="inherit" w:hAnsi="inherit"/>
                <w:sz w:val="17"/>
              </w:rPr>
              <w:t>3,700</w:t>
            </w:r>
          </w:p>
        </w:tc>
        <w:tc>
          <w:tcPr>
            <w:tcW w:w="19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shd w:fill="CCEEFF" w:val="clear"/>
            <w:vAlign w:val="center"/>
          </w:tcPr>
          <w:p>
            <w:pPr>
              <w:pStyle w:val="TableContents"/>
              <w:spacing w:before="0" w:after="0"/>
              <w:jc w:val="right"/>
              <w:rPr>
                <w:rFonts w:ascii="inherit" w:hAnsi="inherit"/>
                <w:sz w:val="17"/>
              </w:rPr>
            </w:pPr>
            <w:r>
              <w:rPr>
                <w:rFonts w:ascii="inherit" w:hAnsi="inherit"/>
                <w:sz w:val="17"/>
              </w:rPr>
              <w:t>50,754</w:t>
            </w:r>
          </w:p>
        </w:tc>
        <w:tc>
          <w:tcPr>
            <w:tcW w:w="8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30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0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2032" w:type="dxa"/>
            <w:gridSpan w:val="3"/>
            <w:tcBorders/>
            <w:shd w:fill="auto" w:val="clear"/>
            <w:vAlign w:val="center"/>
          </w:tcPr>
          <w:p>
            <w:pPr>
              <w:pStyle w:val="TableContents"/>
              <w:spacing w:before="0" w:after="0"/>
              <w:ind w:left="0" w:right="0" w:firstLine="420"/>
              <w:rPr/>
            </w:pPr>
            <w:r>
              <w:rPr/>
              <w:t> </w:t>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30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04"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9"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8,566</w:t>
            </w:r>
          </w:p>
        </w:tc>
        <w:tc>
          <w:tcPr>
            <w:tcW w:w="80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30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0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991</w:t>
            </w:r>
          </w:p>
        </w:tc>
        <w:tc>
          <w:tcPr>
            <w:tcW w:w="80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30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04"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9"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543</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30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0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40,654</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4314" w:type="dxa"/>
            <w:gridSpan w:val="11"/>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14,127</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30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0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2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26,527</w:t>
            </w:r>
          </w:p>
        </w:tc>
        <w:tc>
          <w:tcPr>
            <w:tcW w:w="8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303"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04"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39"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2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2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303"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204"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539" w:type="dxa"/>
            <w:gridSpan w:val="3"/>
            <w:tcBorders/>
            <w:shd w:fill="auto" w:val="clear"/>
            <w:vAlign w:val="center"/>
          </w:tcPr>
          <w:p>
            <w:pPr>
              <w:pStyle w:val="TableContents"/>
              <w:spacing w:before="0" w:after="0"/>
              <w:ind w:left="0" w:right="0" w:firstLine="30"/>
              <w:rPr/>
            </w:pPr>
            <w:r>
              <w:rPr/>
              <w:t> </w:t>
            </w:r>
          </w:p>
        </w:tc>
        <w:tc>
          <w:tcPr>
            <w:tcW w:w="134"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5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80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20</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00"/>
        <w:gridCol w:w="163"/>
        <w:gridCol w:w="1112"/>
        <w:gridCol w:w="149"/>
        <w:gridCol w:w="130"/>
        <w:gridCol w:w="163"/>
        <w:gridCol w:w="1013"/>
        <w:gridCol w:w="149"/>
        <w:gridCol w:w="130"/>
        <w:gridCol w:w="187"/>
        <w:gridCol w:w="1127"/>
        <w:gridCol w:w="172"/>
        <w:gridCol w:w="130"/>
        <w:gridCol w:w="163"/>
        <w:gridCol w:w="1112"/>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0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27"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00" w:type="dxa"/>
            <w:tcBorders/>
            <w:shd w:fill="auto" w:val="clear"/>
            <w:vAlign w:val="center"/>
          </w:tcPr>
          <w:p>
            <w:pPr>
              <w:pStyle w:val="TableContents"/>
              <w:spacing w:before="0" w:after="0"/>
              <w:ind w:left="0" w:right="0" w:firstLine="30"/>
              <w:jc w:val="left"/>
              <w:rPr/>
            </w:pPr>
            <w:r>
              <w:rPr/>
              <w:t> </w:t>
            </w:r>
          </w:p>
        </w:tc>
        <w:tc>
          <w:tcPr>
            <w:tcW w:w="670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2012</w:t>
            </w:r>
          </w:p>
        </w:tc>
      </w:tr>
      <w:tr>
        <w:trPr/>
        <w:tc>
          <w:tcPr>
            <w:tcW w:w="3500" w:type="dxa"/>
            <w:tcBorders/>
            <w:shd w:fill="auto" w:val="clear"/>
            <w:vAlign w:val="center"/>
          </w:tcPr>
          <w:p>
            <w:pPr>
              <w:pStyle w:val="TableContents"/>
              <w:spacing w:before="0" w:after="0"/>
              <w:ind w:left="0" w:right="0" w:firstLine="30"/>
              <w:rPr/>
            </w:pPr>
            <w:r>
              <w:rPr/>
              <w:t>  </w:t>
            </w:r>
          </w:p>
        </w:tc>
        <w:tc>
          <w:tcPr>
            <w:tcW w:w="142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8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0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500" w:type="dxa"/>
            <w:tcBorders/>
            <w:shd w:fill="auto" w:val="clear"/>
            <w:vAlign w:val="center"/>
          </w:tcPr>
          <w:p>
            <w:pPr>
              <w:pStyle w:val="TableContents"/>
              <w:spacing w:before="0" w:after="0"/>
              <w:ind w:left="0" w:right="0" w:firstLine="30"/>
              <w:jc w:val="left"/>
              <w:rPr/>
            </w:pPr>
            <w:r>
              <w:rPr/>
              <w:t> </w:t>
            </w:r>
          </w:p>
        </w:tc>
        <w:tc>
          <w:tcPr>
            <w:tcW w:w="670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2080" w:type="dxa"/>
            <w:gridSpan w:val="3"/>
            <w:tcBorders/>
            <w:shd w:fill="CCEEFF" w:val="clear"/>
            <w:vAlign w:val="center"/>
          </w:tcPr>
          <w:p>
            <w:pPr>
              <w:pStyle w:val="TableContents"/>
              <w:spacing w:before="0" w:after="0"/>
              <w:ind w:left="0" w:right="0" w:firstLine="420"/>
              <w:rPr/>
            </w:pPr>
            <w:r>
              <w:rPr/>
              <w:t> </w:t>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227,849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auto" w:val="clear"/>
            <w:vAlign w:val="center"/>
          </w:tcPr>
          <w:p>
            <w:pPr>
              <w:pStyle w:val="TableContents"/>
              <w:spacing w:before="0" w:after="0"/>
              <w:jc w:val="right"/>
              <w:rPr>
                <w:rFonts w:ascii="inherit" w:hAnsi="inherit"/>
                <w:sz w:val="17"/>
              </w:rPr>
            </w:pPr>
            <w:r>
              <w:rPr>
                <w:rFonts w:ascii="inherit" w:hAnsi="inherit"/>
                <w:sz w:val="17"/>
              </w:rPr>
              <w:t>30,000</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27" w:type="dxa"/>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auto" w:val="clear"/>
            <w:vAlign w:val="center"/>
          </w:tcPr>
          <w:p>
            <w:pPr>
              <w:pStyle w:val="TableContents"/>
              <w:spacing w:before="0" w:after="0"/>
              <w:jc w:val="right"/>
              <w:rPr>
                <w:rFonts w:ascii="inherit" w:hAnsi="inherit"/>
                <w:sz w:val="17"/>
              </w:rPr>
            </w:pPr>
            <w:r>
              <w:rPr>
                <w:rFonts w:ascii="inherit" w:hAnsi="inherit"/>
                <w:sz w:val="17"/>
              </w:rPr>
              <w:t>257,849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139,736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11,816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151,552</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154,854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17,545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172,399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127,061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17,764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4,086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148,911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2,444</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802</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3,404</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651,944</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77,927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734,115</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132,469</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16,061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148,530</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87,102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8,831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95,933</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26,136</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1,466</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28,742</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406,237</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51,895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460,910</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080" w:type="dxa"/>
            <w:gridSpan w:val="3"/>
            <w:tcBorders/>
            <w:shd w:fill="auto" w:val="clear"/>
            <w:vAlign w:val="center"/>
          </w:tcPr>
          <w:p>
            <w:pPr>
              <w:pStyle w:val="TableContents"/>
              <w:spacing w:before="0" w:after="0"/>
              <w:ind w:left="0" w:right="0" w:firstLine="420"/>
              <w:rPr/>
            </w:pPr>
            <w:r>
              <w:rPr/>
              <w:t> </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203,190</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23,001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1,288</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227,479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17,841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9,964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2,292</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30,097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10,121</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2,576</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12,806</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414</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2,651</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1,755</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75"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174,405</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3" w:type="dxa"/>
            <w:tcBorders/>
            <w:shd w:fill="CCEEFF" w:val="clear"/>
            <w:vAlign w:val="center"/>
          </w:tcPr>
          <w:p>
            <w:pPr>
              <w:pStyle w:val="TableContents"/>
              <w:spacing w:before="0" w:after="0"/>
              <w:jc w:val="right"/>
              <w:rPr>
                <w:rFonts w:ascii="inherit" w:hAnsi="inherit"/>
                <w:sz w:val="17"/>
              </w:rPr>
            </w:pPr>
            <w:r>
              <w:rPr>
                <w:rFonts w:ascii="inherit" w:hAnsi="inherit"/>
                <w:sz w:val="17"/>
              </w:rPr>
              <w:t>11,948</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27" w:type="dxa"/>
            <w:tcBorders/>
            <w:shd w:fill="CCEEFF" w:val="clear"/>
            <w:vAlign w:val="center"/>
          </w:tcPr>
          <w:p>
            <w:pPr>
              <w:pStyle w:val="TableContents"/>
              <w:spacing w:before="0" w:after="0"/>
              <w:jc w:val="right"/>
              <w:rPr>
                <w:rFonts w:ascii="inherit" w:hAnsi="inherit"/>
                <w:sz w:val="17"/>
              </w:rPr>
            </w:pPr>
            <w:r>
              <w:rPr>
                <w:rFonts w:ascii="inherit" w:hAnsi="inherit"/>
                <w:sz w:val="17"/>
              </w:rPr>
              <w:t>12,286</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198,639</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080" w:type="dxa"/>
            <w:gridSpan w:val="3"/>
            <w:tcBorders/>
            <w:shd w:fill="auto" w:val="clear"/>
            <w:vAlign w:val="center"/>
          </w:tcPr>
          <w:p>
            <w:pPr>
              <w:pStyle w:val="TableContents"/>
              <w:spacing w:before="0" w:after="0"/>
              <w:ind w:left="0" w:right="0" w:firstLine="420"/>
              <w:rPr/>
            </w:pPr>
            <w:r>
              <w:rPr/>
              <w:t> </w:t>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33,664</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3,999</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1,937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159,039</w:t>
            </w:r>
          </w:p>
        </w:tc>
        <w:tc>
          <w:tcPr>
            <w:tcW w:w="80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4495" w:type="dxa"/>
            <w:gridSpan w:val="11"/>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106,436</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42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0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2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21</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540"/>
        <w:gridCol w:w="164"/>
        <w:gridCol w:w="1119"/>
        <w:gridCol w:w="150"/>
        <w:gridCol w:w="131"/>
        <w:gridCol w:w="164"/>
        <w:gridCol w:w="1020"/>
        <w:gridCol w:w="74"/>
        <w:gridCol w:w="131"/>
        <w:gridCol w:w="187"/>
        <w:gridCol w:w="1135"/>
        <w:gridCol w:w="172"/>
        <w:gridCol w:w="131"/>
        <w:gridCol w:w="164"/>
        <w:gridCol w:w="1119"/>
        <w:gridCol w:w="80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4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74"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1119"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40" w:type="dxa"/>
            <w:tcBorders/>
            <w:shd w:fill="auto" w:val="clear"/>
            <w:vAlign w:val="center"/>
          </w:tcPr>
          <w:p>
            <w:pPr>
              <w:pStyle w:val="TableContents"/>
              <w:spacing w:before="0" w:after="0"/>
              <w:ind w:left="0" w:right="0" w:firstLine="30"/>
              <w:rPr/>
            </w:pPr>
            <w:r>
              <w:rPr/>
              <w:t>  </w:t>
            </w:r>
          </w:p>
        </w:tc>
        <w:tc>
          <w:tcPr>
            <w:tcW w:w="666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2011</w:t>
            </w:r>
          </w:p>
        </w:tc>
      </w:tr>
      <w:tr>
        <w:trPr/>
        <w:tc>
          <w:tcPr>
            <w:tcW w:w="3540" w:type="dxa"/>
            <w:tcBorders/>
            <w:shd w:fill="auto" w:val="clear"/>
            <w:vAlign w:val="center"/>
          </w:tcPr>
          <w:p>
            <w:pPr>
              <w:pStyle w:val="TableContents"/>
              <w:spacing w:before="0" w:after="0"/>
              <w:ind w:left="0" w:right="0" w:firstLine="30"/>
              <w:rPr/>
            </w:pPr>
            <w:r>
              <w:rPr/>
              <w:t>  </w:t>
            </w:r>
          </w:p>
        </w:tc>
        <w:tc>
          <w:tcPr>
            <w:tcW w:w="143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25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9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1"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208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540" w:type="dxa"/>
            <w:tcBorders/>
            <w:shd w:fill="auto" w:val="clear"/>
            <w:vAlign w:val="center"/>
          </w:tcPr>
          <w:p>
            <w:pPr>
              <w:pStyle w:val="TableContents"/>
              <w:spacing w:before="0" w:after="0"/>
              <w:ind w:left="0" w:right="0" w:firstLine="30"/>
              <w:jc w:val="left"/>
              <w:rPr/>
            </w:pPr>
            <w:r>
              <w:rPr/>
              <w:t> </w:t>
            </w:r>
          </w:p>
        </w:tc>
        <w:tc>
          <w:tcPr>
            <w:tcW w:w="666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43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2087" w:type="dxa"/>
            <w:gridSpan w:val="3"/>
            <w:tcBorders/>
            <w:shd w:fill="CCEEFF" w:val="clear"/>
            <w:vAlign w:val="center"/>
          </w:tcPr>
          <w:p>
            <w:pPr>
              <w:pStyle w:val="TableContents"/>
              <w:spacing w:before="0" w:after="0"/>
              <w:ind w:left="0" w:right="0" w:firstLine="420"/>
              <w:rPr/>
            </w:pPr>
            <w:r>
              <w:rPr/>
              <w:t> </w:t>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shd w:fill="auto" w:val="clear"/>
            <w:vAlign w:val="center"/>
          </w:tcPr>
          <w:p>
            <w:pPr>
              <w:pStyle w:val="TableContents"/>
              <w:spacing w:before="0" w:after="0"/>
              <w:jc w:val="right"/>
              <w:rPr>
                <w:rFonts w:ascii="inherit" w:hAnsi="inherit"/>
                <w:sz w:val="17"/>
              </w:rPr>
            </w:pPr>
            <w:r>
              <w:rPr>
                <w:rFonts w:ascii="inherit" w:hAnsi="inherit"/>
                <w:sz w:val="17"/>
              </w:rPr>
              <w:t>196,898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auto" w:val="clear"/>
            <w:vAlign w:val="center"/>
          </w:tcPr>
          <w:p>
            <w:pPr>
              <w:pStyle w:val="TableContents"/>
              <w:spacing w:before="0" w:after="0"/>
              <w:jc w:val="right"/>
              <w:rPr>
                <w:rFonts w:ascii="inherit" w:hAnsi="inherit"/>
                <w:sz w:val="17"/>
              </w:rPr>
            </w:pPr>
            <w:r>
              <w:rPr>
                <w:rFonts w:ascii="inherit" w:hAnsi="inherit"/>
                <w:sz w:val="17"/>
              </w:rPr>
              <w:t>17,329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8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shd w:fill="auto" w:val="clear"/>
            <w:vAlign w:val="center"/>
          </w:tcPr>
          <w:p>
            <w:pPr>
              <w:pStyle w:val="TableContents"/>
              <w:spacing w:before="0" w:after="0"/>
              <w:jc w:val="right"/>
              <w:rPr>
                <w:rFonts w:ascii="inherit" w:hAnsi="inherit"/>
                <w:sz w:val="17"/>
              </w:rPr>
            </w:pPr>
            <w:r>
              <w:rPr>
                <w:rFonts w:ascii="inherit" w:hAnsi="inherit"/>
                <w:sz w:val="17"/>
              </w:rPr>
              <w:t>214,227</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138,068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11,363</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149,431</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133,355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11,589</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144,944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125,652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125,652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944</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594,917</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40,315</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635,232</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112,605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10,036</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122,641</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87,416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9,201</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96,617</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367,101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21,078</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388,179</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43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2087" w:type="dxa"/>
            <w:gridSpan w:val="3"/>
            <w:tcBorders/>
            <w:shd w:fill="auto" w:val="clear"/>
            <w:vAlign w:val="center"/>
          </w:tcPr>
          <w:p>
            <w:pPr>
              <w:pStyle w:val="TableContents"/>
              <w:spacing w:before="0" w:after="0"/>
              <w:ind w:left="0" w:right="0" w:firstLine="420"/>
              <w:rPr/>
            </w:pPr>
            <w:r>
              <w:rPr/>
              <w:t> </w:t>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182,769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14,533</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197,302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14,103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3,030</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17,691</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8,194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1,723</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9,917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301</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7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283"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3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7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auto" w:val="clear"/>
            <w:vAlign w:val="center"/>
          </w:tcPr>
          <w:p>
            <w:pPr>
              <w:pStyle w:val="TableContents"/>
              <w:spacing w:before="0" w:after="0"/>
              <w:ind w:left="0" w:right="0" w:firstLine="30"/>
              <w:rPr/>
            </w:pPr>
            <w:r>
              <w:rPr/>
              <w:t> </w:t>
            </w:r>
          </w:p>
        </w:tc>
        <w:tc>
          <w:tcPr>
            <w:tcW w:w="13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17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shd w:fill="CCEEFF" w:val="clear"/>
            <w:vAlign w:val="center"/>
          </w:tcPr>
          <w:p>
            <w:pPr>
              <w:pStyle w:val="TableContents"/>
              <w:spacing w:before="0" w:after="0"/>
              <w:jc w:val="right"/>
              <w:rPr>
                <w:rFonts w:ascii="inherit" w:hAnsi="inherit"/>
                <w:sz w:val="17"/>
              </w:rPr>
            </w:pPr>
            <w:r>
              <w:rPr>
                <w:rFonts w:ascii="inherit" w:hAnsi="inherit"/>
                <w:sz w:val="17"/>
              </w:rPr>
              <w:t>161,672</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CCEEFF" w:val="clear"/>
            <w:vAlign w:val="center"/>
          </w:tcPr>
          <w:p>
            <w:pPr>
              <w:pStyle w:val="TableContents"/>
              <w:spacing w:before="0" w:after="0"/>
              <w:jc w:val="right"/>
              <w:rPr>
                <w:rFonts w:ascii="inherit" w:hAnsi="inherit"/>
                <w:sz w:val="17"/>
              </w:rPr>
            </w:pPr>
            <w:r>
              <w:rPr>
                <w:rFonts w:ascii="inherit" w:hAnsi="inherit"/>
                <w:sz w:val="17"/>
              </w:rPr>
              <w:t>1,471</w:t>
            </w:r>
          </w:p>
        </w:tc>
        <w:tc>
          <w:tcPr>
            <w:tcW w:w="7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5" w:type="dxa"/>
            <w:tcBorders/>
            <w:shd w:fill="CCEEFF" w:val="clear"/>
            <w:vAlign w:val="center"/>
          </w:tcPr>
          <w:p>
            <w:pPr>
              <w:pStyle w:val="TableContents"/>
              <w:spacing w:before="0" w:after="0"/>
              <w:jc w:val="right"/>
              <w:rPr>
                <w:rFonts w:ascii="inherit" w:hAnsi="inherit"/>
                <w:sz w:val="17"/>
              </w:rPr>
            </w:pPr>
            <w:r>
              <w:rPr>
                <w:rFonts w:ascii="inherit" w:hAnsi="inherit"/>
                <w:sz w:val="17"/>
              </w:rPr>
              <w:t>11,767</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1"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shd w:fill="CCEEFF" w:val="clear"/>
            <w:vAlign w:val="center"/>
          </w:tcPr>
          <w:p>
            <w:pPr>
              <w:pStyle w:val="TableContents"/>
              <w:spacing w:before="0" w:after="0"/>
              <w:jc w:val="right"/>
              <w:rPr>
                <w:rFonts w:ascii="inherit" w:hAnsi="inherit"/>
                <w:sz w:val="17"/>
              </w:rPr>
            </w:pPr>
            <w:r>
              <w:rPr>
                <w:rFonts w:ascii="inherit" w:hAnsi="inherit"/>
                <w:sz w:val="17"/>
              </w:rPr>
              <w:t>174,910</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expenses:</w:t>
            </w:r>
          </w:p>
        </w:tc>
        <w:tc>
          <w:tcPr>
            <w:tcW w:w="143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2087" w:type="dxa"/>
            <w:gridSpan w:val="3"/>
            <w:tcBorders/>
            <w:shd w:fill="auto" w:val="clear"/>
            <w:vAlign w:val="center"/>
          </w:tcPr>
          <w:p>
            <w:pPr>
              <w:pStyle w:val="TableContents"/>
              <w:spacing w:before="0" w:after="0"/>
              <w:ind w:left="0" w:right="0" w:firstLine="420"/>
              <w:rPr/>
            </w:pPr>
            <w:r>
              <w:rPr/>
              <w:t> </w:t>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3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38,559</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3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2,753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3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1,127</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taxes</w:t>
            </w:r>
          </w:p>
        </w:tc>
        <w:tc>
          <w:tcPr>
            <w:tcW w:w="143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132,471</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4447" w:type="dxa"/>
            <w:gridSpan w:val="11"/>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46,677</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3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8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85,794</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433"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58"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494" w:type="dxa"/>
            <w:gridSpan w:val="3"/>
            <w:tcBorders/>
            <w:shd w:fill="CCEEFF" w:val="clear"/>
            <w:vAlign w:val="center"/>
          </w:tcPr>
          <w:p>
            <w:pPr>
              <w:pStyle w:val="TableContents"/>
              <w:spacing w:before="0" w:after="0"/>
              <w:ind w:left="0" w:right="0" w:firstLine="30"/>
              <w:rPr/>
            </w:pPr>
            <w:r>
              <w:rPr/>
              <w:t> </w:t>
            </w:r>
          </w:p>
        </w:tc>
        <w:tc>
          <w:tcPr>
            <w:tcW w:w="131" w:type="dxa"/>
            <w:tcBorders/>
            <w:shd w:fill="CCEEFF"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433"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258"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494" w:type="dxa"/>
            <w:gridSpan w:val="3"/>
            <w:tcBorders/>
            <w:shd w:fill="auto" w:val="clear"/>
            <w:vAlign w:val="center"/>
          </w:tcPr>
          <w:p>
            <w:pPr>
              <w:pStyle w:val="TableContents"/>
              <w:spacing w:before="0" w:after="0"/>
              <w:ind w:left="0" w:right="0" w:firstLine="30"/>
              <w:rPr/>
            </w:pPr>
            <w:r>
              <w:rPr/>
              <w:t> </w:t>
            </w:r>
          </w:p>
        </w:tc>
        <w:tc>
          <w:tcPr>
            <w:tcW w:w="131" w:type="dxa"/>
            <w:tcBorders/>
            <w:shd w:fill="auto" w:val="clear"/>
            <w:vAlign w:val="center"/>
          </w:tcPr>
          <w:p>
            <w:pPr>
              <w:pStyle w:val="TableContents"/>
              <w:spacing w:before="0" w:after="0"/>
              <w:ind w:left="0" w:right="0" w:firstLine="30"/>
              <w:rPr/>
            </w:pPr>
            <w:r>
              <w:rPr/>
              <w:t> </w:t>
            </w:r>
          </w:p>
        </w:tc>
        <w:tc>
          <w:tcPr>
            <w:tcW w:w="1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80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22</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The following table presents separately identified segment assets:</w:t>
      </w:r>
      <w:r>
        <w:rPr>
          <w:sz w:val="17"/>
        </w:rPr>
        <w:t> </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3561"/>
        <w:gridCol w:w="163"/>
        <w:gridCol w:w="1110"/>
        <w:gridCol w:w="73"/>
        <w:gridCol w:w="130"/>
        <w:gridCol w:w="163"/>
        <w:gridCol w:w="1110"/>
        <w:gridCol w:w="73"/>
        <w:gridCol w:w="130"/>
        <w:gridCol w:w="202"/>
        <w:gridCol w:w="1197"/>
        <w:gridCol w:w="85"/>
        <w:gridCol w:w="130"/>
        <w:gridCol w:w="163"/>
        <w:gridCol w:w="1110"/>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56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197" w:type="dxa"/>
            <w:tcBorders/>
            <w:shd w:fill="auto" w:val="clear"/>
            <w:vAlign w:val="center"/>
          </w:tcPr>
          <w:p>
            <w:pPr>
              <w:pStyle w:val="TableContents"/>
              <w:spacing w:before="0" w:after="283"/>
              <w:rPr>
                <w:sz w:val="4"/>
                <w:szCs w:val="4"/>
              </w:rPr>
            </w:pPr>
            <w:r>
              <w:rPr>
                <w:sz w:val="4"/>
                <w:szCs w:val="4"/>
              </w:rPr>
            </w:r>
          </w:p>
        </w:tc>
        <w:tc>
          <w:tcPr>
            <w:tcW w:w="85"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10"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561" w:type="dxa"/>
            <w:tcBorders/>
            <w:shd w:fill="auto" w:val="clear"/>
            <w:vAlign w:val="center"/>
          </w:tcPr>
          <w:p>
            <w:pPr>
              <w:pStyle w:val="TableContents"/>
              <w:spacing w:before="0" w:after="0"/>
              <w:ind w:left="0" w:right="0" w:firstLine="30"/>
              <w:rPr/>
            </w:pPr>
            <w:r>
              <w:rPr/>
              <w:t> </w:t>
            </w:r>
          </w:p>
        </w:tc>
        <w:tc>
          <w:tcPr>
            <w:tcW w:w="134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U.S. &amp;</w:t>
            </w:r>
          </w:p>
          <w:p>
            <w:pPr>
              <w:pStyle w:val="TableContents"/>
              <w:spacing w:before="0" w:after="0"/>
              <w:ind w:left="0" w:right="0" w:firstLine="30"/>
              <w:jc w:val="center"/>
              <w:rPr>
                <w:rFonts w:ascii="inherit" w:hAnsi="inherit"/>
                <w:sz w:val="13"/>
              </w:rPr>
            </w:pPr>
            <w:r>
              <w:rPr>
                <w:rFonts w:ascii="inherit" w:hAnsi="inherit"/>
                <w:sz w:val="13"/>
              </w:rPr>
              <w:t>Canada</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34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Latin</w:t>
            </w:r>
          </w:p>
          <w:p>
            <w:pPr>
              <w:pStyle w:val="TableContents"/>
              <w:spacing w:before="0" w:after="0"/>
              <w:ind w:left="0" w:right="0" w:firstLine="30"/>
              <w:jc w:val="center"/>
              <w:rPr>
                <w:rFonts w:ascii="inherit" w:hAnsi="inherit"/>
                <w:sz w:val="13"/>
              </w:rPr>
            </w:pPr>
            <w:r>
              <w:rPr>
                <w:rFonts w:ascii="inherit" w:hAnsi="inherit"/>
                <w:sz w:val="13"/>
              </w:rPr>
              <w:t>America</w:t>
            </w:r>
          </w:p>
        </w:tc>
        <w:tc>
          <w:tcPr>
            <w:tcW w:w="13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148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International</w:t>
            </w:r>
          </w:p>
        </w:tc>
        <w:tc>
          <w:tcPr>
            <w:tcW w:w="130" w:type="dxa"/>
            <w:tcBorders>
              <w:bottom w:val="single" w:sz="2" w:space="0" w:color="000000"/>
            </w:tcBorders>
            <w:shd w:fill="auto" w:val="clear"/>
            <w:tcMar>
              <w:bottom w:w="30" w:type="dxa"/>
            </w:tcMar>
            <w:vAlign w:val="center"/>
          </w:tcPr>
          <w:p>
            <w:pPr>
              <w:pStyle w:val="TableContents"/>
              <w:spacing w:before="0" w:after="0"/>
              <w:rPr/>
            </w:pPr>
            <w:r>
              <w:rPr/>
              <w:t> </w:t>
            </w:r>
          </w:p>
        </w:tc>
        <w:tc>
          <w:tcPr>
            <w:tcW w:w="207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561" w:type="dxa"/>
            <w:tcBorders/>
            <w:shd w:fill="auto" w:val="clear"/>
            <w:vAlign w:val="center"/>
          </w:tcPr>
          <w:p>
            <w:pPr>
              <w:pStyle w:val="TableContents"/>
              <w:spacing w:before="0" w:after="0"/>
              <w:ind w:left="0" w:right="0" w:firstLine="30"/>
              <w:jc w:val="left"/>
              <w:rPr/>
            </w:pPr>
            <w:r>
              <w:rPr/>
              <w:t> </w:t>
            </w:r>
          </w:p>
        </w:tc>
        <w:tc>
          <w:tcPr>
            <w:tcW w:w="664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561"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June 30, 2012:</w:t>
            </w:r>
          </w:p>
        </w:tc>
        <w:tc>
          <w:tcPr>
            <w:tcW w:w="134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4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2078" w:type="dxa"/>
            <w:gridSpan w:val="3"/>
            <w:tcBorders/>
            <w:shd w:fill="CCEEFF" w:val="clear"/>
            <w:vAlign w:val="center"/>
          </w:tcPr>
          <w:p>
            <w:pPr>
              <w:pStyle w:val="TableContents"/>
              <w:spacing w:before="0" w:after="0"/>
              <w:ind w:left="0" w:right="0" w:firstLine="420"/>
              <w:rPr/>
            </w:pPr>
            <w:r>
              <w:rPr/>
              <w:t> </w:t>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18,789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17,708</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shd w:fill="auto" w:val="clear"/>
            <w:vAlign w:val="center"/>
          </w:tcPr>
          <w:p>
            <w:pPr>
              <w:pStyle w:val="TableContents"/>
              <w:spacing w:before="0" w:after="0"/>
              <w:jc w:val="right"/>
              <w:rPr>
                <w:rFonts w:ascii="inherit" w:hAnsi="inherit"/>
                <w:sz w:val="17"/>
              </w:rPr>
            </w:pPr>
            <w:r>
              <w:rPr>
                <w:rFonts w:ascii="inherit" w:hAnsi="inherit"/>
                <w:sz w:val="17"/>
              </w:rPr>
              <w:t>1,638</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38,135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134,064</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13,439</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147,503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17,247</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59,989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1,838</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79,074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30,555</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20,721</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51,821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82,631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11,790</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94,421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57,532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20,338</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1,400</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79,270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221,549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61,322</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38,552</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321,423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17,597</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56,541</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2,830</w:t>
            </w:r>
          </w:p>
        </w:tc>
        <w:tc>
          <w:tcPr>
            <w:tcW w:w="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76,968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579,964</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261,848</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46,803</w:t>
            </w:r>
          </w:p>
        </w:tc>
        <w:tc>
          <w:tcPr>
            <w:tcW w:w="8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888,615</w:t>
            </w:r>
          </w:p>
        </w:tc>
        <w:tc>
          <w:tcPr>
            <w:tcW w:w="805" w:type="dxa"/>
            <w:tcBorders>
              <w:bottom w:val="double" w:sz="6"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23,466</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23,466</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June 30, 2011:</w:t>
            </w:r>
          </w:p>
        </w:tc>
        <w:tc>
          <w:tcPr>
            <w:tcW w:w="134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346"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1484" w:type="dxa"/>
            <w:gridSpan w:val="3"/>
            <w:tcBorders/>
            <w:shd w:fill="auto" w:val="clear"/>
            <w:vAlign w:val="center"/>
          </w:tcPr>
          <w:p>
            <w:pPr>
              <w:pStyle w:val="TableContents"/>
              <w:spacing w:before="0" w:after="0"/>
              <w:ind w:left="0" w:right="0" w:firstLine="30"/>
              <w:rPr/>
            </w:pPr>
            <w:r>
              <w:rPr/>
              <w:t> </w:t>
            </w:r>
          </w:p>
        </w:tc>
        <w:tc>
          <w:tcPr>
            <w:tcW w:w="130" w:type="dxa"/>
            <w:tcBorders/>
            <w:shd w:fill="auto" w:val="clear"/>
            <w:vAlign w:val="center"/>
          </w:tcPr>
          <w:p>
            <w:pPr>
              <w:pStyle w:val="TableContents"/>
              <w:spacing w:before="0" w:after="0"/>
              <w:ind w:left="0" w:right="0" w:firstLine="30"/>
              <w:rPr/>
            </w:pPr>
            <w:r>
              <w:rPr/>
              <w:t> </w:t>
            </w:r>
          </w:p>
        </w:tc>
        <w:tc>
          <w:tcPr>
            <w:tcW w:w="2078" w:type="dxa"/>
            <w:gridSpan w:val="3"/>
            <w:tcBorders/>
            <w:shd w:fill="auto" w:val="clear"/>
            <w:vAlign w:val="center"/>
          </w:tcPr>
          <w:p>
            <w:pPr>
              <w:pStyle w:val="TableContents"/>
              <w:spacing w:before="0" w:after="0"/>
              <w:ind w:left="0" w:right="0" w:firstLine="420"/>
              <w:rPr/>
            </w:pPr>
            <w:r>
              <w:rPr/>
              <w:t> </w:t>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6,198</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2,873</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9,071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124,810</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9,823</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134,633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14,437</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14,437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29,732</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31,256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70,631</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8,400</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79,031</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49,366</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12,939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62,305</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159,572</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7,445</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167,017</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16,953</w:t>
            </w:r>
          </w:p>
        </w:tc>
        <w:tc>
          <w:tcPr>
            <w:tcW w:w="7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942</w:t>
            </w:r>
          </w:p>
        </w:tc>
        <w:tc>
          <w:tcPr>
            <w:tcW w:w="7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17,895</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471,699</w:t>
            </w:r>
          </w:p>
        </w:tc>
        <w:tc>
          <w:tcPr>
            <w:tcW w:w="7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43,946</w:t>
            </w:r>
          </w:p>
        </w:tc>
        <w:tc>
          <w:tcPr>
            <w:tcW w:w="7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bottom w:val="double" w:sz="6" w:space="0" w:color="000000"/>
            </w:tcBorders>
            <w:shd w:fill="CCEEFF" w:val="clear"/>
            <w:tcMar>
              <w:bottom w:w="30" w:type="dxa"/>
            </w:tcMar>
            <w:vAlign w:val="center"/>
          </w:tcPr>
          <w:p>
            <w:pPr>
              <w:pStyle w:val="TableContents"/>
              <w:spacing w:before="0" w:after="0"/>
              <w:jc w:val="right"/>
              <w:rPr/>
            </w:pPr>
            <w:r>
              <w:rPr/>
              <w:t>—</w:t>
            </w:r>
          </w:p>
        </w:tc>
        <w:tc>
          <w:tcPr>
            <w:tcW w:w="8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515,645</w:t>
            </w:r>
          </w:p>
        </w:tc>
        <w:tc>
          <w:tcPr>
            <w:tcW w:w="805" w:type="dxa"/>
            <w:tcBorders>
              <w:bottom w:val="double" w:sz="6"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26,299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26,299</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b/>
                <w:sz w:val="17"/>
                <w:u w:val="single"/>
              </w:rPr>
            </w:pPr>
            <w:r>
              <w:rPr>
                <w:rFonts w:ascii="inherit" w:hAnsi="inherit"/>
                <w:b/>
                <w:sz w:val="17"/>
                <w:u w:val="single"/>
              </w:rPr>
              <w:t>Assets at September 30, 2011:</w:t>
            </w:r>
          </w:p>
        </w:tc>
        <w:tc>
          <w:tcPr>
            <w:tcW w:w="134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346"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1484" w:type="dxa"/>
            <w:gridSpan w:val="3"/>
            <w:tcBorders/>
            <w:shd w:fill="CCEEFF" w:val="clear"/>
            <w:vAlign w:val="center"/>
          </w:tcPr>
          <w:p>
            <w:pPr>
              <w:pStyle w:val="TableContents"/>
              <w:spacing w:before="0" w:after="0"/>
              <w:ind w:left="0" w:right="0" w:firstLine="30"/>
              <w:rPr/>
            </w:pPr>
            <w:r>
              <w:rPr/>
              <w:t> </w:t>
            </w:r>
          </w:p>
        </w:tc>
        <w:tc>
          <w:tcPr>
            <w:tcW w:w="130" w:type="dxa"/>
            <w:tcBorders/>
            <w:shd w:fill="CCEEFF" w:val="clear"/>
            <w:vAlign w:val="center"/>
          </w:tcPr>
          <w:p>
            <w:pPr>
              <w:pStyle w:val="TableContents"/>
              <w:spacing w:before="0" w:after="0"/>
              <w:ind w:left="0" w:right="0" w:firstLine="30"/>
              <w:rPr/>
            </w:pPr>
            <w:r>
              <w:rPr/>
              <w:t> </w:t>
            </w:r>
          </w:p>
        </w:tc>
        <w:tc>
          <w:tcPr>
            <w:tcW w:w="2078" w:type="dxa"/>
            <w:gridSpan w:val="3"/>
            <w:tcBorders/>
            <w:shd w:fill="CCEEFF" w:val="clear"/>
            <w:vAlign w:val="center"/>
          </w:tcPr>
          <w:p>
            <w:pPr>
              <w:pStyle w:val="TableContents"/>
              <w:spacing w:before="0" w:after="0"/>
              <w:ind w:left="0" w:right="0" w:firstLine="420"/>
              <w:rPr/>
            </w:pPr>
            <w:r>
              <w:rPr/>
              <w:t> </w:t>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10,040</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1,496</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auto" w:val="clear"/>
            <w:vAlign w:val="center"/>
          </w:tcPr>
          <w:p>
            <w:pPr>
              <w:pStyle w:val="TableContents"/>
              <w:spacing w:before="0" w:after="0"/>
              <w:jc w:val="right"/>
              <w:rPr>
                <w:rFonts w:ascii="inherit" w:hAnsi="inherit"/>
                <w:sz w:val="17"/>
              </w:rPr>
            </w:pPr>
            <w:r>
              <w:rPr>
                <w:rFonts w:ascii="inherit" w:hAnsi="inherit"/>
                <w:sz w:val="17"/>
              </w:rPr>
              <w:t>11,536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134,457</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10,861</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145,318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14,611</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pPr>
            <w:r>
              <w:rPr/>
              <w:t>—</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14,611</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31,567</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1,663</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33,230</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81,859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8,514</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90,373</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51,469</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12,769</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64,238</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 net</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163,897</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9,309</w:t>
            </w:r>
          </w:p>
        </w:tc>
        <w:tc>
          <w:tcPr>
            <w:tcW w:w="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399" w:type="dxa"/>
            <w:gridSpan w:val="2"/>
            <w:tcBorders/>
            <w:shd w:fill="auto" w:val="clear"/>
            <w:vAlign w:val="center"/>
          </w:tcPr>
          <w:p>
            <w:pPr>
              <w:pStyle w:val="TableContents"/>
              <w:spacing w:before="0" w:after="0"/>
              <w:jc w:val="right"/>
              <w:rPr/>
            </w:pPr>
            <w:r>
              <w:rPr/>
              <w:t>—</w:t>
            </w:r>
          </w:p>
        </w:tc>
        <w:tc>
          <w:tcPr>
            <w:tcW w:w="8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2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173,206</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Intangibles, net</w:t>
            </w:r>
          </w:p>
        </w:tc>
        <w:tc>
          <w:tcPr>
            <w:tcW w:w="12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16,775</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867</w:t>
            </w:r>
          </w:p>
        </w:tc>
        <w:tc>
          <w:tcPr>
            <w:tcW w:w="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3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2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17,642</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504,675</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45,479</w:t>
            </w:r>
          </w:p>
        </w:tc>
        <w:tc>
          <w:tcPr>
            <w:tcW w:w="7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20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8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550,154</w:t>
            </w:r>
          </w:p>
        </w:tc>
        <w:tc>
          <w:tcPr>
            <w:tcW w:w="805" w:type="dxa"/>
            <w:tcBorders>
              <w:bottom w:val="double" w:sz="6"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56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outstanding from unaffiliated lenders</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27,040</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pPr>
            <w:r>
              <w:rPr/>
              <w:t>—</w:t>
            </w:r>
          </w:p>
        </w:tc>
        <w:tc>
          <w:tcPr>
            <w:tcW w:w="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20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7" w:type="dxa"/>
            <w:tcBorders/>
            <w:shd w:fill="CCEEFF" w:val="clear"/>
            <w:vAlign w:val="center"/>
          </w:tcPr>
          <w:p>
            <w:pPr>
              <w:pStyle w:val="TableContents"/>
              <w:spacing w:before="0" w:after="0"/>
              <w:jc w:val="right"/>
              <w:rPr/>
            </w:pPr>
            <w:r>
              <w:rPr/>
              <w:t>—</w:t>
            </w:r>
          </w:p>
        </w:tc>
        <w:tc>
          <w:tcPr>
            <w:tcW w:w="8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0"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0" w:type="dxa"/>
            <w:tcBorders/>
            <w:shd w:fill="CCEEFF" w:val="clear"/>
            <w:vAlign w:val="center"/>
          </w:tcPr>
          <w:p>
            <w:pPr>
              <w:pStyle w:val="TableContents"/>
              <w:spacing w:before="0" w:after="0"/>
              <w:jc w:val="right"/>
              <w:rPr>
                <w:rFonts w:ascii="inherit" w:hAnsi="inherit"/>
                <w:sz w:val="17"/>
              </w:rPr>
            </w:pPr>
            <w:r>
              <w:rPr>
                <w:rFonts w:ascii="inherit" w:hAnsi="inherit"/>
                <w:sz w:val="17"/>
              </w:rPr>
              <w:t>27,040</w:t>
            </w:r>
          </w:p>
        </w:tc>
        <w:tc>
          <w:tcPr>
            <w:tcW w:w="805"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ind w:left="0" w:right="0" w:firstLine="18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 reconciles separately identified recorded segment assets, as shown above, to our consolidated total assets:</w:t>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537"/>
        <w:gridCol w:w="144"/>
        <w:gridCol w:w="1241"/>
        <w:gridCol w:w="96"/>
        <w:gridCol w:w="126"/>
        <w:gridCol w:w="144"/>
        <w:gridCol w:w="1165"/>
        <w:gridCol w:w="96"/>
        <w:gridCol w:w="126"/>
        <w:gridCol w:w="159"/>
        <w:gridCol w:w="1255"/>
        <w:gridCol w:w="116"/>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53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241"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65"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25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537" w:type="dxa"/>
            <w:tcBorders/>
            <w:shd w:fill="auto" w:val="clear"/>
            <w:vAlign w:val="center"/>
          </w:tcPr>
          <w:p>
            <w:pPr>
              <w:pStyle w:val="TableContents"/>
              <w:spacing w:before="0" w:after="0"/>
              <w:ind w:left="0" w:right="0" w:firstLine="30"/>
              <w:jc w:val="left"/>
              <w:rPr/>
            </w:pPr>
            <w:r>
              <w:rPr/>
              <w:t> </w:t>
            </w:r>
          </w:p>
        </w:tc>
        <w:tc>
          <w:tcPr>
            <w:tcW w:w="3012"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26" w:type="dxa"/>
            <w:tcBorders/>
            <w:shd w:fill="auto" w:val="clear"/>
            <w:vAlign w:val="center"/>
          </w:tcPr>
          <w:p>
            <w:pPr>
              <w:pStyle w:val="TableContents"/>
              <w:spacing w:before="0" w:after="0"/>
              <w:ind w:left="0" w:right="0" w:firstLine="30"/>
              <w:rPr/>
            </w:pPr>
            <w:r>
              <w:rPr/>
              <w:t> </w:t>
            </w:r>
          </w:p>
        </w:tc>
        <w:tc>
          <w:tcPr>
            <w:tcW w:w="15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5537" w:type="dxa"/>
            <w:tcBorders/>
            <w:shd w:fill="auto" w:val="clear"/>
            <w:vAlign w:val="center"/>
          </w:tcPr>
          <w:p>
            <w:pPr>
              <w:pStyle w:val="TableContents"/>
              <w:spacing w:before="0" w:after="0"/>
              <w:ind w:left="0" w:right="0" w:firstLine="30"/>
              <w:jc w:val="left"/>
              <w:rPr/>
            </w:pPr>
            <w:r>
              <w:rPr/>
              <w:t> </w:t>
            </w:r>
          </w:p>
        </w:tc>
        <w:tc>
          <w:tcPr>
            <w:tcW w:w="14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6" w:type="dxa"/>
            <w:tcBorders/>
            <w:shd w:fill="auto" w:val="clear"/>
            <w:vAlign w:val="center"/>
          </w:tcPr>
          <w:p>
            <w:pPr>
              <w:pStyle w:val="TableContents"/>
              <w:spacing w:before="0" w:after="0"/>
              <w:ind w:left="0" w:right="0" w:firstLine="30"/>
              <w:rPr/>
            </w:pPr>
            <w:r>
              <w:rPr/>
              <w:t> </w:t>
            </w:r>
          </w:p>
        </w:tc>
        <w:tc>
          <w:tcPr>
            <w:tcW w:w="140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26" w:type="dxa"/>
            <w:tcBorders/>
            <w:shd w:fill="auto" w:val="clear"/>
            <w:vAlign w:val="center"/>
          </w:tcPr>
          <w:p>
            <w:pPr>
              <w:pStyle w:val="TableContents"/>
              <w:spacing w:before="0" w:after="0"/>
              <w:ind w:left="0" w:right="0" w:firstLine="30"/>
              <w:rPr/>
            </w:pPr>
            <w:r>
              <w:rPr/>
              <w:t> </w:t>
            </w:r>
          </w:p>
        </w:tc>
        <w:tc>
          <w:tcPr>
            <w:tcW w:w="15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537" w:type="dxa"/>
            <w:tcBorders/>
            <w:shd w:fill="auto" w:val="clear"/>
            <w:vAlign w:val="center"/>
          </w:tcPr>
          <w:p>
            <w:pPr>
              <w:pStyle w:val="TableContents"/>
              <w:spacing w:before="0" w:after="0"/>
              <w:ind w:left="0" w:right="0" w:firstLine="30"/>
              <w:jc w:val="left"/>
              <w:rPr/>
            </w:pPr>
            <w:r>
              <w:rPr/>
              <w:t> </w:t>
            </w:r>
          </w:p>
        </w:tc>
        <w:tc>
          <w:tcPr>
            <w:tcW w:w="4668"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53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separately identified recorded segment assets</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shd w:fill="CCEEFF" w:val="clear"/>
            <w:vAlign w:val="center"/>
          </w:tcPr>
          <w:p>
            <w:pPr>
              <w:pStyle w:val="TableContents"/>
              <w:spacing w:before="0" w:after="0"/>
              <w:jc w:val="right"/>
              <w:rPr>
                <w:rFonts w:ascii="inherit" w:hAnsi="inherit"/>
                <w:sz w:val="17"/>
              </w:rPr>
            </w:pPr>
            <w:r>
              <w:rPr>
                <w:rFonts w:ascii="inherit" w:hAnsi="inherit"/>
                <w:sz w:val="17"/>
              </w:rPr>
              <w:t>888,615</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shd w:fill="CCEEFF" w:val="clear"/>
            <w:vAlign w:val="center"/>
          </w:tcPr>
          <w:p>
            <w:pPr>
              <w:pStyle w:val="TableContents"/>
              <w:spacing w:before="0" w:after="0"/>
              <w:jc w:val="right"/>
              <w:rPr>
                <w:rFonts w:ascii="inherit" w:hAnsi="inherit"/>
                <w:sz w:val="17"/>
              </w:rPr>
            </w:pPr>
            <w:r>
              <w:rPr>
                <w:rFonts w:ascii="inherit" w:hAnsi="inherit"/>
                <w:sz w:val="17"/>
              </w:rPr>
              <w:t>515,645</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55" w:type="dxa"/>
            <w:tcBorders/>
            <w:shd w:fill="CCEEFF" w:val="clear"/>
            <w:vAlign w:val="center"/>
          </w:tcPr>
          <w:p>
            <w:pPr>
              <w:pStyle w:val="TableContents"/>
              <w:spacing w:before="0" w:after="0"/>
              <w:jc w:val="right"/>
              <w:rPr>
                <w:rFonts w:ascii="inherit" w:hAnsi="inherit"/>
                <w:sz w:val="17"/>
              </w:rPr>
            </w:pPr>
            <w:r>
              <w:rPr>
                <w:rFonts w:ascii="inherit" w:hAnsi="inherit"/>
                <w:sz w:val="17"/>
              </w:rPr>
              <w:t>550,154</w:t>
            </w:r>
          </w:p>
        </w:tc>
        <w:tc>
          <w:tcPr>
            <w:tcW w:w="11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3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Corporate assets</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249,458</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30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197,976</w:t>
            </w:r>
          </w:p>
        </w:tc>
        <w:tc>
          <w:tcPr>
            <w:tcW w:w="9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4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206,296</w:t>
            </w:r>
          </w:p>
        </w:tc>
        <w:tc>
          <w:tcPr>
            <w:tcW w:w="11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537" w:type="dxa"/>
            <w:tcBorders/>
            <w:shd w:fill="CCEEFF" w:val="clear"/>
            <w:vAlign w:val="center"/>
          </w:tcPr>
          <w:p>
            <w:pPr>
              <w:pStyle w:val="TableContents"/>
              <w:spacing w:before="0" w:after="0"/>
              <w:ind w:left="0" w:right="0" w:firstLine="30"/>
              <w:jc w:val="left"/>
              <w:rPr/>
            </w:pPr>
            <w:r>
              <w:rPr/>
              <w:t> </w:t>
            </w:r>
            <w:r>
              <w:rPr>
                <w:rFonts w:ascii="inherit" w:hAnsi="inherit"/>
                <w:sz w:val="17"/>
              </w:rPr>
              <w:t>Total assets</w:t>
            </w:r>
          </w:p>
        </w:tc>
        <w:tc>
          <w:tcPr>
            <w:tcW w:w="14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1,138,073</w:t>
            </w:r>
          </w:p>
        </w:tc>
        <w:tc>
          <w:tcPr>
            <w:tcW w:w="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6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713,621</w:t>
            </w:r>
          </w:p>
        </w:tc>
        <w:tc>
          <w:tcPr>
            <w:tcW w:w="9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55"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16"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23</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The following tables provide geographic information required by ASC 280-10-50-41:</w:t>
      </w:r>
    </w:p>
    <w:p>
      <w:pPr>
        <w:pStyle w:val="TextBody"/>
        <w:spacing w:lineRule="auto" w:line="288" w:before="0" w:after="0"/>
        <w:rPr>
          <w:rFonts w:ascii="inherit" w:hAnsi="inherit"/>
          <w:sz w:val="15"/>
        </w:rPr>
      </w:pPr>
      <w:r>
        <w:rPr>
          <w:rFonts w:ascii="inherit" w:hAnsi="inherit"/>
          <w:sz w:val="15"/>
        </w:rPr>
      </w:r>
    </w:p>
    <w:tbl>
      <w:tblPr>
        <w:tblW w:w="10205" w:type="dxa"/>
        <w:jc w:val="left"/>
        <w:tblInd w:w="0" w:type="dxa"/>
        <w:tblCellMar>
          <w:top w:w="0" w:type="dxa"/>
          <w:left w:w="0" w:type="dxa"/>
          <w:bottom w:w="0" w:type="dxa"/>
          <w:right w:w="0" w:type="dxa"/>
        </w:tblCellMar>
      </w:tblPr>
      <w:tblGrid>
        <w:gridCol w:w="4377"/>
        <w:gridCol w:w="151"/>
        <w:gridCol w:w="1090"/>
        <w:gridCol w:w="90"/>
        <w:gridCol w:w="129"/>
        <w:gridCol w:w="151"/>
        <w:gridCol w:w="1090"/>
        <w:gridCol w:w="90"/>
        <w:gridCol w:w="129"/>
        <w:gridCol w:w="151"/>
        <w:gridCol w:w="1090"/>
        <w:gridCol w:w="90"/>
        <w:gridCol w:w="129"/>
        <w:gridCol w:w="151"/>
        <w:gridCol w:w="1090"/>
        <w:gridCol w:w="20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4377"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9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377" w:type="dxa"/>
            <w:tcBorders/>
            <w:shd w:fill="auto" w:val="clear"/>
            <w:vAlign w:val="center"/>
          </w:tcPr>
          <w:p>
            <w:pPr>
              <w:pStyle w:val="TableContents"/>
              <w:spacing w:before="0" w:after="0"/>
              <w:ind w:left="0" w:right="0" w:firstLine="30"/>
              <w:rPr/>
            </w:pPr>
            <w:r>
              <w:rPr/>
              <w:t> </w:t>
            </w:r>
          </w:p>
        </w:tc>
        <w:tc>
          <w:tcPr>
            <w:tcW w:w="2791"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br/>
              <w:t>June 30,</w:t>
            </w:r>
          </w:p>
        </w:tc>
        <w:tc>
          <w:tcPr>
            <w:tcW w:w="129" w:type="dxa"/>
            <w:tcBorders/>
            <w:shd w:fill="auto" w:val="clear"/>
            <w:vAlign w:val="center"/>
          </w:tcPr>
          <w:p>
            <w:pPr>
              <w:pStyle w:val="TableContents"/>
              <w:spacing w:before="0" w:after="0"/>
              <w:ind w:left="0" w:right="0" w:firstLine="30"/>
              <w:rPr/>
            </w:pPr>
            <w:r>
              <w:rPr/>
              <w:t> </w:t>
            </w:r>
          </w:p>
        </w:tc>
        <w:tc>
          <w:tcPr>
            <w:tcW w:w="290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 xml:space="preserve">Nine Months Ended </w:t>
              <w:br/>
              <w:t>June 30,</w:t>
            </w:r>
          </w:p>
        </w:tc>
      </w:tr>
      <w:tr>
        <w:trPr/>
        <w:tc>
          <w:tcPr>
            <w:tcW w:w="4377" w:type="dxa"/>
            <w:tcBorders/>
            <w:shd w:fill="auto" w:val="clear"/>
            <w:vAlign w:val="center"/>
          </w:tcPr>
          <w:p>
            <w:pPr>
              <w:pStyle w:val="TableContents"/>
              <w:spacing w:before="0" w:after="0"/>
              <w:ind w:left="0" w:right="0" w:firstLine="30"/>
              <w:jc w:val="left"/>
              <w:rPr/>
            </w:pPr>
            <w:r>
              <w:rPr/>
              <w:t> </w:t>
            </w:r>
          </w:p>
        </w:tc>
        <w:tc>
          <w:tcPr>
            <w:tcW w:w="13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9" w:type="dxa"/>
            <w:tcBorders/>
            <w:shd w:fill="auto" w:val="clear"/>
            <w:vAlign w:val="center"/>
          </w:tcPr>
          <w:p>
            <w:pPr>
              <w:pStyle w:val="TableContents"/>
              <w:spacing w:before="0" w:after="0"/>
              <w:ind w:left="0" w:right="0" w:firstLine="30"/>
              <w:rPr/>
            </w:pPr>
            <w:r>
              <w:rPr/>
              <w:t> </w:t>
            </w:r>
          </w:p>
        </w:tc>
        <w:tc>
          <w:tcPr>
            <w:tcW w:w="13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29" w:type="dxa"/>
            <w:tcBorders/>
            <w:shd w:fill="auto" w:val="clear"/>
            <w:vAlign w:val="center"/>
          </w:tcPr>
          <w:p>
            <w:pPr>
              <w:pStyle w:val="TableContents"/>
              <w:spacing w:before="0" w:after="0"/>
              <w:ind w:left="0" w:right="0" w:firstLine="30"/>
              <w:rPr/>
            </w:pPr>
            <w:r>
              <w:rPr/>
              <w:t> </w:t>
            </w:r>
          </w:p>
        </w:tc>
        <w:tc>
          <w:tcPr>
            <w:tcW w:w="13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29" w:type="dxa"/>
            <w:tcBorders/>
            <w:shd w:fill="auto" w:val="clear"/>
            <w:vAlign w:val="center"/>
          </w:tcPr>
          <w:p>
            <w:pPr>
              <w:pStyle w:val="TableContents"/>
              <w:spacing w:before="0" w:after="0"/>
              <w:ind w:left="0" w:right="0" w:firstLine="30"/>
              <w:rPr/>
            </w:pPr>
            <w:r>
              <w:rPr/>
              <w:t> </w:t>
            </w:r>
          </w:p>
        </w:tc>
        <w:tc>
          <w:tcPr>
            <w:tcW w:w="14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4377" w:type="dxa"/>
            <w:tcBorders/>
            <w:shd w:fill="auto" w:val="clear"/>
            <w:vAlign w:val="center"/>
          </w:tcPr>
          <w:p>
            <w:pPr>
              <w:pStyle w:val="TableContents"/>
              <w:spacing w:before="0" w:after="0"/>
              <w:ind w:left="0" w:right="0" w:firstLine="30"/>
              <w:jc w:val="left"/>
              <w:rPr/>
            </w:pPr>
            <w:r>
              <w:rPr/>
              <w:t> </w:t>
            </w:r>
          </w:p>
        </w:tc>
        <w:tc>
          <w:tcPr>
            <w:tcW w:w="5828"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3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331"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31"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331" w:type="dxa"/>
            <w:gridSpan w:val="3"/>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ind w:left="0" w:right="0" w:firstLine="30"/>
              <w:rPr/>
            </w:pPr>
            <w:r>
              <w:rPr/>
              <w:t> </w:t>
            </w:r>
          </w:p>
        </w:tc>
        <w:tc>
          <w:tcPr>
            <w:tcW w:w="1448" w:type="dxa"/>
            <w:gridSpan w:val="3"/>
            <w:tcBorders/>
            <w:shd w:fill="CCEEFF" w:val="clear"/>
            <w:vAlign w:val="center"/>
          </w:tcPr>
          <w:p>
            <w:pPr>
              <w:pStyle w:val="TableContents"/>
              <w:spacing w:before="0" w:after="0"/>
              <w:ind w:left="0" w:right="0" w:firstLine="180"/>
              <w:rPr/>
            </w:pPr>
            <w:r>
              <w:rPr/>
              <w:t> </w:t>
            </w:r>
          </w:p>
        </w:tc>
      </w:tr>
      <w:tr>
        <w:trPr/>
        <w:tc>
          <w:tcPr>
            <w:tcW w:w="43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0" w:type="dxa"/>
            <w:tcBorders/>
            <w:shd w:fill="auto" w:val="clear"/>
            <w:vAlign w:val="center"/>
          </w:tcPr>
          <w:p>
            <w:pPr>
              <w:pStyle w:val="TableContents"/>
              <w:spacing w:before="0" w:after="0"/>
              <w:jc w:val="right"/>
              <w:rPr>
                <w:rFonts w:ascii="inherit" w:hAnsi="inherit"/>
                <w:sz w:val="17"/>
              </w:rPr>
            </w:pPr>
            <w:r>
              <w:rPr>
                <w:rFonts w:ascii="inherit" w:hAnsi="inherit"/>
                <w:sz w:val="17"/>
              </w:rPr>
              <w:t>188,573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0" w:type="dxa"/>
            <w:tcBorders/>
            <w:shd w:fill="auto" w:val="clear"/>
            <w:vAlign w:val="center"/>
          </w:tcPr>
          <w:p>
            <w:pPr>
              <w:pStyle w:val="TableContents"/>
              <w:spacing w:before="0" w:after="0"/>
              <w:jc w:val="right"/>
              <w:rPr>
                <w:rFonts w:ascii="inherit" w:hAnsi="inherit"/>
                <w:sz w:val="17"/>
              </w:rPr>
            </w:pPr>
            <w:r>
              <w:rPr>
                <w:rFonts w:ascii="inherit" w:hAnsi="inherit"/>
                <w:sz w:val="17"/>
              </w:rPr>
              <w:t>184,903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0" w:type="dxa"/>
            <w:tcBorders/>
            <w:shd w:fill="auto" w:val="clear"/>
            <w:vAlign w:val="center"/>
          </w:tcPr>
          <w:p>
            <w:pPr>
              <w:pStyle w:val="TableContents"/>
              <w:spacing w:before="0" w:after="0"/>
              <w:jc w:val="right"/>
              <w:rPr>
                <w:rFonts w:ascii="inherit" w:hAnsi="inherit"/>
                <w:sz w:val="17"/>
              </w:rPr>
            </w:pPr>
            <w:r>
              <w:rPr>
                <w:rFonts w:ascii="inherit" w:hAnsi="inherit"/>
                <w:sz w:val="17"/>
              </w:rPr>
              <w:t>639,778</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90" w:type="dxa"/>
            <w:tcBorders/>
            <w:shd w:fill="auto" w:val="clear"/>
            <w:vAlign w:val="center"/>
          </w:tcPr>
          <w:p>
            <w:pPr>
              <w:pStyle w:val="TableContents"/>
              <w:spacing w:before="0" w:after="0"/>
              <w:jc w:val="right"/>
              <w:rPr>
                <w:rFonts w:ascii="inherit" w:hAnsi="inherit"/>
                <w:sz w:val="17"/>
              </w:rPr>
            </w:pPr>
            <w:r>
              <w:rPr>
                <w:rFonts w:ascii="inherit" w:hAnsi="inherit"/>
                <w:sz w:val="17"/>
              </w:rPr>
              <w:t>587,845</w:t>
            </w:r>
          </w:p>
        </w:tc>
        <w:tc>
          <w:tcPr>
            <w:tcW w:w="20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3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31,800</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15,183</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77,927</w:t>
            </w:r>
          </w:p>
        </w:tc>
        <w:tc>
          <w:tcPr>
            <w:tcW w:w="9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40,315</w:t>
            </w:r>
          </w:p>
        </w:tc>
        <w:tc>
          <w:tcPr>
            <w:tcW w:w="207"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3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4,553</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3,066</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12,166</w:t>
            </w:r>
          </w:p>
        </w:tc>
        <w:tc>
          <w:tcPr>
            <w:tcW w:w="9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4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7,072</w:t>
            </w:r>
          </w:p>
        </w:tc>
        <w:tc>
          <w:tcPr>
            <w:tcW w:w="207"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43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4,038</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4,244</w:t>
            </w:r>
          </w:p>
        </w:tc>
        <w:tc>
          <w:tcPr>
            <w:tcW w:w="9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4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0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3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4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228,964</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4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203,152</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4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734,115</w:t>
            </w:r>
          </w:p>
        </w:tc>
        <w:tc>
          <w:tcPr>
            <w:tcW w:w="9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41" w:type="dxa"/>
            <w:gridSpan w:val="2"/>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635,232</w:t>
            </w:r>
          </w:p>
        </w:tc>
        <w:tc>
          <w:tcPr>
            <w:tcW w:w="20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5366"/>
        <w:gridCol w:w="157"/>
        <w:gridCol w:w="1218"/>
        <w:gridCol w:w="96"/>
        <w:gridCol w:w="134"/>
        <w:gridCol w:w="157"/>
        <w:gridCol w:w="1218"/>
        <w:gridCol w:w="96"/>
        <w:gridCol w:w="134"/>
        <w:gridCol w:w="162"/>
        <w:gridCol w:w="1248"/>
        <w:gridCol w:w="219"/>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366"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c>
          <w:tcPr>
            <w:tcW w:w="1218" w:type="dxa"/>
            <w:tcBorders/>
            <w:shd w:fill="auto" w:val="clear"/>
            <w:vAlign w:val="center"/>
          </w:tcPr>
          <w:p>
            <w:pPr>
              <w:pStyle w:val="TableContents"/>
              <w:spacing w:before="0" w:after="283"/>
              <w:rPr>
                <w:sz w:val="4"/>
                <w:szCs w:val="4"/>
              </w:rPr>
            </w:pPr>
            <w:r>
              <w:rPr>
                <w:sz w:val="4"/>
                <w:szCs w:val="4"/>
              </w:rPr>
            </w:r>
          </w:p>
        </w:tc>
        <w:tc>
          <w:tcPr>
            <w:tcW w:w="9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1248"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366" w:type="dxa"/>
            <w:tcBorders/>
            <w:shd w:fill="auto" w:val="clear"/>
            <w:vAlign w:val="center"/>
          </w:tcPr>
          <w:p>
            <w:pPr>
              <w:pStyle w:val="TableContents"/>
              <w:spacing w:before="0" w:after="0"/>
              <w:ind w:left="0" w:right="0" w:firstLine="30"/>
              <w:jc w:val="left"/>
              <w:rPr/>
            </w:pPr>
            <w:r>
              <w:rPr/>
              <w:t> </w:t>
            </w:r>
          </w:p>
        </w:tc>
        <w:tc>
          <w:tcPr>
            <w:tcW w:w="307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34" w:type="dxa"/>
            <w:tcBorders/>
            <w:shd w:fill="auto" w:val="clear"/>
            <w:vAlign w:val="center"/>
          </w:tcPr>
          <w:p>
            <w:pPr>
              <w:pStyle w:val="TableContents"/>
              <w:spacing w:before="0" w:after="0"/>
              <w:ind w:left="0" w:right="0" w:firstLine="30"/>
              <w:rPr/>
            </w:pPr>
            <w:r>
              <w:rPr/>
              <w:t> </w:t>
            </w:r>
          </w:p>
        </w:tc>
        <w:tc>
          <w:tcPr>
            <w:tcW w:w="16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5366"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34"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34" w:type="dxa"/>
            <w:tcBorders/>
            <w:shd w:fill="auto" w:val="clear"/>
            <w:vAlign w:val="center"/>
          </w:tcPr>
          <w:p>
            <w:pPr>
              <w:pStyle w:val="TableContents"/>
              <w:spacing w:before="0" w:after="0"/>
              <w:ind w:left="0" w:right="0" w:firstLine="30"/>
              <w:rPr/>
            </w:pPr>
            <w:r>
              <w:rPr/>
              <w:t> </w:t>
            </w:r>
          </w:p>
        </w:tc>
        <w:tc>
          <w:tcPr>
            <w:tcW w:w="16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366" w:type="dxa"/>
            <w:tcBorders/>
            <w:shd w:fill="auto" w:val="clear"/>
            <w:vAlign w:val="center"/>
          </w:tcPr>
          <w:p>
            <w:pPr>
              <w:pStyle w:val="TableContents"/>
              <w:spacing w:before="0" w:after="0"/>
              <w:ind w:left="0" w:right="0" w:firstLine="30"/>
              <w:jc w:val="left"/>
              <w:rPr/>
            </w:pPr>
            <w:r>
              <w:rPr/>
              <w:t> </w:t>
            </w:r>
          </w:p>
        </w:tc>
        <w:tc>
          <w:tcPr>
            <w:tcW w:w="4839"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366" w:type="dxa"/>
            <w:tcBorders/>
            <w:shd w:fill="CCEEFF" w:val="clear"/>
            <w:vAlign w:val="center"/>
          </w:tcPr>
          <w:p>
            <w:pPr>
              <w:pStyle w:val="TableContents"/>
              <w:spacing w:before="0" w:after="0"/>
              <w:ind w:left="0" w:right="0" w:firstLine="30"/>
              <w:rPr>
                <w:rFonts w:ascii="inherit" w:hAnsi="inherit"/>
                <w:sz w:val="17"/>
              </w:rPr>
            </w:pPr>
            <w:r>
              <w:rPr>
                <w:rFonts w:ascii="inherit" w:hAnsi="inherit"/>
                <w:sz w:val="17"/>
              </w:rPr>
              <w:t>Long-lived assets:</w:t>
            </w:r>
          </w:p>
        </w:tc>
        <w:tc>
          <w:tcPr>
            <w:tcW w:w="147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471" w:type="dxa"/>
            <w:gridSpan w:val="3"/>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29" w:type="dxa"/>
            <w:gridSpan w:val="3"/>
            <w:tcBorders/>
            <w:shd w:fill="CCEEFF" w:val="clear"/>
            <w:vAlign w:val="center"/>
          </w:tcPr>
          <w:p>
            <w:pPr>
              <w:pStyle w:val="TableContents"/>
              <w:spacing w:before="0" w:after="0"/>
              <w:ind w:left="0" w:right="0" w:firstLine="180"/>
              <w:rPr/>
            </w:pPr>
            <w:r>
              <w:rPr/>
              <w:t> </w:t>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U.S.</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309,168</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shd w:fill="auto" w:val="clear"/>
            <w:vAlign w:val="center"/>
          </w:tcPr>
          <w:p>
            <w:pPr>
              <w:pStyle w:val="TableContents"/>
              <w:spacing w:before="0" w:after="0"/>
              <w:jc w:val="right"/>
              <w:rPr>
                <w:rFonts w:ascii="inherit" w:hAnsi="inherit"/>
                <w:sz w:val="17"/>
              </w:rPr>
            </w:pPr>
            <w:r>
              <w:rPr>
                <w:rFonts w:ascii="inherit" w:hAnsi="inherit"/>
                <w:sz w:val="17"/>
              </w:rPr>
              <w:t>233,637</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shd w:fill="auto" w:val="clear"/>
            <w:vAlign w:val="center"/>
          </w:tcPr>
          <w:p>
            <w:pPr>
              <w:pStyle w:val="TableContents"/>
              <w:spacing w:before="0" w:after="0"/>
              <w:jc w:val="right"/>
              <w:rPr>
                <w:rFonts w:ascii="inherit" w:hAnsi="inherit"/>
                <w:sz w:val="17"/>
              </w:rPr>
            </w:pPr>
            <w:r>
              <w:rPr>
                <w:rFonts w:ascii="inherit" w:hAnsi="inherit"/>
                <w:sz w:val="17"/>
              </w:rPr>
              <w:t>240,661</w:t>
            </w:r>
          </w:p>
        </w:tc>
        <w:tc>
          <w:tcPr>
            <w:tcW w:w="2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Mexico</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138,202</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21,326</w:t>
            </w:r>
          </w:p>
        </w:tc>
        <w:tc>
          <w:tcPr>
            <w:tcW w:w="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1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7,888</w:t>
            </w:r>
          </w:p>
        </w:tc>
        <w:tc>
          <w:tcPr>
            <w:tcW w:w="219" w:type="dxa"/>
            <w:tcBorders/>
            <w:shd w:fill="CCEEFF"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Canada</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10,133</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7,295</w:t>
            </w:r>
          </w:p>
        </w:tc>
        <w:tc>
          <w:tcPr>
            <w:tcW w:w="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1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22,945</w:t>
            </w:r>
          </w:p>
        </w:tc>
        <w:tc>
          <w:tcPr>
            <w:tcW w:w="219" w:type="dxa"/>
            <w:tcBorders/>
            <w:shd w:fill="auto" w:val="clear"/>
            <w:vAlign w:val="center"/>
          </w:tcPr>
          <w:p>
            <w:pPr>
              <w:pStyle w:val="TableContents"/>
              <w:spacing w:before="0" w:after="0"/>
              <w:ind w:left="0" w:right="0" w:firstLine="180"/>
              <w:jc w:val="left"/>
              <w:rPr>
                <w:rFonts w:ascii="inherit" w:hAnsi="inherit"/>
                <w:sz w:val="17"/>
              </w:rPr>
            </w:pPr>
            <w:r>
              <w:rPr>
                <w:rFonts w:ascii="inherit" w:hAnsi="inherit"/>
                <w:sz w:val="17"/>
              </w:rPr>
            </w:r>
          </w:p>
        </w:tc>
      </w:tr>
      <w:tr>
        <w:trPr/>
        <w:tc>
          <w:tcPr>
            <w:tcW w:w="536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U.K</w:t>
            </w:r>
          </w:p>
        </w:tc>
        <w:tc>
          <w:tcPr>
            <w:tcW w:w="13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42,782</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7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9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1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1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36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500,285</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5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262,258</w:t>
            </w:r>
          </w:p>
        </w:tc>
        <w:tc>
          <w:tcPr>
            <w:tcW w:w="9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6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4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271,494</w:t>
            </w:r>
          </w:p>
        </w:tc>
        <w:tc>
          <w:tcPr>
            <w:tcW w:w="21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25" w:name="sF55154F6A5032D79B110A41247BCB08C"/>
      <w:bookmarkStart w:id="26" w:name="sF55154F6A5032D79B110A41247BCB08C"/>
      <w:bookmarkEnd w:id="26"/>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24</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K: Allowance for Losses and Credit Quality of Financing Receivables</w:t>
      </w:r>
    </w:p>
    <w:p>
      <w:pPr>
        <w:pStyle w:val="TextBody"/>
        <w:spacing w:lineRule="auto" w:line="288" w:before="0" w:after="0"/>
        <w:rPr>
          <w:rFonts w:ascii="inherit" w:hAnsi="inherit"/>
          <w:sz w:val="17"/>
        </w:rPr>
      </w:pPr>
      <w:r>
        <w:rPr>
          <w:rFonts w:ascii="inherit" w:hAnsi="inherit"/>
          <w:sz w:val="17"/>
        </w:rPr>
        <w:t>We offer a variety of loan products and credit services to customers who do not have cash resources or access to credit to meet their cash needs. Our customers are considered to be in a higher risk pool with regard to creditworthiness when compared to those of typical financial institutions. As a result, our receivables do not have a credit risk profile that can easily be measured by the normal credit quality indicators used by the financial markets. We manage the risk through closely monitoring the performance of the portfolio and through our underwriting process. This process includes review of customer information, such as making a credit reporting agency inquiry, evaluating and verifying income sources and levels, verifying employment and verifying a telephone number where customers may be contacted. For auto title loans, we additionally inspect the automobile, title and reference to market values of used automobiles.</w:t>
      </w:r>
    </w:p>
    <w:p>
      <w:pPr>
        <w:pStyle w:val="TextBody"/>
        <w:spacing w:lineRule="auto" w:line="288" w:before="0" w:after="0"/>
        <w:rPr>
          <w:rFonts w:ascii="inherit" w:hAnsi="inherit"/>
          <w:sz w:val="17"/>
        </w:rPr>
      </w:pPr>
      <w:r>
        <w:rPr>
          <w:rFonts w:ascii="inherit" w:hAnsi="inherit"/>
          <w:sz w:val="17"/>
        </w:rPr>
        <w:t>We consider consumer loans made by our wholly owned subsidiaries defaulted if they have not been repaid or renewed by the maturity date. If one payment of an installment loan is delinquent, that one payment is considered defaulted. If more than one installment payment is delinquent at any time, the entire installment loan is considered defaulted. Although defaulted loans may be collected later, we charge the loan principal to consumer loan bad debt upon default, leaving only active loans in the reported balance. Accrued fees related to defaulted loans reduce fee revenue upon loan default, and increase fee revenue upon collection.</w:t>
      </w:r>
    </w:p>
    <w:p>
      <w:pPr>
        <w:pStyle w:val="TextBody"/>
        <w:spacing w:lineRule="auto" w:line="288" w:before="0" w:after="0"/>
        <w:rPr>
          <w:rFonts w:ascii="inherit" w:hAnsi="inherit"/>
          <w:sz w:val="17"/>
        </w:rPr>
      </w:pPr>
      <w:r>
        <w:rPr>
          <w:rFonts w:ascii="inherit" w:hAnsi="inherit"/>
          <w:sz w:val="17"/>
        </w:rPr>
        <w:t>Based on historical collection experience, the age of past-due loans and amounts we expect to receive through the sale of repossessed vehicles, we provide an allowance for losses on auto title loans.</w:t>
      </w:r>
    </w:p>
    <w:p>
      <w:pPr>
        <w:pStyle w:val="TextBody"/>
        <w:spacing w:lineRule="auto" w:line="288" w:before="0" w:after="0"/>
        <w:rPr>
          <w:rFonts w:ascii="inherit" w:hAnsi="inherit"/>
          <w:sz w:val="17"/>
        </w:rPr>
      </w:pPr>
      <w:r>
        <w:rPr>
          <w:rFonts w:ascii="inherit" w:hAnsi="inherit"/>
          <w:sz w:val="17"/>
        </w:rPr>
        <w:t>The Crediamigo acquisition marked our initial entry into unsecured consumer lending in Mexico. Crediamigo consumer loans are considered defaulted once the customer is no longer employed, and therefore we are no longer entitled to payments via payroll withholdings. Once we receive notice that the customer’s employment has been terminated, we charge the loan principal to consumer loan bad debt, leaving only active loans in the reported balance. Accrued fees related to defaulted loans reduce fee revenue upon default, and increase fee revenue upon collection.</w:t>
      </w:r>
    </w:p>
    <w:p>
      <w:pPr>
        <w:pStyle w:val="TextBody"/>
        <w:spacing w:lineRule="auto" w:line="288" w:before="0" w:after="0"/>
        <w:rPr>
          <w:rFonts w:ascii="inherit" w:hAnsi="inherit"/>
          <w:sz w:val="17"/>
        </w:rPr>
      </w:pPr>
      <w:r>
        <w:rPr>
          <w:rFonts w:ascii="inherit" w:hAnsi="inherit"/>
          <w:sz w:val="17"/>
        </w:rPr>
        <w:t>The accuracy of our allowance estimates is dependent upon several factors, including our ability to predict future default rates based on historical trends and expected future events. We base our estimates on observable trends and various other assumptions that we believe to be reasonable under the circumstances.</w:t>
      </w:r>
    </w:p>
    <w:p>
      <w:pPr>
        <w:pStyle w:val="TextBody"/>
        <w:spacing w:lineRule="auto" w:line="288" w:before="0" w:after="0"/>
        <w:rPr>
          <w:rFonts w:ascii="inherit" w:hAnsi="inherit"/>
          <w:sz w:val="17"/>
        </w:rPr>
      </w:pPr>
      <w:r>
        <w:rPr>
          <w:rFonts w:ascii="inherit" w:hAnsi="inherit"/>
          <w:sz w:val="17"/>
        </w:rPr>
        <w:t>The following table presents changes in the allowance for credit losses as well as the recorded investment in our financing receivables by portfolio segment for the periods presented:</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192"/>
        <w:gridCol w:w="166"/>
        <w:gridCol w:w="716"/>
        <w:gridCol w:w="70"/>
        <w:gridCol w:w="172"/>
        <w:gridCol w:w="142"/>
        <w:gridCol w:w="777"/>
        <w:gridCol w:w="144"/>
        <w:gridCol w:w="116"/>
        <w:gridCol w:w="162"/>
        <w:gridCol w:w="805"/>
        <w:gridCol w:w="69"/>
        <w:gridCol w:w="116"/>
        <w:gridCol w:w="141"/>
        <w:gridCol w:w="707"/>
        <w:gridCol w:w="64"/>
        <w:gridCol w:w="116"/>
        <w:gridCol w:w="218"/>
        <w:gridCol w:w="640"/>
        <w:gridCol w:w="220"/>
        <w:gridCol w:w="116"/>
        <w:gridCol w:w="166"/>
        <w:gridCol w:w="716"/>
        <w:gridCol w:w="70"/>
        <w:gridCol w:w="116"/>
        <w:gridCol w:w="135"/>
        <w:gridCol w:w="679"/>
        <w:gridCol w:w="454"/>
      </w:tblGrid>
      <w:tr>
        <w:trPr/>
        <w:tc>
          <w:tcPr>
            <w:tcW w:w="10205" w:type="dxa"/>
            <w:gridSpan w:val="28"/>
            <w:tcBorders/>
            <w:shd w:fill="auto" w:val="clear"/>
            <w:vAlign w:val="center"/>
          </w:tcPr>
          <w:p>
            <w:pPr>
              <w:pStyle w:val="TableContents"/>
              <w:spacing w:before="0" w:after="283"/>
              <w:rPr>
                <w:sz w:val="4"/>
                <w:szCs w:val="4"/>
              </w:rPr>
            </w:pPr>
            <w:r>
              <w:rPr>
                <w:sz w:val="4"/>
                <w:szCs w:val="4"/>
              </w:rPr>
            </w:r>
          </w:p>
        </w:tc>
      </w:tr>
      <w:tr>
        <w:trPr/>
        <w:tc>
          <w:tcPr>
            <w:tcW w:w="2192"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77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2"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69"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707" w:type="dxa"/>
            <w:tcBorders/>
            <w:shd w:fill="auto" w:val="clear"/>
            <w:vAlign w:val="center"/>
          </w:tcPr>
          <w:p>
            <w:pPr>
              <w:pStyle w:val="TableContents"/>
              <w:spacing w:before="0" w:after="283"/>
              <w:rPr>
                <w:sz w:val="4"/>
                <w:szCs w:val="4"/>
              </w:rPr>
            </w:pPr>
            <w:r>
              <w:rPr>
                <w:sz w:val="4"/>
                <w:szCs w:val="4"/>
              </w:rPr>
            </w:r>
          </w:p>
        </w:tc>
        <w:tc>
          <w:tcPr>
            <w:tcW w:w="6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4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716" w:type="dxa"/>
            <w:tcBorders/>
            <w:shd w:fill="auto" w:val="clear"/>
            <w:vAlign w:val="center"/>
          </w:tcPr>
          <w:p>
            <w:pPr>
              <w:pStyle w:val="TableContents"/>
              <w:spacing w:before="0" w:after="283"/>
              <w:rPr>
                <w:sz w:val="4"/>
                <w:szCs w:val="4"/>
              </w:rPr>
            </w:pPr>
            <w:r>
              <w:rPr>
                <w:sz w:val="4"/>
                <w:szCs w:val="4"/>
              </w:rPr>
            </w:r>
          </w:p>
        </w:tc>
        <w:tc>
          <w:tcPr>
            <w:tcW w:w="70"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679"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19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Description</w:t>
            </w:r>
          </w:p>
        </w:tc>
        <w:tc>
          <w:tcPr>
            <w:tcW w:w="9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Allowance</w:t>
            </w:r>
          </w:p>
          <w:p>
            <w:pPr>
              <w:pStyle w:val="TableContents"/>
              <w:spacing w:before="0" w:after="0"/>
              <w:jc w:val="center"/>
              <w:rPr>
                <w:rFonts w:ascii="inherit" w:hAnsi="inherit"/>
                <w:sz w:val="13"/>
              </w:rPr>
            </w:pPr>
            <w:r>
              <w:rPr>
                <w:rFonts w:ascii="inherit" w:hAnsi="inherit"/>
                <w:sz w:val="13"/>
              </w:rPr>
              <w:t>Balance at</w:t>
            </w:r>
          </w:p>
          <w:p>
            <w:pPr>
              <w:pStyle w:val="TableContents"/>
              <w:spacing w:before="0" w:after="0"/>
              <w:jc w:val="center"/>
              <w:rPr>
                <w:rFonts w:ascii="inherit" w:hAnsi="inherit"/>
                <w:sz w:val="13"/>
              </w:rPr>
            </w:pPr>
            <w:r>
              <w:rPr>
                <w:rFonts w:ascii="inherit" w:hAnsi="inherit"/>
                <w:sz w:val="13"/>
              </w:rPr>
              <w:t>Beginning</w:t>
            </w:r>
          </w:p>
          <w:p>
            <w:pPr>
              <w:pStyle w:val="TableContents"/>
              <w:spacing w:before="0" w:after="0"/>
              <w:ind w:left="0" w:right="0" w:firstLine="30"/>
              <w:jc w:val="center"/>
              <w:rPr>
                <w:rFonts w:ascii="inherit" w:hAnsi="inherit"/>
                <w:sz w:val="13"/>
              </w:rPr>
            </w:pPr>
            <w:r>
              <w:rPr>
                <w:rFonts w:ascii="inherit" w:hAnsi="inherit"/>
                <w:sz w:val="13"/>
              </w:rPr>
              <w:t>of Period</w:t>
            </w:r>
          </w:p>
        </w:tc>
        <w:tc>
          <w:tcPr>
            <w:tcW w:w="172" w:type="dxa"/>
            <w:tcBorders/>
            <w:shd w:fill="auto" w:val="clear"/>
            <w:vAlign w:val="center"/>
          </w:tcPr>
          <w:p>
            <w:pPr>
              <w:pStyle w:val="TableContents"/>
              <w:spacing w:before="0" w:after="0"/>
              <w:ind w:left="0" w:right="0" w:firstLine="30"/>
              <w:rPr/>
            </w:pPr>
            <w:r>
              <w:rPr/>
              <w:t> </w:t>
            </w:r>
          </w:p>
        </w:tc>
        <w:tc>
          <w:tcPr>
            <w:tcW w:w="106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Charge-offs</w:t>
            </w:r>
          </w:p>
        </w:tc>
        <w:tc>
          <w:tcPr>
            <w:tcW w:w="116" w:type="dxa"/>
            <w:tcBorders/>
            <w:shd w:fill="auto" w:val="clear"/>
            <w:vAlign w:val="center"/>
          </w:tcPr>
          <w:p>
            <w:pPr>
              <w:pStyle w:val="TableContents"/>
              <w:spacing w:before="0" w:after="0"/>
              <w:ind w:left="0" w:right="0" w:firstLine="30"/>
              <w:rPr/>
            </w:pPr>
            <w:r>
              <w:rPr/>
              <w:t> </w:t>
            </w:r>
          </w:p>
        </w:tc>
        <w:tc>
          <w:tcPr>
            <w:tcW w:w="10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Recoveries</w:t>
            </w:r>
          </w:p>
        </w:tc>
        <w:tc>
          <w:tcPr>
            <w:tcW w:w="116" w:type="dxa"/>
            <w:tcBorders/>
            <w:shd w:fill="auto" w:val="clear"/>
            <w:vAlign w:val="center"/>
          </w:tcPr>
          <w:p>
            <w:pPr>
              <w:pStyle w:val="TableContents"/>
              <w:spacing w:before="0" w:after="0"/>
              <w:ind w:left="0" w:right="0" w:firstLine="30"/>
              <w:rPr/>
            </w:pPr>
            <w:r>
              <w:rPr/>
              <w:t> </w:t>
            </w:r>
          </w:p>
        </w:tc>
        <w:tc>
          <w:tcPr>
            <w:tcW w:w="9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Provision</w:t>
            </w:r>
          </w:p>
        </w:tc>
        <w:tc>
          <w:tcPr>
            <w:tcW w:w="116" w:type="dxa"/>
            <w:tcBorders/>
            <w:shd w:fill="auto" w:val="clear"/>
            <w:vAlign w:val="center"/>
          </w:tcPr>
          <w:p>
            <w:pPr>
              <w:pStyle w:val="TableContents"/>
              <w:spacing w:before="0" w:after="0"/>
              <w:ind w:left="0" w:right="0" w:firstLine="30"/>
              <w:rPr/>
            </w:pPr>
            <w:r>
              <w:rPr/>
              <w:t> </w:t>
            </w:r>
          </w:p>
        </w:tc>
        <w:tc>
          <w:tcPr>
            <w:tcW w:w="1078" w:type="dxa"/>
            <w:gridSpan w:val="3"/>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sz w:val="13"/>
              </w:rPr>
            </w:pPr>
            <w:r>
              <w:rPr>
                <w:rFonts w:ascii="inherit" w:hAnsi="inherit"/>
                <w:sz w:val="13"/>
              </w:rPr>
              <w:t>Translation Adjustment</w:t>
            </w:r>
          </w:p>
        </w:tc>
        <w:tc>
          <w:tcPr>
            <w:tcW w:w="116"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5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Allowance</w:t>
            </w:r>
          </w:p>
          <w:p>
            <w:pPr>
              <w:pStyle w:val="TableContents"/>
              <w:spacing w:before="0" w:after="0"/>
              <w:jc w:val="center"/>
              <w:rPr>
                <w:rFonts w:ascii="inherit" w:hAnsi="inherit"/>
                <w:sz w:val="13"/>
              </w:rPr>
            </w:pPr>
            <w:r>
              <w:rPr>
                <w:rFonts w:ascii="inherit" w:hAnsi="inherit"/>
                <w:sz w:val="13"/>
              </w:rPr>
              <w:t>Balance at</w:t>
            </w:r>
          </w:p>
          <w:p>
            <w:pPr>
              <w:pStyle w:val="TableContents"/>
              <w:spacing w:before="0" w:after="0"/>
              <w:jc w:val="center"/>
              <w:rPr>
                <w:rFonts w:ascii="inherit" w:hAnsi="inherit"/>
                <w:sz w:val="13"/>
              </w:rPr>
            </w:pPr>
            <w:r>
              <w:rPr>
                <w:rFonts w:ascii="inherit" w:hAnsi="inherit"/>
                <w:sz w:val="13"/>
              </w:rPr>
              <w:t>End of</w:t>
            </w:r>
          </w:p>
          <w:p>
            <w:pPr>
              <w:pStyle w:val="TableContents"/>
              <w:spacing w:before="0" w:after="0"/>
              <w:ind w:left="0" w:right="0" w:firstLine="30"/>
              <w:jc w:val="center"/>
              <w:rPr>
                <w:rFonts w:ascii="inherit" w:hAnsi="inherit"/>
                <w:sz w:val="13"/>
              </w:rPr>
            </w:pPr>
            <w:r>
              <w:rPr>
                <w:rFonts w:ascii="inherit" w:hAnsi="inherit"/>
                <w:sz w:val="13"/>
              </w:rPr>
              <w:t>Period</w:t>
            </w:r>
          </w:p>
        </w:tc>
        <w:tc>
          <w:tcPr>
            <w:tcW w:w="116" w:type="dxa"/>
            <w:tcBorders/>
            <w:shd w:fill="auto" w:val="clear"/>
            <w:vAlign w:val="center"/>
          </w:tcPr>
          <w:p>
            <w:pPr>
              <w:pStyle w:val="TableContents"/>
              <w:spacing w:before="0" w:after="0"/>
              <w:ind w:left="0" w:right="0" w:firstLine="30"/>
              <w:rPr/>
            </w:pPr>
            <w:r>
              <w:rPr/>
              <w:t> </w:t>
            </w:r>
          </w:p>
        </w:tc>
        <w:tc>
          <w:tcPr>
            <w:tcW w:w="126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Financing</w:t>
            </w:r>
          </w:p>
          <w:p>
            <w:pPr>
              <w:pStyle w:val="TableContents"/>
              <w:spacing w:before="0" w:after="0"/>
              <w:jc w:val="center"/>
              <w:rPr>
                <w:rFonts w:ascii="inherit" w:hAnsi="inherit"/>
                <w:sz w:val="13"/>
              </w:rPr>
            </w:pPr>
            <w:r>
              <w:rPr>
                <w:rFonts w:ascii="inherit" w:hAnsi="inherit"/>
                <w:sz w:val="13"/>
              </w:rPr>
              <w:t>Receivable</w:t>
            </w:r>
          </w:p>
          <w:p>
            <w:pPr>
              <w:pStyle w:val="TableContents"/>
              <w:spacing w:before="0" w:after="0"/>
              <w:jc w:val="center"/>
              <w:rPr>
                <w:rFonts w:ascii="inherit" w:hAnsi="inherit"/>
                <w:sz w:val="13"/>
              </w:rPr>
            </w:pPr>
            <w:r>
              <w:rPr>
                <w:rFonts w:ascii="inherit" w:hAnsi="inherit"/>
                <w:sz w:val="13"/>
              </w:rPr>
              <w:t>at End of</w:t>
            </w:r>
          </w:p>
          <w:p>
            <w:pPr>
              <w:pStyle w:val="TableContents"/>
              <w:spacing w:before="0" w:after="0"/>
              <w:ind w:left="0" w:right="0" w:firstLine="30"/>
              <w:jc w:val="center"/>
              <w:rPr>
                <w:rFonts w:ascii="inherit" w:hAnsi="inherit"/>
                <w:sz w:val="13"/>
              </w:rPr>
            </w:pPr>
            <w:r>
              <w:rPr>
                <w:rFonts w:ascii="inherit" w:hAnsi="inherit"/>
                <w:sz w:val="13"/>
              </w:rPr>
              <w:t>Period</w:t>
            </w:r>
          </w:p>
        </w:tc>
      </w:tr>
      <w:tr>
        <w:trPr/>
        <w:tc>
          <w:tcPr>
            <w:tcW w:w="2192" w:type="dxa"/>
            <w:tcBorders/>
            <w:shd w:fill="auto" w:val="clear"/>
            <w:vAlign w:val="center"/>
          </w:tcPr>
          <w:p>
            <w:pPr>
              <w:pStyle w:val="TableContents"/>
              <w:spacing w:before="0" w:after="0"/>
              <w:ind w:left="0" w:right="0" w:firstLine="30"/>
              <w:jc w:val="left"/>
              <w:rPr/>
            </w:pPr>
            <w:r>
              <w:rPr/>
              <w:t> </w:t>
            </w:r>
          </w:p>
        </w:tc>
        <w:tc>
          <w:tcPr>
            <w:tcW w:w="8013" w:type="dxa"/>
            <w:gridSpan w:val="2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192"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short-term consumer loans:</w:t>
            </w:r>
          </w:p>
        </w:tc>
        <w:tc>
          <w:tcPr>
            <w:tcW w:w="952" w:type="dxa"/>
            <w:gridSpan w:val="3"/>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03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912"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078"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952"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420"/>
              <w:rPr/>
            </w:pPr>
            <w:r>
              <w:rPr/>
              <w:t> </w:t>
            </w:r>
          </w:p>
        </w:tc>
      </w:tr>
      <w:tr>
        <w:trPr/>
        <w:tc>
          <w:tcPr>
            <w:tcW w:w="21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2012</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2,118</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auto" w:val="clear"/>
            <w:vAlign w:val="center"/>
          </w:tcPr>
          <w:p>
            <w:pPr>
              <w:pStyle w:val="TableContents"/>
              <w:spacing w:before="0" w:after="0"/>
              <w:jc w:val="right"/>
              <w:rPr>
                <w:rFonts w:ascii="inherit" w:hAnsi="inherit"/>
                <w:sz w:val="15"/>
              </w:rPr>
            </w:pPr>
            <w:r>
              <w:rPr>
                <w:rFonts w:ascii="inherit" w:hAnsi="inherit"/>
                <w:sz w:val="15"/>
              </w:rPr>
              <w:t>(8,900</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3,974</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auto" w:val="clear"/>
            <w:vAlign w:val="center"/>
          </w:tcPr>
          <w:p>
            <w:pPr>
              <w:pStyle w:val="TableContents"/>
              <w:spacing w:before="0" w:after="0"/>
              <w:jc w:val="right"/>
              <w:rPr>
                <w:rFonts w:ascii="inherit" w:hAnsi="inherit"/>
                <w:sz w:val="15"/>
              </w:rPr>
            </w:pPr>
            <w:r>
              <w:rPr>
                <w:rFonts w:ascii="inherit" w:hAnsi="inherit"/>
                <w:sz w:val="15"/>
              </w:rPr>
              <w:t>5,047</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2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2,227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17,640</w:t>
            </w:r>
          </w:p>
        </w:tc>
        <w:tc>
          <w:tcPr>
            <w:tcW w:w="45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2011</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1,110</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(4,747</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CEEFF" w:val="clear"/>
            <w:vAlign w:val="center"/>
          </w:tcPr>
          <w:p>
            <w:pPr>
              <w:pStyle w:val="TableContents"/>
              <w:spacing w:before="0" w:after="0"/>
              <w:jc w:val="right"/>
              <w:rPr>
                <w:rFonts w:ascii="inherit" w:hAnsi="inherit"/>
                <w:sz w:val="15"/>
              </w:rPr>
            </w:pPr>
            <w:r>
              <w:rPr>
                <w:rFonts w:ascii="inherit" w:hAnsi="inherit"/>
                <w:sz w:val="15"/>
              </w:rPr>
              <w:t>1,505</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CCEEFF" w:val="clear"/>
            <w:vAlign w:val="center"/>
          </w:tcPr>
          <w:p>
            <w:pPr>
              <w:pStyle w:val="TableContents"/>
              <w:spacing w:before="0" w:after="0"/>
              <w:jc w:val="right"/>
              <w:rPr>
                <w:rFonts w:ascii="inherit" w:hAnsi="inherit"/>
                <w:sz w:val="15"/>
              </w:rPr>
            </w:pPr>
            <w:r>
              <w:rPr>
                <w:rFonts w:ascii="inherit" w:hAnsi="inherit"/>
                <w:sz w:val="15"/>
              </w:rPr>
              <w:t>3,796</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pPr>
            <w:r>
              <w:rPr/>
              <w:t>—</w:t>
            </w:r>
          </w:p>
        </w:tc>
        <w:tc>
          <w:tcPr>
            <w:tcW w:w="2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1,664</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13,753</w:t>
            </w:r>
          </w:p>
        </w:tc>
        <w:tc>
          <w:tcPr>
            <w:tcW w:w="45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2012</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2,404</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auto" w:val="clear"/>
            <w:vAlign w:val="center"/>
          </w:tcPr>
          <w:p>
            <w:pPr>
              <w:pStyle w:val="TableContents"/>
              <w:spacing w:before="0" w:after="0"/>
              <w:jc w:val="right"/>
              <w:rPr>
                <w:rFonts w:ascii="inherit" w:hAnsi="inherit"/>
                <w:sz w:val="15"/>
              </w:rPr>
            </w:pPr>
            <w:r>
              <w:rPr>
                <w:rFonts w:ascii="inherit" w:hAnsi="inherit"/>
                <w:sz w:val="15"/>
              </w:rPr>
              <w:t>(17,853</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7,676</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auto" w:val="clear"/>
            <w:vAlign w:val="center"/>
          </w:tcPr>
          <w:p>
            <w:pPr>
              <w:pStyle w:val="TableContents"/>
              <w:spacing w:before="0" w:after="0"/>
              <w:jc w:val="right"/>
              <w:rPr>
                <w:rFonts w:ascii="inherit" w:hAnsi="inherit"/>
                <w:sz w:val="15"/>
              </w:rPr>
            </w:pPr>
            <w:r>
              <w:rPr>
                <w:rFonts w:ascii="inherit" w:hAnsi="inherit"/>
                <w:sz w:val="15"/>
              </w:rPr>
              <w:t>10,012</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auto" w:val="clear"/>
            <w:vAlign w:val="center"/>
          </w:tcPr>
          <w:p>
            <w:pPr>
              <w:pStyle w:val="TableContents"/>
              <w:spacing w:before="0" w:after="0"/>
              <w:jc w:val="right"/>
              <w:rPr>
                <w:rFonts w:ascii="inherit" w:hAnsi="inherit"/>
                <w:sz w:val="15"/>
              </w:rPr>
            </w:pPr>
            <w:r>
              <w:rPr>
                <w:rFonts w:ascii="inherit" w:hAnsi="inherit"/>
                <w:sz w:val="15"/>
              </w:rPr>
              <w:t>(12</w:t>
            </w:r>
          </w:p>
        </w:tc>
        <w:tc>
          <w:tcPr>
            <w:tcW w:w="2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2,227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17,640</w:t>
            </w:r>
          </w:p>
        </w:tc>
        <w:tc>
          <w:tcPr>
            <w:tcW w:w="45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2011</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750</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(12,992</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CEEFF" w:val="clear"/>
            <w:vAlign w:val="center"/>
          </w:tcPr>
          <w:p>
            <w:pPr>
              <w:pStyle w:val="TableContents"/>
              <w:spacing w:before="0" w:after="0"/>
              <w:jc w:val="right"/>
              <w:rPr>
                <w:rFonts w:ascii="inherit" w:hAnsi="inherit"/>
                <w:sz w:val="15"/>
              </w:rPr>
            </w:pPr>
            <w:r>
              <w:rPr>
                <w:rFonts w:ascii="inherit" w:hAnsi="inherit"/>
                <w:sz w:val="15"/>
              </w:rPr>
              <w:t>4,575</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CCEEFF" w:val="clear"/>
            <w:vAlign w:val="center"/>
          </w:tcPr>
          <w:p>
            <w:pPr>
              <w:pStyle w:val="TableContents"/>
              <w:spacing w:before="0" w:after="0"/>
              <w:jc w:val="right"/>
              <w:rPr>
                <w:rFonts w:ascii="inherit" w:hAnsi="inherit"/>
                <w:sz w:val="15"/>
              </w:rPr>
            </w:pPr>
            <w:r>
              <w:rPr>
                <w:rFonts w:ascii="inherit" w:hAnsi="inherit"/>
                <w:sz w:val="15"/>
              </w:rPr>
              <w:t>9,331</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pPr>
            <w:r>
              <w:rPr/>
              <w:t>—</w:t>
            </w:r>
          </w:p>
        </w:tc>
        <w:tc>
          <w:tcPr>
            <w:tcW w:w="2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1,664</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13,753</w:t>
            </w:r>
          </w:p>
        </w:tc>
        <w:tc>
          <w:tcPr>
            <w:tcW w:w="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2" w:type="dxa"/>
            <w:tcBorders/>
            <w:shd w:fill="auto" w:val="clear"/>
            <w:vAlign w:val="center"/>
          </w:tcPr>
          <w:p>
            <w:pPr>
              <w:pStyle w:val="TableContents"/>
              <w:spacing w:before="0" w:after="0"/>
              <w:ind w:left="0" w:right="0" w:firstLine="30"/>
              <w:jc w:val="left"/>
              <w:rPr>
                <w:rFonts w:ascii="inherit" w:hAnsi="inherit"/>
                <w:b/>
                <w:sz w:val="15"/>
              </w:rPr>
            </w:pPr>
            <w:r>
              <w:rPr>
                <w:rFonts w:ascii="inherit" w:hAnsi="inherit"/>
                <w:b/>
                <w:sz w:val="15"/>
              </w:rPr>
              <w:t>Secured short-term consumer loans:</w:t>
            </w:r>
          </w:p>
        </w:tc>
        <w:tc>
          <w:tcPr>
            <w:tcW w:w="952" w:type="dxa"/>
            <w:gridSpan w:val="3"/>
            <w:tcBorders/>
            <w:shd w:fill="auto" w:val="clear"/>
            <w:vAlign w:val="center"/>
          </w:tcPr>
          <w:p>
            <w:pPr>
              <w:pStyle w:val="TableContents"/>
              <w:spacing w:before="0" w:after="0"/>
              <w:ind w:left="0" w:right="0" w:firstLine="30"/>
              <w:rPr/>
            </w:pPr>
            <w:r>
              <w:rPr/>
              <w:t> </w:t>
            </w:r>
          </w:p>
        </w:tc>
        <w:tc>
          <w:tcPr>
            <w:tcW w:w="172" w:type="dxa"/>
            <w:tcBorders/>
            <w:shd w:fill="auto" w:val="clear"/>
            <w:vAlign w:val="center"/>
          </w:tcPr>
          <w:p>
            <w:pPr>
              <w:pStyle w:val="TableContents"/>
              <w:spacing w:before="0" w:after="0"/>
              <w:ind w:left="0" w:right="0" w:firstLine="30"/>
              <w:rPr/>
            </w:pPr>
            <w:r>
              <w:rPr/>
              <w:t> </w:t>
            </w:r>
          </w:p>
        </w:tc>
        <w:tc>
          <w:tcPr>
            <w:tcW w:w="1063"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03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912"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078"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952"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68" w:type="dxa"/>
            <w:gridSpan w:val="3"/>
            <w:tcBorders/>
            <w:shd w:fill="auto" w:val="clear"/>
            <w:vAlign w:val="center"/>
          </w:tcPr>
          <w:p>
            <w:pPr>
              <w:pStyle w:val="TableContents"/>
              <w:spacing w:before="0" w:after="0"/>
              <w:ind w:left="0" w:right="0" w:firstLine="420"/>
              <w:rPr/>
            </w:pPr>
            <w:r>
              <w:rPr/>
              <w:t> </w:t>
            </w:r>
          </w:p>
        </w:tc>
      </w:tr>
      <w:tr>
        <w:trPr/>
        <w:tc>
          <w:tcPr>
            <w:tcW w:w="21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2012</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708</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(5,410</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CEEFF" w:val="clear"/>
            <w:vAlign w:val="center"/>
          </w:tcPr>
          <w:p>
            <w:pPr>
              <w:pStyle w:val="TableContents"/>
              <w:spacing w:before="0" w:after="0"/>
              <w:jc w:val="right"/>
              <w:rPr>
                <w:rFonts w:ascii="inherit" w:hAnsi="inherit"/>
                <w:sz w:val="15"/>
              </w:rPr>
            </w:pPr>
            <w:r>
              <w:rPr>
                <w:rFonts w:ascii="inherit" w:hAnsi="inherit"/>
                <w:sz w:val="15"/>
              </w:rPr>
              <w:t>4,836</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CCEEFF" w:val="clear"/>
            <w:vAlign w:val="center"/>
          </w:tcPr>
          <w:p>
            <w:pPr>
              <w:pStyle w:val="TableContents"/>
              <w:spacing w:before="0" w:after="0"/>
              <w:jc w:val="right"/>
              <w:rPr>
                <w:rFonts w:ascii="inherit" w:hAnsi="inherit"/>
                <w:sz w:val="15"/>
              </w:rPr>
            </w:pPr>
            <w:r>
              <w:rPr>
                <w:rFonts w:ascii="inherit" w:hAnsi="inherit"/>
                <w:sz w:val="15"/>
              </w:rPr>
              <w:t>462</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pPr>
            <w:r>
              <w:rPr/>
              <w:t>—</w:t>
            </w:r>
          </w:p>
        </w:tc>
        <w:tc>
          <w:tcPr>
            <w:tcW w:w="2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596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4,267</w:t>
            </w:r>
          </w:p>
        </w:tc>
        <w:tc>
          <w:tcPr>
            <w:tcW w:w="45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2011</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810</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auto" w:val="clear"/>
            <w:vAlign w:val="center"/>
          </w:tcPr>
          <w:p>
            <w:pPr>
              <w:pStyle w:val="TableContents"/>
              <w:spacing w:before="0" w:after="0"/>
              <w:jc w:val="right"/>
              <w:rPr>
                <w:rFonts w:ascii="inherit" w:hAnsi="inherit"/>
                <w:sz w:val="15"/>
              </w:rPr>
            </w:pPr>
            <w:r>
              <w:rPr>
                <w:rFonts w:ascii="inherit" w:hAnsi="inherit"/>
                <w:sz w:val="15"/>
              </w:rPr>
              <w:t>(2,800</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2,074</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auto" w:val="clear"/>
            <w:vAlign w:val="center"/>
          </w:tcPr>
          <w:p>
            <w:pPr>
              <w:pStyle w:val="TableContents"/>
              <w:spacing w:before="0" w:after="0"/>
              <w:jc w:val="right"/>
              <w:rPr>
                <w:rFonts w:ascii="inherit" w:hAnsi="inherit"/>
                <w:sz w:val="15"/>
              </w:rPr>
            </w:pPr>
            <w:r>
              <w:rPr>
                <w:rFonts w:ascii="inherit" w:hAnsi="inherit"/>
                <w:sz w:val="15"/>
              </w:rPr>
              <w:t>489</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auto" w:val="clear"/>
            <w:vAlign w:val="center"/>
          </w:tcPr>
          <w:p>
            <w:pPr>
              <w:pStyle w:val="TableContents"/>
              <w:spacing w:before="0" w:after="0"/>
              <w:jc w:val="right"/>
              <w:rPr/>
            </w:pPr>
            <w:r>
              <w:rPr/>
              <w:t>—</w:t>
            </w:r>
          </w:p>
        </w:tc>
        <w:tc>
          <w:tcPr>
            <w:tcW w:w="2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573</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2,921</w:t>
            </w:r>
          </w:p>
        </w:tc>
        <w:tc>
          <w:tcPr>
            <w:tcW w:w="45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2012</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538</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CCEEFF" w:val="clear"/>
            <w:vAlign w:val="center"/>
          </w:tcPr>
          <w:p>
            <w:pPr>
              <w:pStyle w:val="TableContents"/>
              <w:spacing w:before="0" w:after="0"/>
              <w:ind w:left="0" w:right="0" w:firstLine="30"/>
              <w:jc w:val="left"/>
              <w:rPr/>
            </w:pPr>
            <w:r>
              <w:rPr/>
              <w:t>  </w:t>
            </w:r>
          </w:p>
        </w:tc>
        <w:tc>
          <w:tcPr>
            <w:tcW w:w="14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(13,177</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CEEFF" w:val="clear"/>
            <w:vAlign w:val="center"/>
          </w:tcPr>
          <w:p>
            <w:pPr>
              <w:pStyle w:val="TableContents"/>
              <w:spacing w:before="0" w:after="0"/>
              <w:jc w:val="right"/>
              <w:rPr>
                <w:rFonts w:ascii="inherit" w:hAnsi="inherit"/>
                <w:sz w:val="15"/>
              </w:rPr>
            </w:pPr>
            <w:r>
              <w:rPr>
                <w:rFonts w:ascii="inherit" w:hAnsi="inherit"/>
                <w:sz w:val="15"/>
              </w:rPr>
              <w:t>11,478</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CCEEFF" w:val="clear"/>
            <w:vAlign w:val="center"/>
          </w:tcPr>
          <w:p>
            <w:pPr>
              <w:pStyle w:val="TableContents"/>
              <w:spacing w:before="0" w:after="0"/>
              <w:jc w:val="right"/>
              <w:rPr>
                <w:rFonts w:ascii="inherit" w:hAnsi="inherit"/>
                <w:sz w:val="15"/>
              </w:rPr>
            </w:pPr>
            <w:r>
              <w:rPr>
                <w:rFonts w:ascii="inherit" w:hAnsi="inherit"/>
                <w:sz w:val="15"/>
              </w:rPr>
              <w:t>1,757</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pPr>
            <w:r>
              <w:rPr/>
              <w:t>—</w:t>
            </w:r>
          </w:p>
        </w:tc>
        <w:tc>
          <w:tcPr>
            <w:tcW w:w="22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596</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4,267</w:t>
            </w:r>
          </w:p>
        </w:tc>
        <w:tc>
          <w:tcPr>
            <w:tcW w:w="45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2011</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1,137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auto" w:val="clear"/>
            <w:vAlign w:val="center"/>
          </w:tcPr>
          <w:p>
            <w:pPr>
              <w:pStyle w:val="TableContents"/>
              <w:spacing w:before="0" w:after="0"/>
              <w:ind w:left="0" w:right="0" w:firstLine="30"/>
              <w:jc w:val="left"/>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auto" w:val="clear"/>
            <w:vAlign w:val="center"/>
          </w:tcPr>
          <w:p>
            <w:pPr>
              <w:pStyle w:val="TableContents"/>
              <w:spacing w:before="0" w:after="0"/>
              <w:jc w:val="right"/>
              <w:rPr>
                <w:rFonts w:ascii="inherit" w:hAnsi="inherit"/>
                <w:sz w:val="15"/>
              </w:rPr>
            </w:pPr>
            <w:r>
              <w:rPr>
                <w:rFonts w:ascii="inherit" w:hAnsi="inherit"/>
                <w:sz w:val="15"/>
              </w:rPr>
              <w:t>(9,682</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7,646</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auto" w:val="clear"/>
            <w:vAlign w:val="center"/>
          </w:tcPr>
          <w:p>
            <w:pPr>
              <w:pStyle w:val="TableContents"/>
              <w:spacing w:before="0" w:after="0"/>
              <w:jc w:val="right"/>
              <w:rPr>
                <w:rFonts w:ascii="inherit" w:hAnsi="inherit"/>
                <w:sz w:val="15"/>
              </w:rPr>
            </w:pPr>
            <w:r>
              <w:rPr>
                <w:rFonts w:ascii="inherit" w:hAnsi="inherit"/>
                <w:sz w:val="15"/>
              </w:rPr>
              <w:t>1,472</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auto" w:val="clear"/>
            <w:vAlign w:val="center"/>
          </w:tcPr>
          <w:p>
            <w:pPr>
              <w:pStyle w:val="TableContents"/>
              <w:spacing w:before="0" w:after="0"/>
              <w:jc w:val="right"/>
              <w:rPr/>
            </w:pPr>
            <w:r>
              <w:rPr/>
              <w:t>—</w:t>
            </w:r>
          </w:p>
        </w:tc>
        <w:tc>
          <w:tcPr>
            <w:tcW w:w="2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573</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2,921</w:t>
            </w:r>
          </w:p>
        </w:tc>
        <w:tc>
          <w:tcPr>
            <w:tcW w:w="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192" w:type="dxa"/>
            <w:tcBorders/>
            <w:shd w:fill="CCEEFF" w:val="clear"/>
            <w:vAlign w:val="center"/>
          </w:tcPr>
          <w:p>
            <w:pPr>
              <w:pStyle w:val="TableContents"/>
              <w:spacing w:before="0" w:after="0"/>
              <w:ind w:left="0" w:right="0" w:firstLine="30"/>
              <w:jc w:val="left"/>
              <w:rPr>
                <w:rFonts w:ascii="inherit" w:hAnsi="inherit"/>
                <w:b/>
                <w:sz w:val="15"/>
              </w:rPr>
            </w:pPr>
            <w:r>
              <w:rPr>
                <w:rFonts w:ascii="inherit" w:hAnsi="inherit"/>
                <w:b/>
                <w:sz w:val="15"/>
              </w:rPr>
              <w:t>Unsecured long-term consumer loans:</w:t>
            </w:r>
          </w:p>
        </w:tc>
        <w:tc>
          <w:tcPr>
            <w:tcW w:w="952" w:type="dxa"/>
            <w:gridSpan w:val="3"/>
            <w:tcBorders/>
            <w:shd w:fill="CCEEFF" w:val="clear"/>
            <w:vAlign w:val="center"/>
          </w:tcPr>
          <w:p>
            <w:pPr>
              <w:pStyle w:val="TableContents"/>
              <w:spacing w:before="0" w:after="0"/>
              <w:ind w:left="0" w:right="0" w:firstLine="30"/>
              <w:rPr/>
            </w:pPr>
            <w:r>
              <w:rPr/>
              <w:t> </w:t>
            </w:r>
          </w:p>
        </w:tc>
        <w:tc>
          <w:tcPr>
            <w:tcW w:w="172" w:type="dxa"/>
            <w:tcBorders/>
            <w:shd w:fill="CCEEFF" w:val="clear"/>
            <w:vAlign w:val="center"/>
          </w:tcPr>
          <w:p>
            <w:pPr>
              <w:pStyle w:val="TableContents"/>
              <w:spacing w:before="0" w:after="0"/>
              <w:ind w:left="0" w:right="0" w:firstLine="30"/>
              <w:rPr/>
            </w:pPr>
            <w:r>
              <w:rPr/>
              <w:t> </w:t>
            </w:r>
          </w:p>
        </w:tc>
        <w:tc>
          <w:tcPr>
            <w:tcW w:w="1063"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03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912"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078"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952"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68" w:type="dxa"/>
            <w:gridSpan w:val="3"/>
            <w:tcBorders/>
            <w:shd w:fill="CCEEFF" w:val="clear"/>
            <w:vAlign w:val="center"/>
          </w:tcPr>
          <w:p>
            <w:pPr>
              <w:pStyle w:val="TableContents"/>
              <w:spacing w:before="0" w:after="0"/>
              <w:ind w:left="0" w:right="0" w:firstLine="420"/>
              <w:rPr/>
            </w:pPr>
            <w:r>
              <w:rPr/>
              <w:t> </w:t>
            </w:r>
          </w:p>
        </w:tc>
      </w:tr>
      <w:tr>
        <w:trPr/>
        <w:tc>
          <w:tcPr>
            <w:tcW w:w="2192"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Three Months Ended June 30, 2012</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166</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auto" w:val="clear"/>
            <w:vAlign w:val="center"/>
          </w:tcPr>
          <w:p>
            <w:pPr>
              <w:pStyle w:val="TableContents"/>
              <w:spacing w:before="0" w:after="0"/>
              <w:ind w:left="0" w:right="0" w:firstLine="30"/>
              <w:rPr/>
            </w:pPr>
            <w:r>
              <w:rPr/>
              <w:t> </w:t>
            </w:r>
          </w:p>
        </w:tc>
        <w:tc>
          <w:tcPr>
            <w:tcW w:w="14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auto" w:val="clear"/>
            <w:vAlign w:val="center"/>
          </w:tcPr>
          <w:p>
            <w:pPr>
              <w:pStyle w:val="TableContents"/>
              <w:spacing w:before="0" w:after="0"/>
              <w:jc w:val="right"/>
              <w:rPr>
                <w:rFonts w:ascii="inherit" w:hAnsi="inherit"/>
                <w:sz w:val="15"/>
              </w:rPr>
            </w:pPr>
            <w:r>
              <w:rPr>
                <w:rFonts w:ascii="inherit" w:hAnsi="inherit"/>
                <w:sz w:val="15"/>
              </w:rPr>
              <w:t>(780</w:t>
            </w:r>
          </w:p>
        </w:tc>
        <w:tc>
          <w:tcPr>
            <w:tcW w:w="14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2"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auto" w:val="clear"/>
            <w:vAlign w:val="center"/>
          </w:tcPr>
          <w:p>
            <w:pPr>
              <w:pStyle w:val="TableContents"/>
              <w:spacing w:before="0" w:after="0"/>
              <w:jc w:val="right"/>
              <w:rPr>
                <w:rFonts w:ascii="inherit" w:hAnsi="inherit"/>
                <w:sz w:val="15"/>
              </w:rPr>
            </w:pPr>
            <w:r>
              <w:rPr>
                <w:rFonts w:ascii="inherit" w:hAnsi="inherit"/>
                <w:sz w:val="15"/>
              </w:rPr>
              <w:t>288</w:t>
            </w:r>
          </w:p>
        </w:tc>
        <w:tc>
          <w:tcPr>
            <w:tcW w:w="6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41"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auto" w:val="clear"/>
            <w:vAlign w:val="center"/>
          </w:tcPr>
          <w:p>
            <w:pPr>
              <w:pStyle w:val="TableContents"/>
              <w:spacing w:before="0" w:after="0"/>
              <w:jc w:val="right"/>
              <w:rPr>
                <w:rFonts w:ascii="inherit" w:hAnsi="inherit"/>
                <w:sz w:val="15"/>
              </w:rPr>
            </w:pPr>
            <w:r>
              <w:rPr>
                <w:rFonts w:ascii="inherit" w:hAnsi="inherit"/>
                <w:sz w:val="15"/>
              </w:rPr>
              <w:t>603</w:t>
            </w:r>
          </w:p>
        </w:tc>
        <w:tc>
          <w:tcPr>
            <w:tcW w:w="6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218"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auto" w:val="clear"/>
            <w:vAlign w:val="center"/>
          </w:tcPr>
          <w:p>
            <w:pPr>
              <w:pStyle w:val="TableContents"/>
              <w:spacing w:before="0" w:after="0"/>
              <w:jc w:val="right"/>
              <w:rPr>
                <w:rFonts w:ascii="inherit" w:hAnsi="inherit"/>
                <w:sz w:val="15"/>
              </w:rPr>
            </w:pPr>
            <w:r>
              <w:rPr>
                <w:rFonts w:ascii="inherit" w:hAnsi="inherit"/>
                <w:sz w:val="15"/>
              </w:rPr>
              <w:t>(10</w:t>
            </w:r>
          </w:p>
        </w:tc>
        <w:tc>
          <w:tcPr>
            <w:tcW w:w="22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auto" w:val="clear"/>
            <w:vAlign w:val="center"/>
          </w:tcPr>
          <w:p>
            <w:pPr>
              <w:pStyle w:val="TableContents"/>
              <w:spacing w:before="0" w:after="0"/>
              <w:ind w:left="0" w:right="0" w:firstLine="30"/>
              <w:rPr/>
            </w:pPr>
            <w:r>
              <w:rPr/>
              <w:t> </w:t>
            </w:r>
          </w:p>
        </w:tc>
        <w:tc>
          <w:tcPr>
            <w:tcW w:w="166"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auto" w:val="clear"/>
            <w:vAlign w:val="center"/>
          </w:tcPr>
          <w:p>
            <w:pPr>
              <w:pStyle w:val="TableContents"/>
              <w:spacing w:before="0" w:after="0"/>
              <w:jc w:val="right"/>
              <w:rPr>
                <w:rFonts w:ascii="inherit" w:hAnsi="inherit"/>
                <w:sz w:val="15"/>
              </w:rPr>
            </w:pPr>
            <w:r>
              <w:rPr>
                <w:rFonts w:ascii="inherit" w:hAnsi="inherit"/>
                <w:sz w:val="15"/>
              </w:rPr>
              <w:t>267</w:t>
            </w:r>
          </w:p>
        </w:tc>
        <w:tc>
          <w:tcPr>
            <w:tcW w:w="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35" w:type="dxa"/>
            <w:tcBorders/>
            <w:shd w:fill="auto"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auto" w:val="clear"/>
            <w:vAlign w:val="center"/>
          </w:tcPr>
          <w:p>
            <w:pPr>
              <w:pStyle w:val="TableContents"/>
              <w:spacing w:before="0" w:after="0"/>
              <w:jc w:val="right"/>
              <w:rPr>
                <w:rFonts w:ascii="inherit" w:hAnsi="inherit"/>
                <w:sz w:val="15"/>
              </w:rPr>
            </w:pPr>
            <w:r>
              <w:rPr>
                <w:rFonts w:ascii="inherit" w:hAnsi="inherit"/>
                <w:sz w:val="15"/>
              </w:rPr>
              <w:t>60,256</w:t>
            </w:r>
          </w:p>
        </w:tc>
        <w:tc>
          <w:tcPr>
            <w:tcW w:w="45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192"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Nine Months Ended June 30, 2012</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pPr>
            <w:r>
              <w:rPr/>
              <w:t>—</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72" w:type="dxa"/>
            <w:tcBorders/>
            <w:shd w:fill="CCEEFF" w:val="clear"/>
            <w:vAlign w:val="center"/>
          </w:tcPr>
          <w:p>
            <w:pPr>
              <w:pStyle w:val="TableContents"/>
              <w:spacing w:before="0" w:after="0"/>
              <w:ind w:left="0" w:right="0" w:firstLine="30"/>
              <w:rPr/>
            </w:pPr>
            <w:r>
              <w:rPr/>
              <w:t> </w:t>
            </w:r>
          </w:p>
        </w:tc>
        <w:tc>
          <w:tcPr>
            <w:tcW w:w="14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77" w:type="dxa"/>
            <w:tcBorders/>
            <w:shd w:fill="CCEEFF" w:val="clear"/>
            <w:vAlign w:val="center"/>
          </w:tcPr>
          <w:p>
            <w:pPr>
              <w:pStyle w:val="TableContents"/>
              <w:spacing w:before="0" w:after="0"/>
              <w:jc w:val="right"/>
              <w:rPr>
                <w:rFonts w:ascii="inherit" w:hAnsi="inherit"/>
                <w:sz w:val="15"/>
              </w:rPr>
            </w:pPr>
            <w:r>
              <w:rPr>
                <w:rFonts w:ascii="inherit" w:hAnsi="inherit"/>
                <w:sz w:val="15"/>
              </w:rPr>
              <w:t>(1,351</w:t>
            </w:r>
          </w:p>
        </w:tc>
        <w:tc>
          <w:tcPr>
            <w:tcW w:w="144"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CCEEFF" w:val="clear"/>
            <w:vAlign w:val="center"/>
          </w:tcPr>
          <w:p>
            <w:pPr>
              <w:pStyle w:val="TableContents"/>
              <w:spacing w:before="0" w:after="0"/>
              <w:ind w:left="0" w:right="0" w:firstLine="30"/>
              <w:rPr/>
            </w:pPr>
            <w:r>
              <w:rPr/>
              <w:t> </w:t>
            </w:r>
          </w:p>
        </w:tc>
        <w:tc>
          <w:tcPr>
            <w:tcW w:w="16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05" w:type="dxa"/>
            <w:tcBorders/>
            <w:shd w:fill="CCEEFF" w:val="clear"/>
            <w:vAlign w:val="center"/>
          </w:tcPr>
          <w:p>
            <w:pPr>
              <w:pStyle w:val="TableContents"/>
              <w:spacing w:before="0" w:after="0"/>
              <w:jc w:val="right"/>
              <w:rPr>
                <w:rFonts w:ascii="inherit" w:hAnsi="inherit"/>
                <w:sz w:val="15"/>
              </w:rPr>
            </w:pPr>
            <w:r>
              <w:rPr>
                <w:rFonts w:ascii="inherit" w:hAnsi="inherit"/>
                <w:sz w:val="15"/>
              </w:rPr>
              <w:t>519</w:t>
            </w:r>
          </w:p>
        </w:tc>
        <w:tc>
          <w:tcPr>
            <w:tcW w:w="6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41"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07" w:type="dxa"/>
            <w:tcBorders/>
            <w:shd w:fill="CCEEFF" w:val="clear"/>
            <w:vAlign w:val="center"/>
          </w:tcPr>
          <w:p>
            <w:pPr>
              <w:pStyle w:val="TableContents"/>
              <w:spacing w:before="0" w:after="0"/>
              <w:jc w:val="right"/>
              <w:rPr>
                <w:rFonts w:ascii="inherit" w:hAnsi="inherit"/>
                <w:sz w:val="15"/>
              </w:rPr>
            </w:pPr>
            <w:r>
              <w:rPr>
                <w:rFonts w:ascii="inherit" w:hAnsi="inherit"/>
                <w:sz w:val="15"/>
              </w:rPr>
              <w:t>1,111</w:t>
            </w:r>
          </w:p>
        </w:tc>
        <w:tc>
          <w:tcPr>
            <w:tcW w:w="6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21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40" w:type="dxa"/>
            <w:tcBorders/>
            <w:shd w:fill="CCEEFF" w:val="clear"/>
            <w:vAlign w:val="center"/>
          </w:tcPr>
          <w:p>
            <w:pPr>
              <w:pStyle w:val="TableContents"/>
              <w:spacing w:before="0" w:after="0"/>
              <w:jc w:val="right"/>
              <w:rPr>
                <w:rFonts w:ascii="inherit" w:hAnsi="inherit"/>
                <w:sz w:val="15"/>
              </w:rPr>
            </w:pPr>
            <w:r>
              <w:rPr>
                <w:rFonts w:ascii="inherit" w:hAnsi="inherit"/>
                <w:sz w:val="15"/>
              </w:rPr>
              <w:t>(12</w:t>
            </w:r>
          </w:p>
        </w:tc>
        <w:tc>
          <w:tcPr>
            <w:tcW w:w="22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6"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716" w:type="dxa"/>
            <w:tcBorders/>
            <w:shd w:fill="CCEEFF" w:val="clear"/>
            <w:vAlign w:val="center"/>
          </w:tcPr>
          <w:p>
            <w:pPr>
              <w:pStyle w:val="TableContents"/>
              <w:spacing w:before="0" w:after="0"/>
              <w:jc w:val="right"/>
              <w:rPr>
                <w:rFonts w:ascii="inherit" w:hAnsi="inherit"/>
                <w:sz w:val="15"/>
              </w:rPr>
            </w:pPr>
            <w:r>
              <w:rPr>
                <w:rFonts w:ascii="inherit" w:hAnsi="inherit"/>
                <w:sz w:val="15"/>
              </w:rPr>
              <w:t>267</w:t>
            </w:r>
          </w:p>
        </w:tc>
        <w:tc>
          <w:tcPr>
            <w:tcW w:w="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679" w:type="dxa"/>
            <w:tcBorders/>
            <w:shd w:fill="CCEEFF" w:val="clear"/>
            <w:vAlign w:val="center"/>
          </w:tcPr>
          <w:p>
            <w:pPr>
              <w:pStyle w:val="TableContents"/>
              <w:spacing w:before="0" w:after="0"/>
              <w:jc w:val="right"/>
              <w:rPr>
                <w:rFonts w:ascii="inherit" w:hAnsi="inherit"/>
                <w:sz w:val="15"/>
              </w:rPr>
            </w:pPr>
            <w:r>
              <w:rPr>
                <w:rFonts w:ascii="inherit" w:hAnsi="inherit"/>
                <w:sz w:val="15"/>
              </w:rPr>
              <w:t>60,256</w:t>
            </w:r>
          </w:p>
        </w:tc>
        <w:tc>
          <w:tcPr>
            <w:tcW w:w="45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 xml:space="preserve">The provisions presented in the table above include only principal and excludes items such as non-sufficient funds fees, repossession fees, auction fees and interest. In addition, all credit service expenses and fees related to loans made by our unaffiliated lenders are excluded, as we do not own the loans made in connection with our credit services and they are not recorded as assets on our balance sheets. Expected losses on credit services are accrued and reported in “Accounts payable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25</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other accrued expenses” on our balance sheets.</w:t>
      </w:r>
    </w:p>
    <w:p>
      <w:pPr>
        <w:pStyle w:val="TextBody"/>
        <w:spacing w:lineRule="auto" w:line="288" w:before="0" w:after="0"/>
        <w:rPr>
          <w:sz w:val="17"/>
        </w:rPr>
      </w:pPr>
      <w:r>
        <w:rPr>
          <w:rFonts w:ascii="inherit" w:hAnsi="inherit"/>
          <w:sz w:val="17"/>
        </w:rPr>
        <w:t xml:space="preserve">Auto title loans are our only consumer loans (other than those made by Crediamigo) that remain as recorded investments when in delinquent or nonaccrual status. We consider an auto title loan past due if it has not been repaid or renewed by the maturity date. Based on experience, we establish a reserve on all auto title loans. On auto title loans </w:t>
      </w:r>
      <w:r>
        <w:rPr>
          <w:rFonts w:ascii="inherit" w:hAnsi="inherit"/>
          <w:strike w:val="false"/>
          <w:dstrike w:val="false"/>
          <w:color w:val="000000"/>
          <w:sz w:val="17"/>
          <w:u w:val="none"/>
          <w:effect w:val="none"/>
        </w:rPr>
        <w:t>more than 90 days</w:t>
      </w:r>
      <w:r>
        <w:rPr>
          <w:sz w:val="17"/>
        </w:rPr>
        <w:t xml:space="preserve"> </w:t>
      </w:r>
      <w:r>
        <w:rPr>
          <w:rFonts w:ascii="inherit" w:hAnsi="inherit"/>
          <w:sz w:val="17"/>
        </w:rPr>
        <w:t xml:space="preserve">past due, we reserve the percentage we estimate will not be recoverable through auction and reserve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of loans for which we have not yet repossessed the underlying collateral. </w:t>
      </w:r>
      <w:r>
        <w:rPr>
          <w:rFonts w:ascii="inherit" w:hAnsi="inherit"/>
          <w:strike w:val="false"/>
          <w:dstrike w:val="false"/>
          <w:color w:val="000000"/>
          <w:sz w:val="17"/>
          <w:u w:val="none"/>
          <w:effect w:val="none"/>
        </w:rPr>
        <w:t>No</w:t>
      </w:r>
      <w:r>
        <w:rPr>
          <w:sz w:val="17"/>
        </w:rPr>
        <w:t xml:space="preserve"> </w:t>
      </w:r>
      <w:r>
        <w:rPr>
          <w:rFonts w:ascii="inherit" w:hAnsi="inherit"/>
          <w:sz w:val="17"/>
        </w:rPr>
        <w:t xml:space="preserve">fees are accrued on any auto title loans more than </w:t>
      </w:r>
      <w:r>
        <w:rPr>
          <w:rFonts w:ascii="inherit" w:hAnsi="inherit"/>
          <w:strike w:val="false"/>
          <w:dstrike w:val="false"/>
          <w:color w:val="000000"/>
          <w:sz w:val="17"/>
          <w:u w:val="none"/>
          <w:effect w:val="none"/>
        </w:rPr>
        <w:t>90 days past due.</w:t>
      </w:r>
      <w:r>
        <w:rPr>
          <w:sz w:val="17"/>
        </w:rPr>
        <w:t xml:space="preserve"> </w:t>
      </w:r>
    </w:p>
    <w:p>
      <w:pPr>
        <w:pStyle w:val="TextBody"/>
        <w:spacing w:lineRule="auto" w:line="288" w:before="0" w:after="0"/>
        <w:rPr>
          <w:sz w:val="17"/>
        </w:rPr>
      </w:pPr>
      <w:r>
        <w:rPr>
          <w:rFonts w:ascii="inherit" w:hAnsi="inherit"/>
          <w:sz w:val="17"/>
        </w:rPr>
        <w:t xml:space="preserve">Consumer loans made by Crediamigo remain on the balance sheet as recorded investments when in delinquent status. We consider a consumer loan past due if it has not been repaid or renewed by the maturity date; however, it is not unusual to have a lag in payments due to the time it takes the government agencies to setup the initial payroll withholding. Only those consumer loans made to customers that are no longer employed are considered in nonaccrual status. We establish a reserve on all consumer loans, based on historical experience. </w:t>
      </w:r>
      <w:r>
        <w:rPr>
          <w:rFonts w:ascii="inherit" w:hAnsi="inherit"/>
          <w:strike w:val="false"/>
          <w:dstrike w:val="false"/>
          <w:color w:val="000000"/>
          <w:sz w:val="17"/>
          <w:u w:val="none"/>
          <w:effect w:val="none"/>
        </w:rPr>
        <w:t>No</w:t>
      </w:r>
      <w:r>
        <w:rPr>
          <w:sz w:val="17"/>
        </w:rPr>
        <w:t xml:space="preserve"> </w:t>
      </w:r>
      <w:r>
        <w:rPr>
          <w:rFonts w:ascii="inherit" w:hAnsi="inherit"/>
          <w:sz w:val="17"/>
        </w:rPr>
        <w:t>fees are accrued on any consumer loans made to customers that are no longer employed.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t>The following table presents an aging analysis of past due financing receivables by portfolio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135"/>
        <w:gridCol w:w="132"/>
        <w:gridCol w:w="515"/>
        <w:gridCol w:w="46"/>
        <w:gridCol w:w="100"/>
        <w:gridCol w:w="132"/>
        <w:gridCol w:w="649"/>
        <w:gridCol w:w="46"/>
        <w:gridCol w:w="100"/>
        <w:gridCol w:w="132"/>
        <w:gridCol w:w="399"/>
        <w:gridCol w:w="46"/>
        <w:gridCol w:w="100"/>
        <w:gridCol w:w="132"/>
        <w:gridCol w:w="534"/>
        <w:gridCol w:w="46"/>
        <w:gridCol w:w="100"/>
        <w:gridCol w:w="132"/>
        <w:gridCol w:w="649"/>
        <w:gridCol w:w="46"/>
        <w:gridCol w:w="100"/>
        <w:gridCol w:w="144"/>
        <w:gridCol w:w="709"/>
        <w:gridCol w:w="50"/>
        <w:gridCol w:w="100"/>
        <w:gridCol w:w="145"/>
        <w:gridCol w:w="667"/>
        <w:gridCol w:w="131"/>
        <w:gridCol w:w="100"/>
        <w:gridCol w:w="144"/>
        <w:gridCol w:w="709"/>
        <w:gridCol w:w="50"/>
        <w:gridCol w:w="100"/>
        <w:gridCol w:w="196"/>
        <w:gridCol w:w="591"/>
        <w:gridCol w:w="62"/>
        <w:gridCol w:w="100"/>
        <w:gridCol w:w="164"/>
        <w:gridCol w:w="680"/>
        <w:gridCol w:w="92"/>
      </w:tblGrid>
      <w:tr>
        <w:trPr/>
        <w:tc>
          <w:tcPr>
            <w:tcW w:w="10205" w:type="dxa"/>
            <w:gridSpan w:val="40"/>
            <w:tcBorders/>
            <w:shd w:fill="auto" w:val="clear"/>
            <w:vAlign w:val="center"/>
          </w:tcPr>
          <w:p>
            <w:pPr>
              <w:pStyle w:val="TableContents"/>
              <w:spacing w:before="0" w:after="283"/>
              <w:rPr>
                <w:sz w:val="4"/>
                <w:szCs w:val="4"/>
              </w:rPr>
            </w:pPr>
            <w:r>
              <w:rPr>
                <w:sz w:val="4"/>
                <w:szCs w:val="4"/>
              </w:rPr>
            </w:r>
          </w:p>
        </w:tc>
      </w:tr>
      <w:tr>
        <w:trPr/>
        <w:tc>
          <w:tcPr>
            <w:tcW w:w="113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c>
          <w:tcPr>
            <w:tcW w:w="46"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667"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62"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rPr>
                <w:sz w:val="4"/>
                <w:szCs w:val="4"/>
              </w:rPr>
            </w:pPr>
            <w:r>
              <w:rPr>
                <w:sz w:val="4"/>
                <w:szCs w:val="4"/>
              </w:rPr>
            </w:r>
          </w:p>
        </w:tc>
        <w:tc>
          <w:tcPr>
            <w:tcW w:w="9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135" w:type="dxa"/>
            <w:tcBorders/>
            <w:shd w:fill="auto" w:val="clear"/>
            <w:vAlign w:val="center"/>
          </w:tcPr>
          <w:p>
            <w:pPr>
              <w:pStyle w:val="TableContents"/>
              <w:spacing w:before="0" w:after="0"/>
              <w:ind w:left="0" w:right="0" w:firstLine="30"/>
              <w:jc w:val="left"/>
              <w:rPr/>
            </w:pPr>
            <w:r>
              <w:rPr/>
              <w:t> </w:t>
            </w:r>
          </w:p>
        </w:tc>
        <w:tc>
          <w:tcPr>
            <w:tcW w:w="310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Days Past Due</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Total</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t>Current</w:t>
            </w:r>
          </w:p>
        </w:tc>
        <w:tc>
          <w:tcPr>
            <w:tcW w:w="100"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rFonts w:ascii="inherit" w:hAnsi="inherit"/>
                <w:sz w:val="13"/>
              </w:rPr>
            </w:pPr>
            <w:r>
              <w:rPr>
                <w:rFonts w:ascii="inherit" w:hAnsi="inherit"/>
                <w:sz w:val="13"/>
              </w:rPr>
              <w:t>Fair Value</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jc w:val="center"/>
              <w:rPr>
                <w:rFonts w:ascii="inherit" w:hAnsi="inherit"/>
                <w:sz w:val="13"/>
              </w:rPr>
            </w:pPr>
            <w:r>
              <w:rPr>
                <w:rFonts w:ascii="inherit" w:hAnsi="inherit"/>
                <w:sz w:val="13"/>
              </w:rPr>
              <w:t>Total</w:t>
            </w:r>
          </w:p>
          <w:p>
            <w:pPr>
              <w:pStyle w:val="TableContents"/>
              <w:spacing w:before="0" w:after="0"/>
              <w:ind w:left="0" w:right="0" w:firstLine="30"/>
              <w:jc w:val="center"/>
              <w:rPr>
                <w:rFonts w:ascii="inherit" w:hAnsi="inherit"/>
                <w:sz w:val="13"/>
              </w:rPr>
            </w:pPr>
            <w:r>
              <w:rPr>
                <w:rFonts w:ascii="inherit" w:hAnsi="inherit"/>
                <w:sz w:val="13"/>
              </w:rPr>
              <w:t>Financing</w:t>
            </w:r>
          </w:p>
        </w:tc>
        <w:tc>
          <w:tcPr>
            <w:tcW w:w="100"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rFonts w:ascii="inherit" w:hAnsi="inherit"/>
                <w:sz w:val="13"/>
              </w:rPr>
            </w:pPr>
            <w:r>
              <w:rPr>
                <w:rFonts w:ascii="inherit" w:hAnsi="inherit"/>
                <w:sz w:val="13"/>
              </w:rPr>
              <w:t>Allowance</w:t>
            </w:r>
          </w:p>
        </w:tc>
        <w:tc>
          <w:tcPr>
            <w:tcW w:w="100" w:type="dxa"/>
            <w:tcBorders/>
            <w:shd w:fill="auto" w:val="clear"/>
            <w:vAlign w:val="center"/>
          </w:tcPr>
          <w:p>
            <w:pPr>
              <w:pStyle w:val="TableContents"/>
              <w:spacing w:before="0" w:after="0"/>
              <w:ind w:left="0" w:right="0" w:firstLine="30"/>
              <w:rPr/>
            </w:pPr>
            <w:r>
              <w:rPr/>
              <w:t> </w:t>
            </w:r>
          </w:p>
        </w:tc>
        <w:tc>
          <w:tcPr>
            <w:tcW w:w="936" w:type="dxa"/>
            <w:gridSpan w:val="3"/>
            <w:tcBorders/>
            <w:shd w:fill="auto" w:val="clear"/>
            <w:vAlign w:val="center"/>
          </w:tcPr>
          <w:p>
            <w:pPr>
              <w:pStyle w:val="TableContents"/>
              <w:spacing w:before="0" w:after="0"/>
              <w:jc w:val="center"/>
              <w:rPr>
                <w:rFonts w:ascii="inherit" w:hAnsi="inherit"/>
                <w:sz w:val="13"/>
              </w:rPr>
            </w:pPr>
            <w:r>
              <w:rPr>
                <w:rFonts w:ascii="inherit" w:hAnsi="inherit"/>
                <w:sz w:val="13"/>
              </w:rPr>
              <w:t>Recorded</w:t>
            </w:r>
          </w:p>
          <w:p>
            <w:pPr>
              <w:pStyle w:val="TableContents"/>
              <w:spacing w:before="0" w:after="0"/>
              <w:jc w:val="center"/>
              <w:rPr>
                <w:rFonts w:ascii="inherit" w:hAnsi="inherit"/>
                <w:sz w:val="13"/>
              </w:rPr>
            </w:pPr>
            <w:r>
              <w:rPr>
                <w:rFonts w:ascii="inherit" w:hAnsi="inherit"/>
                <w:sz w:val="13"/>
              </w:rPr>
              <w:t>Investment</w:t>
            </w:r>
          </w:p>
          <w:p>
            <w:pPr>
              <w:pStyle w:val="TableContents"/>
              <w:spacing w:before="0" w:after="0"/>
              <w:jc w:val="center"/>
              <w:rPr>
                <w:rFonts w:ascii="inherit" w:hAnsi="inherit"/>
                <w:sz w:val="13"/>
              </w:rPr>
            </w:pPr>
            <w:r>
              <w:rPr>
                <w:rFonts w:ascii="inherit" w:hAnsi="inherit"/>
                <w:sz w:val="13"/>
              </w:rPr>
              <w:t>&gt; 90 Days</w:t>
            </w:r>
          </w:p>
          <w:p>
            <w:pPr>
              <w:pStyle w:val="TableContents"/>
              <w:spacing w:before="0" w:after="0"/>
              <w:ind w:left="0" w:right="0" w:firstLine="30"/>
              <w:jc w:val="center"/>
              <w:rPr>
                <w:rFonts w:ascii="inherit" w:hAnsi="inherit"/>
                <w:sz w:val="13"/>
              </w:rPr>
            </w:pPr>
            <w:r>
              <w:rPr>
                <w:rFonts w:ascii="inherit" w:hAnsi="inherit"/>
                <w:sz w:val="13"/>
              </w:rPr>
              <w:t>&amp;</w:t>
            </w:r>
          </w:p>
        </w:tc>
      </w:tr>
      <w:tr>
        <w:trPr/>
        <w:tc>
          <w:tcPr>
            <w:tcW w:w="1135" w:type="dxa"/>
            <w:tcBorders/>
            <w:shd w:fill="auto" w:val="clear"/>
            <w:vAlign w:val="center"/>
          </w:tcPr>
          <w:p>
            <w:pPr>
              <w:pStyle w:val="TableContents"/>
              <w:spacing w:before="0" w:after="0"/>
              <w:ind w:left="0" w:right="0" w:firstLine="30"/>
              <w:jc w:val="left"/>
              <w:rPr/>
            </w:pPr>
            <w:r>
              <w:rPr/>
              <w:t> </w:t>
            </w:r>
          </w:p>
        </w:tc>
        <w:tc>
          <w:tcPr>
            <w:tcW w:w="69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1-30</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31-60</w:t>
            </w:r>
          </w:p>
        </w:tc>
        <w:tc>
          <w:tcPr>
            <w:tcW w:w="100" w:type="dxa"/>
            <w:tcBorders/>
            <w:shd w:fill="auto" w:val="clear"/>
            <w:vAlign w:val="center"/>
          </w:tcPr>
          <w:p>
            <w:pPr>
              <w:pStyle w:val="TableContents"/>
              <w:spacing w:before="0" w:after="0"/>
              <w:ind w:left="0" w:right="0" w:firstLine="30"/>
              <w:rPr/>
            </w:pPr>
            <w:r>
              <w:rPr/>
              <w:t> </w:t>
            </w:r>
          </w:p>
        </w:tc>
        <w:tc>
          <w:tcPr>
            <w:tcW w:w="57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61-90</w:t>
            </w:r>
          </w:p>
        </w:tc>
        <w:tc>
          <w:tcPr>
            <w:tcW w:w="100" w:type="dxa"/>
            <w:tcBorders/>
            <w:shd w:fill="auto" w:val="clear"/>
            <w:vAlign w:val="center"/>
          </w:tcPr>
          <w:p>
            <w:pPr>
              <w:pStyle w:val="TableContents"/>
              <w:spacing w:before="0" w:after="0"/>
              <w:ind w:left="0" w:right="0" w:firstLine="30"/>
              <w:rPr/>
            </w:pPr>
            <w:r>
              <w:rPr/>
              <w:t> </w:t>
            </w:r>
          </w:p>
        </w:tc>
        <w:tc>
          <w:tcPr>
            <w:tcW w:w="7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&gt;90</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Past Due</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Receivable</w:t>
            </w:r>
          </w:p>
        </w:tc>
        <w:tc>
          <w:tcPr>
            <w:tcW w:w="100" w:type="dxa"/>
            <w:tcBorders/>
            <w:shd w:fill="auto" w:val="clear"/>
            <w:vAlign w:val="center"/>
          </w:tcPr>
          <w:p>
            <w:pPr>
              <w:pStyle w:val="TableContents"/>
              <w:spacing w:before="0" w:after="0"/>
              <w:ind w:left="0" w:right="0" w:firstLine="30"/>
              <w:rPr/>
            </w:pPr>
            <w:r>
              <w:rPr/>
              <w:t> </w:t>
            </w:r>
          </w:p>
        </w:tc>
        <w:tc>
          <w:tcPr>
            <w:tcW w:w="9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Adjustment</w:t>
            </w:r>
          </w:p>
        </w:tc>
        <w:tc>
          <w:tcPr>
            <w:tcW w:w="1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9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Receivable</w:t>
            </w:r>
          </w:p>
        </w:tc>
        <w:tc>
          <w:tcPr>
            <w:tcW w:w="100" w:type="dxa"/>
            <w:tcBorders>
              <w:bottom w:val="single" w:sz="2" w:space="0" w:color="000000"/>
            </w:tcBorders>
            <w:shd w:fill="auto" w:val="clear"/>
            <w:tcMar>
              <w:bottom w:w="30" w:type="dxa"/>
            </w:tcMar>
            <w:vAlign w:val="center"/>
          </w:tcPr>
          <w:p>
            <w:pPr>
              <w:pStyle w:val="TableContents"/>
              <w:spacing w:before="0" w:after="0"/>
              <w:ind w:left="0" w:right="0" w:firstLine="30"/>
              <w:rPr/>
            </w:pPr>
            <w:r>
              <w:rPr/>
              <w:t> </w:t>
            </w:r>
          </w:p>
        </w:tc>
        <w:tc>
          <w:tcPr>
            <w:tcW w:w="8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Balance</w:t>
            </w:r>
          </w:p>
        </w:tc>
        <w:tc>
          <w:tcPr>
            <w:tcW w:w="100" w:type="dxa"/>
            <w:tcBorders/>
            <w:shd w:fill="auto" w:val="clear"/>
            <w:vAlign w:val="center"/>
          </w:tcPr>
          <w:p>
            <w:pPr>
              <w:pStyle w:val="TableContents"/>
              <w:spacing w:before="0" w:after="0"/>
              <w:ind w:left="0" w:right="0" w:firstLine="30"/>
              <w:rPr/>
            </w:pPr>
            <w:r>
              <w:rPr/>
              <w:t> </w:t>
            </w:r>
          </w:p>
        </w:tc>
        <w:tc>
          <w:tcPr>
            <w:tcW w:w="9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Accruing</w:t>
            </w:r>
          </w:p>
        </w:tc>
      </w:tr>
      <w:tr>
        <w:trPr/>
        <w:tc>
          <w:tcPr>
            <w:tcW w:w="1135" w:type="dxa"/>
            <w:tcBorders/>
            <w:shd w:fill="auto" w:val="clear"/>
            <w:vAlign w:val="center"/>
          </w:tcPr>
          <w:p>
            <w:pPr>
              <w:pStyle w:val="TableContents"/>
              <w:spacing w:before="0" w:after="0"/>
              <w:ind w:left="0" w:right="0" w:firstLine="30"/>
              <w:jc w:val="left"/>
              <w:rPr/>
            </w:pPr>
            <w:r>
              <w:rPr/>
              <w:t> </w:t>
            </w:r>
          </w:p>
        </w:tc>
        <w:tc>
          <w:tcPr>
            <w:tcW w:w="9070" w:type="dxa"/>
            <w:gridSpan w:val="3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55" w:type="dxa"/>
            <w:gridSpan w:val="8"/>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Secured short-term consumer loans</w:t>
            </w:r>
          </w:p>
        </w:tc>
        <w:tc>
          <w:tcPr>
            <w:tcW w:w="100" w:type="dxa"/>
            <w:tcBorders/>
            <w:shd w:fill="CCEEFF" w:val="clear"/>
            <w:vAlign w:val="center"/>
          </w:tcPr>
          <w:p>
            <w:pPr>
              <w:pStyle w:val="TableContents"/>
              <w:spacing w:before="0" w:after="0"/>
              <w:ind w:left="0" w:right="0" w:firstLine="30"/>
              <w:rPr/>
            </w:pPr>
            <w:r>
              <w:rPr/>
              <w:t> </w:t>
            </w:r>
          </w:p>
        </w:tc>
        <w:tc>
          <w:tcPr>
            <w:tcW w:w="577"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712"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827"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0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4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0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849"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36" w:type="dxa"/>
            <w:gridSpan w:val="3"/>
            <w:tcBorders/>
            <w:shd w:fill="CCEEFF" w:val="clear"/>
            <w:vAlign w:val="center"/>
          </w:tcPr>
          <w:p>
            <w:pPr>
              <w:pStyle w:val="TableContents"/>
              <w:spacing w:before="0" w:after="0"/>
              <w:ind w:left="0" w:right="0" w:firstLine="30"/>
              <w:rPr/>
            </w:pPr>
            <w:r>
              <w:rPr/>
              <w:t> </w:t>
            </w:r>
          </w:p>
        </w:tc>
      </w:tr>
      <w:tr>
        <w:trPr/>
        <w:tc>
          <w:tcPr>
            <w:tcW w:w="1828"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June 30, 2012</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57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712"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36" w:type="dxa"/>
            <w:gridSpan w:val="3"/>
            <w:tcBorders/>
            <w:shd w:fill="auto" w:val="clear"/>
            <w:vAlign w:val="center"/>
          </w:tcPr>
          <w:p>
            <w:pPr>
              <w:pStyle w:val="TableContents"/>
              <w:spacing w:before="0" w:after="0"/>
              <w:ind w:left="0" w:right="0" w:firstLine="420"/>
              <w:rPr/>
            </w:pPr>
            <w:r>
              <w:rPr/>
              <w:t> </w:t>
            </w:r>
          </w:p>
        </w:tc>
      </w:tr>
      <w:tr>
        <w:trPr/>
        <w:tc>
          <w:tcPr>
            <w:tcW w:w="1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shd w:fill="CCEEFF" w:val="clear"/>
            <w:vAlign w:val="center"/>
          </w:tcPr>
          <w:p>
            <w:pPr>
              <w:pStyle w:val="TableContents"/>
              <w:spacing w:before="0" w:after="0"/>
              <w:jc w:val="right"/>
              <w:rPr>
                <w:rFonts w:ascii="inherit" w:hAnsi="inherit"/>
                <w:sz w:val="17"/>
              </w:rPr>
            </w:pPr>
            <w:r>
              <w:rPr>
                <w:rFonts w:ascii="inherit" w:hAnsi="inherit"/>
                <w:sz w:val="17"/>
              </w:rPr>
              <w:t>838</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CCEEFF" w:val="clear"/>
            <w:vAlign w:val="center"/>
          </w:tcPr>
          <w:p>
            <w:pPr>
              <w:pStyle w:val="TableContents"/>
              <w:spacing w:before="0" w:after="0"/>
              <w:jc w:val="right"/>
              <w:rPr>
                <w:rFonts w:ascii="inherit" w:hAnsi="inherit"/>
                <w:sz w:val="17"/>
              </w:rPr>
            </w:pPr>
            <w:r>
              <w:rPr>
                <w:rFonts w:ascii="inherit" w:hAnsi="inherit"/>
                <w:sz w:val="17"/>
              </w:rPr>
              <w:t>360</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CCEEFF" w:val="clear"/>
            <w:vAlign w:val="center"/>
          </w:tcPr>
          <w:p>
            <w:pPr>
              <w:pStyle w:val="TableContents"/>
              <w:spacing w:before="0" w:after="0"/>
              <w:jc w:val="right"/>
              <w:rPr>
                <w:rFonts w:ascii="inherit" w:hAnsi="inherit"/>
                <w:sz w:val="17"/>
              </w:rPr>
            </w:pPr>
            <w:r>
              <w:rPr>
                <w:rFonts w:ascii="inherit" w:hAnsi="inherit"/>
                <w:sz w:val="17"/>
              </w:rPr>
              <w:t>239</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34" w:type="dxa"/>
            <w:tcBorders/>
            <w:shd w:fill="CCEEFF" w:val="clear"/>
            <w:vAlign w:val="center"/>
          </w:tcPr>
          <w:p>
            <w:pPr>
              <w:pStyle w:val="TableContents"/>
              <w:spacing w:before="0" w:after="0"/>
              <w:jc w:val="right"/>
              <w:rPr>
                <w:rFonts w:ascii="inherit" w:hAnsi="inherit"/>
                <w:sz w:val="17"/>
              </w:rPr>
            </w:pPr>
            <w:r>
              <w:rPr>
                <w:rFonts w:ascii="inherit" w:hAnsi="inherit"/>
                <w:sz w:val="17"/>
              </w:rPr>
              <w:t>246</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CCEEFF" w:val="clear"/>
            <w:vAlign w:val="center"/>
          </w:tcPr>
          <w:p>
            <w:pPr>
              <w:pStyle w:val="TableContents"/>
              <w:spacing w:before="0" w:after="0"/>
              <w:jc w:val="right"/>
              <w:rPr>
                <w:rFonts w:ascii="inherit" w:hAnsi="inherit"/>
                <w:sz w:val="17"/>
              </w:rPr>
            </w:pPr>
            <w:r>
              <w:rPr>
                <w:rFonts w:ascii="inherit" w:hAnsi="inherit"/>
                <w:sz w:val="17"/>
              </w:rPr>
              <w:t>1,683</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rFonts w:ascii="inherit" w:hAnsi="inherit"/>
                <w:sz w:val="17"/>
              </w:rPr>
            </w:pPr>
            <w:r>
              <w:rPr>
                <w:rFonts w:ascii="inherit" w:hAnsi="inherit"/>
                <w:sz w:val="17"/>
              </w:rPr>
              <w:t>2,584</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67" w:type="dxa"/>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rFonts w:ascii="inherit" w:hAnsi="inherit"/>
                <w:sz w:val="17"/>
              </w:rPr>
            </w:pPr>
            <w:r>
              <w:rPr>
                <w:rFonts w:ascii="inherit" w:hAnsi="inherit"/>
                <w:sz w:val="17"/>
              </w:rPr>
              <w:t>4,267</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596</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28"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June 30, 2011</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57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712"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36" w:type="dxa"/>
            <w:gridSpan w:val="3"/>
            <w:tcBorders/>
            <w:shd w:fill="auto" w:val="clear"/>
            <w:vAlign w:val="center"/>
          </w:tcPr>
          <w:p>
            <w:pPr>
              <w:pStyle w:val="TableContents"/>
              <w:spacing w:before="0" w:after="0"/>
              <w:ind w:left="0" w:right="0" w:firstLine="420"/>
              <w:rPr/>
            </w:pPr>
            <w:r>
              <w:rPr/>
              <w:t> </w:t>
            </w:r>
          </w:p>
        </w:tc>
      </w:tr>
      <w:tr>
        <w:trPr/>
        <w:tc>
          <w:tcPr>
            <w:tcW w:w="1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shd w:fill="CCEEFF" w:val="clear"/>
            <w:vAlign w:val="center"/>
          </w:tcPr>
          <w:p>
            <w:pPr>
              <w:pStyle w:val="TableContents"/>
              <w:spacing w:before="0" w:after="0"/>
              <w:jc w:val="right"/>
              <w:rPr>
                <w:rFonts w:ascii="inherit" w:hAnsi="inherit"/>
                <w:sz w:val="17"/>
              </w:rPr>
            </w:pPr>
            <w:r>
              <w:rPr>
                <w:rFonts w:ascii="inherit" w:hAnsi="inherit"/>
                <w:sz w:val="17"/>
              </w:rPr>
              <w:t>575</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CCEEFF" w:val="clear"/>
            <w:vAlign w:val="center"/>
          </w:tcPr>
          <w:p>
            <w:pPr>
              <w:pStyle w:val="TableContents"/>
              <w:spacing w:before="0" w:after="0"/>
              <w:jc w:val="right"/>
              <w:rPr>
                <w:rFonts w:ascii="inherit" w:hAnsi="inherit"/>
                <w:sz w:val="17"/>
              </w:rPr>
            </w:pPr>
            <w:r>
              <w:rPr>
                <w:rFonts w:ascii="inherit" w:hAnsi="inherit"/>
                <w:sz w:val="17"/>
              </w:rPr>
              <w:t>382</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CCEEFF" w:val="clear"/>
            <w:vAlign w:val="center"/>
          </w:tcPr>
          <w:p>
            <w:pPr>
              <w:pStyle w:val="TableContents"/>
              <w:spacing w:before="0" w:after="0"/>
              <w:jc w:val="right"/>
              <w:rPr>
                <w:rFonts w:ascii="inherit" w:hAnsi="inherit"/>
                <w:sz w:val="17"/>
              </w:rPr>
            </w:pPr>
            <w:r>
              <w:rPr>
                <w:rFonts w:ascii="inherit" w:hAnsi="inherit"/>
                <w:sz w:val="17"/>
              </w:rPr>
              <w:t>245</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34" w:type="dxa"/>
            <w:tcBorders/>
            <w:shd w:fill="CCEEFF" w:val="clear"/>
            <w:vAlign w:val="center"/>
          </w:tcPr>
          <w:p>
            <w:pPr>
              <w:pStyle w:val="TableContents"/>
              <w:spacing w:before="0" w:after="0"/>
              <w:jc w:val="right"/>
              <w:rPr>
                <w:rFonts w:ascii="inherit" w:hAnsi="inherit"/>
                <w:sz w:val="17"/>
              </w:rPr>
            </w:pPr>
            <w:r>
              <w:rPr>
                <w:rFonts w:ascii="inherit" w:hAnsi="inherit"/>
                <w:sz w:val="17"/>
              </w:rPr>
              <w:t>285</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CCEEFF" w:val="clear"/>
            <w:vAlign w:val="center"/>
          </w:tcPr>
          <w:p>
            <w:pPr>
              <w:pStyle w:val="TableContents"/>
              <w:spacing w:before="0" w:after="0"/>
              <w:jc w:val="right"/>
              <w:rPr>
                <w:rFonts w:ascii="inherit" w:hAnsi="inherit"/>
                <w:sz w:val="17"/>
              </w:rPr>
            </w:pPr>
            <w:r>
              <w:rPr>
                <w:rFonts w:ascii="inherit" w:hAnsi="inherit"/>
                <w:sz w:val="17"/>
              </w:rPr>
              <w:t>1,487</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rFonts w:ascii="inherit" w:hAnsi="inherit"/>
                <w:sz w:val="17"/>
              </w:rPr>
            </w:pPr>
            <w:r>
              <w:rPr>
                <w:rFonts w:ascii="inherit" w:hAnsi="inherit"/>
                <w:sz w:val="17"/>
              </w:rPr>
              <w:t>1,434</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67" w:type="dxa"/>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rFonts w:ascii="inherit" w:hAnsi="inherit"/>
                <w:sz w:val="17"/>
              </w:rPr>
            </w:pPr>
            <w:r>
              <w:rPr>
                <w:rFonts w:ascii="inherit" w:hAnsi="inherit"/>
                <w:sz w:val="17"/>
              </w:rPr>
              <w:t>2,921</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573</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1828" w:type="dxa"/>
            <w:gridSpan w:val="4"/>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September 30, 2011</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57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712"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36" w:type="dxa"/>
            <w:gridSpan w:val="3"/>
            <w:tcBorders/>
            <w:shd w:fill="auto" w:val="clear"/>
            <w:vAlign w:val="center"/>
          </w:tcPr>
          <w:p>
            <w:pPr>
              <w:pStyle w:val="TableContents"/>
              <w:spacing w:before="0" w:after="0"/>
              <w:ind w:left="0" w:right="0" w:firstLine="420"/>
              <w:rPr/>
            </w:pPr>
            <w:r>
              <w:rPr/>
              <w:t> </w:t>
            </w:r>
          </w:p>
        </w:tc>
      </w:tr>
      <w:tr>
        <w:trPr/>
        <w:tc>
          <w:tcPr>
            <w:tcW w:w="1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shd w:fill="CCEEFF" w:val="clear"/>
            <w:vAlign w:val="center"/>
          </w:tcPr>
          <w:p>
            <w:pPr>
              <w:pStyle w:val="TableContents"/>
              <w:spacing w:before="0" w:after="0"/>
              <w:jc w:val="right"/>
              <w:rPr>
                <w:rFonts w:ascii="inherit" w:hAnsi="inherit"/>
                <w:sz w:val="17"/>
              </w:rPr>
            </w:pPr>
            <w:r>
              <w:rPr>
                <w:rFonts w:ascii="inherit" w:hAnsi="inherit"/>
                <w:sz w:val="17"/>
              </w:rPr>
              <w:t>840</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CCEEFF" w:val="clear"/>
            <w:vAlign w:val="center"/>
          </w:tcPr>
          <w:p>
            <w:pPr>
              <w:pStyle w:val="TableContents"/>
              <w:spacing w:before="0" w:after="0"/>
              <w:jc w:val="right"/>
              <w:rPr>
                <w:rFonts w:ascii="inherit" w:hAnsi="inherit"/>
                <w:sz w:val="17"/>
              </w:rPr>
            </w:pPr>
            <w:r>
              <w:rPr>
                <w:rFonts w:ascii="inherit" w:hAnsi="inherit"/>
                <w:sz w:val="17"/>
              </w:rPr>
              <w:t>479</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CCEEFF" w:val="clear"/>
            <w:vAlign w:val="center"/>
          </w:tcPr>
          <w:p>
            <w:pPr>
              <w:pStyle w:val="TableContents"/>
              <w:spacing w:before="0" w:after="0"/>
              <w:jc w:val="right"/>
              <w:rPr>
                <w:rFonts w:ascii="inherit" w:hAnsi="inherit"/>
                <w:sz w:val="17"/>
              </w:rPr>
            </w:pPr>
            <w:r>
              <w:rPr>
                <w:rFonts w:ascii="inherit" w:hAnsi="inherit"/>
                <w:sz w:val="17"/>
              </w:rPr>
              <w:t>283</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34" w:type="dxa"/>
            <w:tcBorders/>
            <w:shd w:fill="CCEEFF" w:val="clear"/>
            <w:vAlign w:val="center"/>
          </w:tcPr>
          <w:p>
            <w:pPr>
              <w:pStyle w:val="TableContents"/>
              <w:spacing w:before="0" w:after="0"/>
              <w:jc w:val="right"/>
              <w:rPr>
                <w:rFonts w:ascii="inherit" w:hAnsi="inherit"/>
                <w:sz w:val="17"/>
              </w:rPr>
            </w:pPr>
            <w:r>
              <w:rPr>
                <w:rFonts w:ascii="inherit" w:hAnsi="inherit"/>
                <w:sz w:val="17"/>
              </w:rPr>
              <w:t>219</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3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CCEEFF" w:val="clear"/>
            <w:vAlign w:val="center"/>
          </w:tcPr>
          <w:p>
            <w:pPr>
              <w:pStyle w:val="TableContents"/>
              <w:spacing w:before="0" w:after="0"/>
              <w:jc w:val="right"/>
              <w:rPr>
                <w:rFonts w:ascii="inherit" w:hAnsi="inherit"/>
                <w:sz w:val="17"/>
              </w:rPr>
            </w:pPr>
            <w:r>
              <w:rPr>
                <w:rFonts w:ascii="inherit" w:hAnsi="inherit"/>
                <w:sz w:val="17"/>
              </w:rPr>
              <w:t>1,821</w:t>
            </w:r>
          </w:p>
        </w:tc>
        <w:tc>
          <w:tcPr>
            <w:tcW w:w="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rFonts w:ascii="inherit" w:hAnsi="inherit"/>
                <w:sz w:val="17"/>
              </w:rPr>
            </w:pPr>
            <w:r>
              <w:rPr>
                <w:rFonts w:ascii="inherit" w:hAnsi="inherit"/>
                <w:sz w:val="17"/>
              </w:rPr>
              <w:t>1,939</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67" w:type="dxa"/>
            <w:tcBorders/>
            <w:shd w:fill="CCEEFF" w:val="clear"/>
            <w:vAlign w:val="center"/>
          </w:tcPr>
          <w:p>
            <w:pPr>
              <w:pStyle w:val="TableContents"/>
              <w:spacing w:before="0" w:after="0"/>
              <w:jc w:val="right"/>
              <w:rPr/>
            </w:pPr>
            <w:r>
              <w:rPr/>
              <w:t>—</w:t>
            </w:r>
          </w:p>
        </w:tc>
        <w:tc>
          <w:tcPr>
            <w:tcW w:w="13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CCEEFF" w:val="clear"/>
            <w:vAlign w:val="center"/>
          </w:tcPr>
          <w:p>
            <w:pPr>
              <w:pStyle w:val="TableContents"/>
              <w:spacing w:before="0" w:after="0"/>
              <w:jc w:val="right"/>
              <w:rPr>
                <w:rFonts w:ascii="inherit" w:hAnsi="inherit"/>
                <w:sz w:val="17"/>
              </w:rPr>
            </w:pPr>
            <w:r>
              <w:rPr>
                <w:rFonts w:ascii="inherit" w:hAnsi="inherit"/>
                <w:sz w:val="17"/>
              </w:rPr>
              <w:t>3,760</w:t>
            </w:r>
          </w:p>
        </w:tc>
        <w:tc>
          <w:tcPr>
            <w:tcW w:w="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9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591" w:type="dxa"/>
            <w:tcBorders/>
            <w:shd w:fill="CCEEFF" w:val="clear"/>
            <w:vAlign w:val="center"/>
          </w:tcPr>
          <w:p>
            <w:pPr>
              <w:pStyle w:val="TableContents"/>
              <w:spacing w:before="0" w:after="0"/>
              <w:jc w:val="right"/>
              <w:rPr>
                <w:rFonts w:ascii="inherit" w:hAnsi="inherit"/>
                <w:sz w:val="17"/>
              </w:rPr>
            </w:pPr>
            <w:r>
              <w:rPr>
                <w:rFonts w:ascii="inherit" w:hAnsi="inherit"/>
                <w:sz w:val="17"/>
              </w:rPr>
              <w:t>538</w:t>
            </w:r>
          </w:p>
        </w:tc>
        <w:tc>
          <w:tcPr>
            <w:tcW w:w="6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CCEEFF" w:val="clear"/>
            <w:vAlign w:val="center"/>
          </w:tcPr>
          <w:p>
            <w:pPr>
              <w:pStyle w:val="TableContents"/>
              <w:spacing w:before="0" w:after="0"/>
              <w:ind w:left="0" w:right="0" w:firstLine="30"/>
              <w:rPr/>
            </w:pPr>
            <w:r>
              <w:rPr/>
              <w:t> </w:t>
            </w:r>
          </w:p>
        </w:tc>
        <w:tc>
          <w:tcPr>
            <w:tcW w:w="164"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shd w:fill="CCEEFF" w:val="clear"/>
            <w:vAlign w:val="center"/>
          </w:tcPr>
          <w:p>
            <w:pPr>
              <w:pStyle w:val="TableContents"/>
              <w:spacing w:before="0" w:after="0"/>
              <w:jc w:val="right"/>
              <w:rPr/>
            </w:pPr>
            <w:r>
              <w:rPr/>
              <w:t>—</w:t>
            </w:r>
          </w:p>
        </w:tc>
        <w:tc>
          <w:tcPr>
            <w:tcW w:w="9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32" w:type="dxa"/>
            <w:gridSpan w:val="12"/>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Unsecured long-term consumer loans: *</w:t>
            </w:r>
          </w:p>
        </w:tc>
        <w:tc>
          <w:tcPr>
            <w:tcW w:w="100" w:type="dxa"/>
            <w:tcBorders/>
            <w:shd w:fill="auto" w:val="clear"/>
            <w:vAlign w:val="center"/>
          </w:tcPr>
          <w:p>
            <w:pPr>
              <w:pStyle w:val="TableContents"/>
              <w:spacing w:before="0" w:after="0"/>
              <w:ind w:left="0" w:right="0" w:firstLine="30"/>
              <w:rPr/>
            </w:pPr>
            <w:r>
              <w:rPr/>
              <w:t> </w:t>
            </w:r>
          </w:p>
        </w:tc>
        <w:tc>
          <w:tcPr>
            <w:tcW w:w="712"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27"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4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03"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849" w:type="dxa"/>
            <w:gridSpan w:val="3"/>
            <w:tcBorders/>
            <w:shd w:fill="auto" w:val="clear"/>
            <w:vAlign w:val="center"/>
          </w:tcPr>
          <w:p>
            <w:pPr>
              <w:pStyle w:val="TableContents"/>
              <w:spacing w:before="0" w:after="0"/>
              <w:ind w:left="0" w:right="0" w:firstLine="30"/>
              <w:rPr/>
            </w:pPr>
            <w:r>
              <w:rPr/>
              <w:t> </w:t>
            </w:r>
          </w:p>
        </w:tc>
        <w:tc>
          <w:tcPr>
            <w:tcW w:w="100" w:type="dxa"/>
            <w:tcBorders/>
            <w:shd w:fill="auto" w:val="clear"/>
            <w:vAlign w:val="center"/>
          </w:tcPr>
          <w:p>
            <w:pPr>
              <w:pStyle w:val="TableContents"/>
              <w:spacing w:before="0" w:after="0"/>
              <w:ind w:left="0" w:right="0" w:firstLine="30"/>
              <w:rPr/>
            </w:pPr>
            <w:r>
              <w:rPr/>
              <w:t> </w:t>
            </w:r>
          </w:p>
        </w:tc>
        <w:tc>
          <w:tcPr>
            <w:tcW w:w="936" w:type="dxa"/>
            <w:gridSpan w:val="3"/>
            <w:tcBorders/>
            <w:shd w:fill="auto" w:val="clear"/>
            <w:vAlign w:val="center"/>
          </w:tcPr>
          <w:p>
            <w:pPr>
              <w:pStyle w:val="TableContents"/>
              <w:spacing w:before="0" w:after="0"/>
              <w:ind w:left="0" w:right="0" w:firstLine="30"/>
              <w:rPr/>
            </w:pPr>
            <w:r>
              <w:rPr/>
              <w:t> </w:t>
            </w:r>
          </w:p>
        </w:tc>
      </w:tr>
      <w:tr>
        <w:trPr/>
        <w:tc>
          <w:tcPr>
            <w:tcW w:w="1828" w:type="dxa"/>
            <w:gridSpan w:val="4"/>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June 30, 2012</w:t>
            </w:r>
          </w:p>
        </w:tc>
        <w:tc>
          <w:tcPr>
            <w:tcW w:w="100" w:type="dxa"/>
            <w:tcBorders/>
            <w:shd w:fill="CCEEFF" w:val="clear"/>
            <w:vAlign w:val="center"/>
          </w:tcPr>
          <w:p>
            <w:pPr>
              <w:pStyle w:val="TableContents"/>
              <w:spacing w:before="0" w:after="0"/>
              <w:ind w:left="0" w:right="0" w:firstLine="30"/>
              <w:rPr/>
            </w:pPr>
            <w:r>
              <w:rPr/>
              <w:t> </w:t>
            </w:r>
          </w:p>
        </w:tc>
        <w:tc>
          <w:tcPr>
            <w:tcW w:w="827"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577"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712"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827"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0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4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03"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849" w:type="dxa"/>
            <w:gridSpan w:val="3"/>
            <w:tcBorders/>
            <w:shd w:fill="CCEEFF" w:val="clear"/>
            <w:vAlign w:val="center"/>
          </w:tcPr>
          <w:p>
            <w:pPr>
              <w:pStyle w:val="TableContents"/>
              <w:spacing w:before="0" w:after="0"/>
              <w:ind w:left="0" w:right="0" w:firstLine="30"/>
              <w:rPr/>
            </w:pPr>
            <w:r>
              <w:rPr/>
              <w:t> </w:t>
            </w:r>
          </w:p>
        </w:tc>
        <w:tc>
          <w:tcPr>
            <w:tcW w:w="100" w:type="dxa"/>
            <w:tcBorders/>
            <w:shd w:fill="CCEEFF" w:val="clear"/>
            <w:vAlign w:val="center"/>
          </w:tcPr>
          <w:p>
            <w:pPr>
              <w:pStyle w:val="TableContents"/>
              <w:spacing w:before="0" w:after="0"/>
              <w:ind w:left="0" w:right="0" w:firstLine="30"/>
              <w:rPr/>
            </w:pPr>
            <w:r>
              <w:rPr/>
              <w:t> </w:t>
            </w:r>
          </w:p>
        </w:tc>
        <w:tc>
          <w:tcPr>
            <w:tcW w:w="936" w:type="dxa"/>
            <w:gridSpan w:val="3"/>
            <w:tcBorders/>
            <w:shd w:fill="CCEEFF" w:val="clear"/>
            <w:vAlign w:val="center"/>
          </w:tcPr>
          <w:p>
            <w:pPr>
              <w:pStyle w:val="TableContents"/>
              <w:spacing w:before="0" w:after="0"/>
              <w:ind w:left="0" w:right="0" w:firstLine="420"/>
              <w:rPr/>
            </w:pPr>
            <w:r>
              <w:rPr/>
              <w:t> </w:t>
            </w:r>
          </w:p>
        </w:tc>
      </w:tr>
      <w:tr>
        <w:trPr/>
        <w:tc>
          <w:tcPr>
            <w:tcW w:w="1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15" w:type="dxa"/>
            <w:tcBorders/>
            <w:shd w:fill="auto" w:val="clear"/>
            <w:vAlign w:val="center"/>
          </w:tcPr>
          <w:p>
            <w:pPr>
              <w:pStyle w:val="TableContents"/>
              <w:spacing w:before="0" w:after="0"/>
              <w:jc w:val="right"/>
              <w:rPr>
                <w:rFonts w:ascii="inherit" w:hAnsi="inherit"/>
                <w:sz w:val="17"/>
              </w:rPr>
            </w:pPr>
            <w:r>
              <w:rPr>
                <w:rFonts w:ascii="inherit" w:hAnsi="inherit"/>
                <w:sz w:val="17"/>
              </w:rPr>
              <w:t>2,645</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auto" w:val="clear"/>
            <w:vAlign w:val="center"/>
          </w:tcPr>
          <w:p>
            <w:pPr>
              <w:pStyle w:val="TableContents"/>
              <w:spacing w:before="0" w:after="0"/>
              <w:jc w:val="right"/>
              <w:rPr>
                <w:rFonts w:ascii="inherit" w:hAnsi="inherit"/>
                <w:sz w:val="17"/>
              </w:rPr>
            </w:pPr>
            <w:r>
              <w:rPr>
                <w:rFonts w:ascii="inherit" w:hAnsi="inherit"/>
                <w:sz w:val="17"/>
              </w:rPr>
              <w:t>23,532</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399" w:type="dxa"/>
            <w:tcBorders/>
            <w:shd w:fill="auto" w:val="clear"/>
            <w:vAlign w:val="center"/>
          </w:tcPr>
          <w:p>
            <w:pPr>
              <w:pStyle w:val="TableContents"/>
              <w:spacing w:before="0" w:after="0"/>
              <w:jc w:val="right"/>
              <w:rPr>
                <w:rFonts w:ascii="inherit" w:hAnsi="inherit"/>
                <w:sz w:val="17"/>
              </w:rPr>
            </w:pPr>
            <w:r>
              <w:rPr>
                <w:rFonts w:ascii="inherit" w:hAnsi="inherit"/>
                <w:sz w:val="17"/>
              </w:rPr>
              <w:t>403</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34" w:type="dxa"/>
            <w:tcBorders/>
            <w:shd w:fill="auto" w:val="clear"/>
            <w:vAlign w:val="center"/>
          </w:tcPr>
          <w:p>
            <w:pPr>
              <w:pStyle w:val="TableContents"/>
              <w:spacing w:before="0" w:after="0"/>
              <w:jc w:val="right"/>
              <w:rPr>
                <w:rFonts w:ascii="inherit" w:hAnsi="inherit"/>
                <w:sz w:val="17"/>
              </w:rPr>
            </w:pPr>
            <w:r>
              <w:rPr>
                <w:rFonts w:ascii="inherit" w:hAnsi="inherit"/>
                <w:sz w:val="17"/>
              </w:rPr>
              <w:t>4,282</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49" w:type="dxa"/>
            <w:tcBorders/>
            <w:shd w:fill="auto" w:val="clear"/>
            <w:vAlign w:val="center"/>
          </w:tcPr>
          <w:p>
            <w:pPr>
              <w:pStyle w:val="TableContents"/>
              <w:spacing w:before="0" w:after="0"/>
              <w:jc w:val="right"/>
              <w:rPr>
                <w:rFonts w:ascii="inherit" w:hAnsi="inherit"/>
                <w:sz w:val="17"/>
              </w:rPr>
            </w:pPr>
            <w:r>
              <w:rPr>
                <w:rFonts w:ascii="inherit" w:hAnsi="inherit"/>
                <w:sz w:val="17"/>
              </w:rPr>
              <w:t>30,862</w:t>
            </w:r>
          </w:p>
        </w:tc>
        <w:tc>
          <w:tcPr>
            <w:tcW w:w="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auto" w:val="clear"/>
            <w:vAlign w:val="center"/>
          </w:tcPr>
          <w:p>
            <w:pPr>
              <w:pStyle w:val="TableContents"/>
              <w:spacing w:before="0" w:after="0"/>
              <w:jc w:val="right"/>
              <w:rPr>
                <w:rFonts w:ascii="inherit" w:hAnsi="inherit"/>
                <w:sz w:val="17"/>
              </w:rPr>
            </w:pPr>
            <w:r>
              <w:rPr>
                <w:rFonts w:ascii="inherit" w:hAnsi="inherit"/>
                <w:sz w:val="17"/>
              </w:rPr>
              <w:t>36,555</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4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67" w:type="dxa"/>
            <w:tcBorders/>
            <w:shd w:fill="auto" w:val="clear"/>
            <w:vAlign w:val="center"/>
          </w:tcPr>
          <w:p>
            <w:pPr>
              <w:pStyle w:val="TableContents"/>
              <w:spacing w:before="0" w:after="0"/>
              <w:jc w:val="right"/>
              <w:rPr>
                <w:rFonts w:ascii="inherit" w:hAnsi="inherit"/>
                <w:sz w:val="17"/>
              </w:rPr>
            </w:pPr>
            <w:r>
              <w:rPr>
                <w:rFonts w:ascii="inherit" w:hAnsi="inherit"/>
                <w:sz w:val="17"/>
              </w:rPr>
              <w:t>(7,161</w:t>
            </w:r>
          </w:p>
        </w:tc>
        <w:tc>
          <w:tcPr>
            <w:tcW w:w="13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00" w:type="dxa"/>
            <w:tcBorders/>
            <w:shd w:fill="auto" w:val="clear"/>
            <w:vAlign w:val="center"/>
          </w:tcPr>
          <w:p>
            <w:pPr>
              <w:pStyle w:val="TableContents"/>
              <w:spacing w:before="0" w:after="0"/>
              <w:ind w:left="0" w:right="0" w:firstLine="30"/>
              <w:rPr/>
            </w:pPr>
            <w:r>
              <w:rPr/>
              <w:t> </w:t>
            </w:r>
          </w:p>
        </w:tc>
        <w:tc>
          <w:tcPr>
            <w:tcW w:w="14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09" w:type="dxa"/>
            <w:tcBorders/>
            <w:shd w:fill="auto" w:val="clear"/>
            <w:vAlign w:val="center"/>
          </w:tcPr>
          <w:p>
            <w:pPr>
              <w:pStyle w:val="TableContents"/>
              <w:spacing w:before="0" w:after="0"/>
              <w:jc w:val="right"/>
              <w:rPr>
                <w:rFonts w:ascii="inherit" w:hAnsi="inherit"/>
                <w:sz w:val="17"/>
              </w:rPr>
            </w:pPr>
            <w:r>
              <w:rPr>
                <w:rFonts w:ascii="inherit" w:hAnsi="inherit"/>
                <w:sz w:val="17"/>
              </w:rPr>
              <w:t>60,256</w:t>
            </w:r>
          </w:p>
        </w:tc>
        <w:tc>
          <w:tcPr>
            <w:tcW w:w="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9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591" w:type="dxa"/>
            <w:tcBorders/>
            <w:shd w:fill="auto" w:val="clear"/>
            <w:vAlign w:val="center"/>
          </w:tcPr>
          <w:p>
            <w:pPr>
              <w:pStyle w:val="TableContents"/>
              <w:spacing w:before="0" w:after="0"/>
              <w:jc w:val="right"/>
              <w:rPr>
                <w:rFonts w:ascii="inherit" w:hAnsi="inherit"/>
                <w:sz w:val="17"/>
              </w:rPr>
            </w:pPr>
            <w:r>
              <w:rPr>
                <w:rFonts w:ascii="inherit" w:hAnsi="inherit"/>
                <w:sz w:val="17"/>
              </w:rPr>
              <w:t>267</w:t>
            </w:r>
          </w:p>
        </w:tc>
        <w:tc>
          <w:tcPr>
            <w:tcW w:w="6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00" w:type="dxa"/>
            <w:tcBorders/>
            <w:shd w:fill="auto" w:val="clear"/>
            <w:vAlign w:val="center"/>
          </w:tcPr>
          <w:p>
            <w:pPr>
              <w:pStyle w:val="TableContents"/>
              <w:spacing w:before="0" w:after="0"/>
              <w:ind w:left="0" w:right="0" w:firstLine="30"/>
              <w:rPr/>
            </w:pPr>
            <w:r>
              <w:rPr/>
              <w:t> </w:t>
            </w:r>
          </w:p>
        </w:tc>
        <w:tc>
          <w:tcPr>
            <w:tcW w:w="1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680" w:type="dxa"/>
            <w:tcBorders/>
            <w:shd w:fill="auto" w:val="clear"/>
            <w:vAlign w:val="center"/>
          </w:tcPr>
          <w:p>
            <w:pPr>
              <w:pStyle w:val="TableContents"/>
              <w:spacing w:before="0" w:after="0"/>
              <w:jc w:val="right"/>
              <w:rPr>
                <w:rFonts w:ascii="inherit" w:hAnsi="inherit"/>
                <w:sz w:val="17"/>
              </w:rPr>
            </w:pPr>
            <w:r>
              <w:rPr>
                <w:rFonts w:ascii="inherit" w:hAnsi="inherit"/>
                <w:sz w:val="17"/>
              </w:rPr>
              <w:t>3,987</w:t>
            </w:r>
          </w:p>
        </w:tc>
        <w:tc>
          <w:tcPr>
            <w:tcW w:w="92"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lineRule="auto" w:line="288" w:before="0" w:after="0"/>
        <w:rPr>
          <w:sz w:val="17"/>
        </w:rPr>
      </w:pPr>
      <w:r>
        <w:rPr>
          <w:rFonts w:ascii="inherit" w:hAnsi="inherit"/>
          <w:sz w:val="15"/>
        </w:rPr>
        <w:t xml:space="preserve">* </w:t>
      </w:r>
      <w:r>
        <w:rPr>
          <w:rFonts w:ascii="inherit" w:hAnsi="inherit"/>
          <w:sz w:val="17"/>
        </w:rPr>
        <w:t>Unsecured long-term consumer loans amounts only existed in periods after the acquisition of Crediamigo.</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7" w:name="sEE6308993170D3304617A412591C1404"/>
      <w:bookmarkEnd w:id="27"/>
      <w:r>
        <w:rPr>
          <w:rFonts w:ascii="inherit" w:hAnsi="inherit"/>
          <w:b/>
          <w:sz w:val="17"/>
        </w:rPr>
        <w:t>Note L: Fair Value Measurements</w:t>
      </w:r>
    </w:p>
    <w:p>
      <w:pPr>
        <w:pStyle w:val="TextBody"/>
        <w:spacing w:lineRule="auto" w:line="288" w:before="0" w:after="0"/>
        <w:rPr>
          <w:sz w:val="17"/>
        </w:rPr>
      </w:pPr>
      <w:r>
        <w:rPr>
          <w:rFonts w:ascii="inherit" w:hAnsi="inherit"/>
          <w:sz w:val="17"/>
        </w:rPr>
        <w:t xml:space="preserve">In accordance with FASB ASC 820-10, </w:t>
      </w:r>
      <w:r>
        <w:rPr>
          <w:rFonts w:ascii="inherit" w:hAnsi="inherit"/>
          <w:i/>
          <w:sz w:val="17"/>
        </w:rPr>
        <w:t>Fair Value Measurements and Disclosures</w:t>
      </w:r>
      <w:r>
        <w:rPr>
          <w:rFonts w:ascii="inherit" w:hAnsi="inherit"/>
          <w:sz w:val="17"/>
        </w:rPr>
        <w:t>, our assets and liabilities, which are carried at fair value, are classified in one of the following three categories:</w:t>
      </w:r>
    </w:p>
    <w:p>
      <w:pPr>
        <w:pStyle w:val="TextBody"/>
        <w:spacing w:lineRule="auto" w:line="288" w:before="0" w:after="0"/>
        <w:rPr>
          <w:rFonts w:ascii="inherit" w:hAnsi="inherit"/>
          <w:sz w:val="17"/>
        </w:rPr>
      </w:pPr>
      <w:r>
        <w:rPr>
          <w:rFonts w:ascii="inherit" w:hAnsi="inherit"/>
          <w:sz w:val="17"/>
        </w:rPr>
        <w:t>Level 1: Quoted market prices in active markets for identical assets or liabilities.</w:t>
      </w:r>
    </w:p>
    <w:p>
      <w:pPr>
        <w:pStyle w:val="TextBody"/>
        <w:spacing w:lineRule="auto" w:line="288" w:before="0" w:after="0"/>
        <w:rPr>
          <w:rFonts w:ascii="inherit" w:hAnsi="inherit"/>
          <w:sz w:val="17"/>
        </w:rPr>
      </w:pPr>
      <w:r>
        <w:rPr>
          <w:rFonts w:ascii="inherit" w:hAnsi="inherit"/>
          <w:sz w:val="17"/>
        </w:rPr>
        <w:t>Level 2: Other observable inputs other than quoted market prices.</w:t>
      </w:r>
    </w:p>
    <w:p>
      <w:pPr>
        <w:pStyle w:val="TextBody"/>
        <w:spacing w:lineRule="auto" w:line="288" w:before="0" w:after="0"/>
        <w:rPr>
          <w:rFonts w:ascii="inherit" w:hAnsi="inherit"/>
          <w:sz w:val="17"/>
        </w:rPr>
      </w:pPr>
      <w:r>
        <w:rPr>
          <w:rFonts w:ascii="inherit" w:hAnsi="inherit"/>
          <w:sz w:val="17"/>
        </w:rPr>
        <w:t>Level 3: Unobservable inputs that are not corroborated by market data.</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26</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The tables below present our financial assets that are measured at fair value on a recurring basis as of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September 30, 2011</w:t>
      </w:r>
      <w:r>
        <w:rPr>
          <w:rFonts w:ascii="inherit" w:hAnsi="inherit"/>
          <w:sz w:val="17"/>
        </w:rPr>
        <w: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240"/>
        <w:gridCol w:w="235"/>
        <w:gridCol w:w="1524"/>
        <w:gridCol w:w="108"/>
        <w:gridCol w:w="136"/>
        <w:gridCol w:w="203"/>
        <w:gridCol w:w="1398"/>
        <w:gridCol w:w="99"/>
        <w:gridCol w:w="164"/>
        <w:gridCol w:w="203"/>
        <w:gridCol w:w="1151"/>
        <w:gridCol w:w="99"/>
        <w:gridCol w:w="164"/>
        <w:gridCol w:w="203"/>
        <w:gridCol w:w="1151"/>
        <w:gridCol w:w="127"/>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240"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1524"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398"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240" w:type="dxa"/>
            <w:tcBorders/>
            <w:shd w:fill="auto" w:val="clear"/>
            <w:vAlign w:val="center"/>
          </w:tcPr>
          <w:p>
            <w:pPr>
              <w:pStyle w:val="TableContents"/>
              <w:spacing w:before="0" w:after="0"/>
              <w:ind w:left="0" w:right="0" w:firstLine="30"/>
              <w:jc w:val="left"/>
              <w:rPr/>
            </w:pPr>
            <w:r>
              <w:rPr/>
              <w:t> </w:t>
            </w:r>
          </w:p>
        </w:tc>
        <w:tc>
          <w:tcPr>
            <w:tcW w:w="186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2012</w:t>
            </w:r>
          </w:p>
        </w:tc>
        <w:tc>
          <w:tcPr>
            <w:tcW w:w="136" w:type="dxa"/>
            <w:vMerge w:val="restart"/>
            <w:tcBorders/>
            <w:shd w:fill="auto" w:val="clear"/>
            <w:vAlign w:val="center"/>
          </w:tcPr>
          <w:p>
            <w:pPr>
              <w:pStyle w:val="TableContents"/>
              <w:spacing w:before="0" w:after="0"/>
              <w:ind w:left="0" w:right="0" w:firstLine="30"/>
              <w:rPr/>
            </w:pPr>
            <w:r>
              <w:rPr/>
              <w:t> </w:t>
            </w:r>
          </w:p>
        </w:tc>
        <w:tc>
          <w:tcPr>
            <w:tcW w:w="496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Fair Value Measurements Using</w:t>
            </w:r>
          </w:p>
        </w:tc>
      </w:tr>
      <w:tr>
        <w:trPr/>
        <w:tc>
          <w:tcPr>
            <w:tcW w:w="32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Financial assets:</w:t>
            </w:r>
          </w:p>
        </w:tc>
        <w:tc>
          <w:tcPr>
            <w:tcW w:w="1867" w:type="dxa"/>
            <w:gridSpan w:val="3"/>
            <w:vMerge w:val="continue"/>
            <w:tcBorders>
              <w:bottom w:val="single" w:sz="2" w:space="0" w:color="000000"/>
            </w:tcBorders>
            <w:shd w:fill="auto" w:val="clear"/>
            <w:tcMar>
              <w:bottom w:w="30" w:type="dxa"/>
            </w:tcMar>
            <w:vAlign w:val="center"/>
          </w:tcPr>
          <w:p>
            <w:pPr>
              <w:pStyle w:val="Normal"/>
              <w:rPr/>
            </w:pPr>
            <w:r>
              <w:rPr/>
            </w:r>
          </w:p>
        </w:tc>
        <w:tc>
          <w:tcPr>
            <w:tcW w:w="136" w:type="dxa"/>
            <w:vMerge w:val="continue"/>
            <w:tcBorders/>
            <w:shd w:fill="auto" w:val="clear"/>
            <w:vAlign w:val="center"/>
          </w:tcPr>
          <w:p>
            <w:pPr>
              <w:pStyle w:val="Normal"/>
              <w:rPr/>
            </w:pPr>
            <w:r>
              <w:rPr/>
            </w:r>
          </w:p>
        </w:tc>
        <w:tc>
          <w:tcPr>
            <w:tcW w:w="17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1</w:t>
            </w:r>
          </w:p>
        </w:tc>
        <w:tc>
          <w:tcPr>
            <w:tcW w:w="164" w:type="dxa"/>
            <w:tcBorders/>
            <w:shd w:fill="auto" w:val="clear"/>
            <w:vAlign w:val="center"/>
          </w:tcPr>
          <w:p>
            <w:pPr>
              <w:pStyle w:val="TableContents"/>
              <w:spacing w:before="0" w:after="0"/>
              <w:ind w:left="0" w:right="0" w:firstLine="30"/>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2</w:t>
            </w:r>
          </w:p>
        </w:tc>
        <w:tc>
          <w:tcPr>
            <w:tcW w:w="164" w:type="dxa"/>
            <w:tcBorders/>
            <w:shd w:fill="auto" w:val="clear"/>
            <w:vAlign w:val="center"/>
          </w:tcPr>
          <w:p>
            <w:pPr>
              <w:pStyle w:val="TableContents"/>
              <w:spacing w:before="0" w:after="0"/>
              <w:ind w:left="0" w:right="0" w:firstLine="30"/>
              <w:rPr/>
            </w:pPr>
            <w:r>
              <w:rPr/>
              <w:t> </w:t>
            </w:r>
          </w:p>
        </w:tc>
        <w:tc>
          <w:tcPr>
            <w:tcW w:w="14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3</w:t>
            </w:r>
          </w:p>
        </w:tc>
      </w:tr>
      <w:tr>
        <w:trPr/>
        <w:tc>
          <w:tcPr>
            <w:tcW w:w="3240" w:type="dxa"/>
            <w:tcBorders/>
            <w:shd w:fill="auto" w:val="clear"/>
            <w:vAlign w:val="center"/>
          </w:tcPr>
          <w:p>
            <w:pPr>
              <w:pStyle w:val="TableContents"/>
              <w:spacing w:before="0" w:after="0"/>
              <w:ind w:left="0" w:right="0" w:firstLine="30"/>
              <w:jc w:val="left"/>
              <w:rPr/>
            </w:pPr>
            <w:r>
              <w:rPr/>
              <w:t> </w:t>
            </w:r>
          </w:p>
        </w:tc>
        <w:tc>
          <w:tcPr>
            <w:tcW w:w="696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23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524" w:type="dxa"/>
            <w:tcBorders/>
            <w:shd w:fill="CCEEFF" w:val="clear"/>
            <w:vAlign w:val="center"/>
          </w:tcPr>
          <w:p>
            <w:pPr>
              <w:pStyle w:val="TableContents"/>
              <w:spacing w:before="0" w:after="0"/>
              <w:jc w:val="right"/>
              <w:rPr>
                <w:rFonts w:ascii="inherit" w:hAnsi="inherit"/>
                <w:sz w:val="17"/>
              </w:rPr>
            </w:pPr>
            <w:r>
              <w:rPr>
                <w:rFonts w:ascii="inherit" w:hAnsi="inherit"/>
                <w:sz w:val="17"/>
              </w:rPr>
              <w:t>4,520</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shd w:fill="CCEEFF" w:val="clear"/>
            <w:vAlign w:val="center"/>
          </w:tcPr>
          <w:p>
            <w:pPr>
              <w:pStyle w:val="TableContents"/>
              <w:spacing w:before="0" w:after="0"/>
              <w:jc w:val="right"/>
              <w:rPr>
                <w:rFonts w:ascii="inherit" w:hAnsi="inherit"/>
                <w:sz w:val="17"/>
              </w:rPr>
            </w:pPr>
            <w:r>
              <w:rPr>
                <w:rFonts w:ascii="inherit" w:hAnsi="inherit"/>
                <w:sz w:val="17"/>
              </w:rPr>
              <w:t>4,520</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pPr>
            <w:r>
              <w:rPr/>
              <w:t>—</w:t>
            </w:r>
          </w:p>
        </w:tc>
        <w:tc>
          <w:tcPr>
            <w:tcW w:w="1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0" w:type="dxa"/>
            <w:tcBorders/>
            <w:shd w:fill="auto" w:val="clear"/>
            <w:vAlign w:val="center"/>
          </w:tcPr>
          <w:p>
            <w:pPr>
              <w:pStyle w:val="TableContents"/>
              <w:spacing w:before="0" w:after="0"/>
              <w:ind w:left="0" w:right="0" w:firstLine="30"/>
              <w:jc w:val="left"/>
              <w:rPr/>
            </w:pPr>
            <w:r>
              <w:rPr/>
              <w:t> </w:t>
            </w:r>
          </w:p>
        </w:tc>
        <w:tc>
          <w:tcPr>
            <w:tcW w:w="186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2011</w:t>
            </w:r>
          </w:p>
        </w:tc>
        <w:tc>
          <w:tcPr>
            <w:tcW w:w="136" w:type="dxa"/>
            <w:vMerge w:val="restart"/>
            <w:tcBorders/>
            <w:shd w:fill="auto" w:val="clear"/>
            <w:vAlign w:val="center"/>
          </w:tcPr>
          <w:p>
            <w:pPr>
              <w:pStyle w:val="TableContents"/>
              <w:spacing w:before="0" w:after="0"/>
              <w:ind w:left="0" w:right="0" w:firstLine="30"/>
              <w:rPr/>
            </w:pPr>
            <w:r>
              <w:rPr/>
              <w:t> </w:t>
            </w:r>
          </w:p>
        </w:tc>
        <w:tc>
          <w:tcPr>
            <w:tcW w:w="496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Fair Value Measurements Using</w:t>
            </w:r>
          </w:p>
        </w:tc>
      </w:tr>
      <w:tr>
        <w:trPr/>
        <w:tc>
          <w:tcPr>
            <w:tcW w:w="32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Financial assets:</w:t>
            </w:r>
          </w:p>
        </w:tc>
        <w:tc>
          <w:tcPr>
            <w:tcW w:w="1867" w:type="dxa"/>
            <w:gridSpan w:val="3"/>
            <w:vMerge w:val="continue"/>
            <w:tcBorders>
              <w:bottom w:val="single" w:sz="2" w:space="0" w:color="000000"/>
            </w:tcBorders>
            <w:shd w:fill="auto" w:val="clear"/>
            <w:tcMar>
              <w:bottom w:w="30" w:type="dxa"/>
            </w:tcMar>
            <w:vAlign w:val="center"/>
          </w:tcPr>
          <w:p>
            <w:pPr>
              <w:pStyle w:val="Normal"/>
              <w:rPr/>
            </w:pPr>
            <w:r>
              <w:rPr/>
            </w:r>
          </w:p>
        </w:tc>
        <w:tc>
          <w:tcPr>
            <w:tcW w:w="136" w:type="dxa"/>
            <w:vMerge w:val="continue"/>
            <w:tcBorders/>
            <w:shd w:fill="auto" w:val="clear"/>
            <w:vAlign w:val="center"/>
          </w:tcPr>
          <w:p>
            <w:pPr>
              <w:pStyle w:val="Normal"/>
              <w:rPr/>
            </w:pPr>
            <w:r>
              <w:rPr/>
            </w:r>
          </w:p>
        </w:tc>
        <w:tc>
          <w:tcPr>
            <w:tcW w:w="17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1</w:t>
            </w:r>
          </w:p>
        </w:tc>
        <w:tc>
          <w:tcPr>
            <w:tcW w:w="164" w:type="dxa"/>
            <w:tcBorders/>
            <w:shd w:fill="auto" w:val="clear"/>
            <w:vAlign w:val="center"/>
          </w:tcPr>
          <w:p>
            <w:pPr>
              <w:pStyle w:val="TableContents"/>
              <w:spacing w:before="0" w:after="0"/>
              <w:ind w:left="0" w:right="0" w:firstLine="30"/>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2</w:t>
            </w:r>
          </w:p>
        </w:tc>
        <w:tc>
          <w:tcPr>
            <w:tcW w:w="164" w:type="dxa"/>
            <w:tcBorders/>
            <w:shd w:fill="auto" w:val="clear"/>
            <w:vAlign w:val="center"/>
          </w:tcPr>
          <w:p>
            <w:pPr>
              <w:pStyle w:val="TableContents"/>
              <w:spacing w:before="0" w:after="0"/>
              <w:ind w:left="0" w:right="0" w:firstLine="30"/>
              <w:rPr/>
            </w:pPr>
            <w:r>
              <w:rPr/>
              <w:t> </w:t>
            </w:r>
          </w:p>
        </w:tc>
        <w:tc>
          <w:tcPr>
            <w:tcW w:w="14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3</w:t>
            </w:r>
          </w:p>
        </w:tc>
      </w:tr>
      <w:tr>
        <w:trPr/>
        <w:tc>
          <w:tcPr>
            <w:tcW w:w="3240" w:type="dxa"/>
            <w:tcBorders/>
            <w:shd w:fill="auto" w:val="clear"/>
            <w:vAlign w:val="center"/>
          </w:tcPr>
          <w:p>
            <w:pPr>
              <w:pStyle w:val="TableContents"/>
              <w:spacing w:before="0" w:after="0"/>
              <w:ind w:left="0" w:right="0" w:firstLine="30"/>
              <w:jc w:val="left"/>
              <w:rPr/>
            </w:pPr>
            <w:r>
              <w:rPr/>
              <w:t> </w:t>
            </w:r>
          </w:p>
        </w:tc>
        <w:tc>
          <w:tcPr>
            <w:tcW w:w="696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23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524" w:type="dxa"/>
            <w:tcBorders/>
            <w:shd w:fill="CCEEFF" w:val="clear"/>
            <w:vAlign w:val="center"/>
          </w:tcPr>
          <w:p>
            <w:pPr>
              <w:pStyle w:val="TableContents"/>
              <w:spacing w:before="0" w:after="0"/>
              <w:jc w:val="right"/>
              <w:rPr>
                <w:rFonts w:ascii="inherit" w:hAnsi="inherit"/>
                <w:sz w:val="17"/>
              </w:rPr>
            </w:pPr>
            <w:r>
              <w:rPr>
                <w:rFonts w:ascii="inherit" w:hAnsi="inherit"/>
                <w:sz w:val="17"/>
              </w:rPr>
              <w:t>5,422</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shd w:fill="CCEEFF" w:val="clear"/>
            <w:vAlign w:val="center"/>
          </w:tcPr>
          <w:p>
            <w:pPr>
              <w:pStyle w:val="TableContents"/>
              <w:spacing w:before="0" w:after="0"/>
              <w:jc w:val="right"/>
              <w:rPr>
                <w:rFonts w:ascii="inherit" w:hAnsi="inherit"/>
                <w:sz w:val="17"/>
              </w:rPr>
            </w:pPr>
            <w:r>
              <w:rPr>
                <w:rFonts w:ascii="inherit" w:hAnsi="inherit"/>
                <w:sz w:val="17"/>
              </w:rPr>
              <w:t>5,422</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pPr>
            <w:r>
              <w:rPr/>
              <w:t>—</w:t>
            </w:r>
          </w:p>
        </w:tc>
        <w:tc>
          <w:tcPr>
            <w:tcW w:w="12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240" w:type="dxa"/>
            <w:tcBorders/>
            <w:shd w:fill="auto" w:val="clear"/>
            <w:vAlign w:val="center"/>
          </w:tcPr>
          <w:p>
            <w:pPr>
              <w:pStyle w:val="TableContents"/>
              <w:spacing w:before="0" w:after="0"/>
              <w:ind w:left="0" w:right="0" w:firstLine="30"/>
              <w:jc w:val="left"/>
              <w:rPr/>
            </w:pPr>
            <w:r>
              <w:rPr/>
              <w:t> </w:t>
            </w:r>
          </w:p>
        </w:tc>
        <w:tc>
          <w:tcPr>
            <w:tcW w:w="1867" w:type="dxa"/>
            <w:gridSpan w:val="3"/>
            <w:vMerge w:val="restart"/>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 2011</w:t>
            </w:r>
          </w:p>
        </w:tc>
        <w:tc>
          <w:tcPr>
            <w:tcW w:w="136" w:type="dxa"/>
            <w:vMerge w:val="restart"/>
            <w:tcBorders/>
            <w:shd w:fill="auto" w:val="clear"/>
            <w:vAlign w:val="center"/>
          </w:tcPr>
          <w:p>
            <w:pPr>
              <w:pStyle w:val="TableContents"/>
              <w:spacing w:before="0" w:after="0"/>
              <w:ind w:left="0" w:right="0" w:firstLine="30"/>
              <w:rPr/>
            </w:pPr>
            <w:r>
              <w:rPr/>
              <w:t> </w:t>
            </w:r>
          </w:p>
        </w:tc>
        <w:tc>
          <w:tcPr>
            <w:tcW w:w="496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Fair Value Measurements Using</w:t>
            </w:r>
          </w:p>
        </w:tc>
      </w:tr>
      <w:tr>
        <w:trPr/>
        <w:tc>
          <w:tcPr>
            <w:tcW w:w="3240"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Financial assets:</w:t>
            </w:r>
          </w:p>
        </w:tc>
        <w:tc>
          <w:tcPr>
            <w:tcW w:w="1867" w:type="dxa"/>
            <w:gridSpan w:val="3"/>
            <w:vMerge w:val="continue"/>
            <w:tcBorders>
              <w:bottom w:val="single" w:sz="2" w:space="0" w:color="000000"/>
            </w:tcBorders>
            <w:shd w:fill="auto" w:val="clear"/>
            <w:tcMar>
              <w:bottom w:w="30" w:type="dxa"/>
            </w:tcMar>
            <w:vAlign w:val="center"/>
          </w:tcPr>
          <w:p>
            <w:pPr>
              <w:pStyle w:val="Normal"/>
              <w:rPr/>
            </w:pPr>
            <w:r>
              <w:rPr/>
            </w:r>
          </w:p>
        </w:tc>
        <w:tc>
          <w:tcPr>
            <w:tcW w:w="136" w:type="dxa"/>
            <w:vMerge w:val="continue"/>
            <w:tcBorders/>
            <w:shd w:fill="auto" w:val="clear"/>
            <w:vAlign w:val="center"/>
          </w:tcPr>
          <w:p>
            <w:pPr>
              <w:pStyle w:val="Normal"/>
              <w:rPr/>
            </w:pPr>
            <w:r>
              <w:rPr/>
            </w:r>
          </w:p>
        </w:tc>
        <w:tc>
          <w:tcPr>
            <w:tcW w:w="170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1</w:t>
            </w:r>
          </w:p>
        </w:tc>
        <w:tc>
          <w:tcPr>
            <w:tcW w:w="164" w:type="dxa"/>
            <w:tcBorders/>
            <w:shd w:fill="auto" w:val="clear"/>
            <w:vAlign w:val="center"/>
          </w:tcPr>
          <w:p>
            <w:pPr>
              <w:pStyle w:val="TableContents"/>
              <w:spacing w:before="0" w:after="0"/>
              <w:ind w:left="0" w:right="0" w:firstLine="30"/>
              <w:rPr/>
            </w:pPr>
            <w:r>
              <w:rPr/>
              <w:t> </w:t>
            </w:r>
          </w:p>
        </w:tc>
        <w:tc>
          <w:tcPr>
            <w:tcW w:w="145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2</w:t>
            </w:r>
          </w:p>
        </w:tc>
        <w:tc>
          <w:tcPr>
            <w:tcW w:w="164" w:type="dxa"/>
            <w:tcBorders/>
            <w:shd w:fill="auto" w:val="clear"/>
            <w:vAlign w:val="center"/>
          </w:tcPr>
          <w:p>
            <w:pPr>
              <w:pStyle w:val="TableContents"/>
              <w:spacing w:before="0" w:after="0"/>
              <w:ind w:left="0" w:right="0" w:firstLine="30"/>
              <w:rPr/>
            </w:pPr>
            <w:r>
              <w:rPr/>
              <w:t> </w:t>
            </w:r>
          </w:p>
        </w:tc>
        <w:tc>
          <w:tcPr>
            <w:tcW w:w="14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Level 3</w:t>
            </w:r>
          </w:p>
        </w:tc>
      </w:tr>
      <w:tr>
        <w:trPr/>
        <w:tc>
          <w:tcPr>
            <w:tcW w:w="3240" w:type="dxa"/>
            <w:tcBorders/>
            <w:shd w:fill="auto" w:val="clear"/>
            <w:vAlign w:val="center"/>
          </w:tcPr>
          <w:p>
            <w:pPr>
              <w:pStyle w:val="TableContents"/>
              <w:spacing w:before="0" w:after="0"/>
              <w:ind w:left="0" w:right="0" w:firstLine="30"/>
              <w:jc w:val="left"/>
              <w:rPr/>
            </w:pPr>
            <w:r>
              <w:rPr/>
              <w:t> </w:t>
            </w:r>
          </w:p>
        </w:tc>
        <w:tc>
          <w:tcPr>
            <w:tcW w:w="696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Marketable equity securities</w:t>
            </w:r>
          </w:p>
        </w:tc>
        <w:tc>
          <w:tcPr>
            <w:tcW w:w="23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524" w:type="dxa"/>
            <w:tcBorders/>
            <w:shd w:fill="CCEEFF" w:val="clear"/>
            <w:vAlign w:val="center"/>
          </w:tcPr>
          <w:p>
            <w:pPr>
              <w:pStyle w:val="TableContents"/>
              <w:spacing w:before="0" w:after="0"/>
              <w:jc w:val="right"/>
              <w:rPr>
                <w:rFonts w:ascii="inherit" w:hAnsi="inherit"/>
                <w:sz w:val="17"/>
              </w:rPr>
            </w:pPr>
            <w:r>
              <w:rPr>
                <w:rFonts w:ascii="inherit" w:hAnsi="inherit"/>
                <w:sz w:val="17"/>
              </w:rPr>
              <w:t>5,366</w:t>
            </w:r>
          </w:p>
        </w:tc>
        <w:tc>
          <w:tcPr>
            <w:tcW w:w="10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6"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98" w:type="dxa"/>
            <w:tcBorders/>
            <w:shd w:fill="CCEEFF" w:val="clear"/>
            <w:vAlign w:val="center"/>
          </w:tcPr>
          <w:p>
            <w:pPr>
              <w:pStyle w:val="TableContents"/>
              <w:spacing w:before="0" w:after="0"/>
              <w:jc w:val="right"/>
              <w:rPr>
                <w:rFonts w:ascii="inherit" w:hAnsi="inherit"/>
                <w:sz w:val="17"/>
              </w:rPr>
            </w:pPr>
            <w:r>
              <w:rPr>
                <w:rFonts w:ascii="inherit" w:hAnsi="inherit"/>
                <w:sz w:val="17"/>
              </w:rPr>
              <w:t>5,366</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pPr>
            <w:r>
              <w:rPr/>
              <w:t>—</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64" w:type="dxa"/>
            <w:tcBorders/>
            <w:shd w:fill="CCEEFF" w:val="clear"/>
            <w:vAlign w:val="center"/>
          </w:tcPr>
          <w:p>
            <w:pPr>
              <w:pStyle w:val="TableContents"/>
              <w:spacing w:before="0" w:after="0"/>
              <w:ind w:left="0" w:right="0" w:firstLine="30"/>
              <w:rPr/>
            </w:pPr>
            <w:r>
              <w:rPr/>
              <w:t> </w:t>
            </w:r>
          </w:p>
        </w:tc>
        <w:tc>
          <w:tcPr>
            <w:tcW w:w="20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pPr>
            <w:r>
              <w:rPr/>
              <w:t>—</w:t>
            </w:r>
          </w:p>
        </w:tc>
        <w:tc>
          <w:tcPr>
            <w:tcW w:w="127"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We measure the value of our marketable equity securities under a Level 1 input. These assets are publicly traded equity securities for which market prices are readily available. There were </w:t>
      </w:r>
      <w:r>
        <w:rPr>
          <w:rFonts w:ascii="inherit" w:hAnsi="inherit"/>
          <w:strike w:val="false"/>
          <w:dstrike w:val="false"/>
          <w:color w:val="000000"/>
          <w:sz w:val="17"/>
          <w:u w:val="none"/>
          <w:effect w:val="none"/>
        </w:rPr>
        <w:t>no</w:t>
      </w:r>
      <w:r>
        <w:rPr>
          <w:sz w:val="17"/>
        </w:rPr>
        <w:t xml:space="preserve"> </w:t>
      </w:r>
      <w:r>
        <w:rPr>
          <w:rFonts w:ascii="inherit" w:hAnsi="inherit"/>
          <w:sz w:val="17"/>
        </w:rPr>
        <w:t>transfers of assets in or out of Level 1 fair value measurements in the periods presented.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8" w:name="s65761688243E75E0C0CAA412592CA184"/>
      <w:bookmarkEnd w:id="28"/>
      <w:r>
        <w:rPr>
          <w:rFonts w:ascii="inherit" w:hAnsi="inherit"/>
          <w:b/>
          <w:sz w:val="17"/>
        </w:rPr>
        <w:t>Note M: Derivative Instruments and Hedging Activities</w:t>
      </w:r>
    </w:p>
    <w:p>
      <w:pPr>
        <w:pStyle w:val="TextBody"/>
        <w:spacing w:lineRule="auto" w:line="288" w:before="0" w:after="0"/>
        <w:rPr>
          <w:sz w:val="17"/>
        </w:rPr>
      </w:pPr>
      <w:r>
        <w:rPr>
          <w:rFonts w:ascii="inherit" w:hAnsi="inherit"/>
          <w:sz w:val="17"/>
        </w:rPr>
        <w:t xml:space="preserve">Our earnings and financial position are affected by changes in gold values. In fiscal year </w:t>
      </w:r>
      <w:r>
        <w:rPr>
          <w:rFonts w:ascii="inherit" w:hAnsi="inherit"/>
          <w:strike w:val="false"/>
          <w:dstrike w:val="false"/>
          <w:color w:val="000000"/>
          <w:sz w:val="17"/>
          <w:u w:val="none"/>
          <w:effect w:val="none"/>
        </w:rPr>
        <w:t>2012</w:t>
      </w:r>
      <w:r>
        <w:rPr>
          <w:rFonts w:ascii="inherit" w:hAnsi="inherit"/>
          <w:sz w:val="17"/>
        </w:rPr>
        <w:t xml:space="preserve">, we began using derivative financial instruments in order to manage our commodity price risk associated with the forecasted sales of gold scrap. These derivatives are not designated as hedges, and according to FASB ASC 815-20-25, “Derivatives and Hedging – Recognition,” changes in their fair value are recorded directly in earnings. As of </w:t>
      </w:r>
      <w:r>
        <w:rPr>
          <w:rFonts w:ascii="inherit" w:hAnsi="inherit"/>
          <w:strike w:val="false"/>
          <w:dstrike w:val="false"/>
          <w:color w:val="000000"/>
          <w:sz w:val="17"/>
          <w:u w:val="none"/>
          <w:effect w:val="none"/>
        </w:rPr>
        <w:t>June 30, 2012</w:t>
      </w:r>
      <w:r>
        <w:rPr>
          <w:rFonts w:ascii="inherit" w:hAnsi="inherit"/>
          <w:sz w:val="17"/>
        </w:rPr>
        <w:t>, we had no balance outstanding recorded on our balance sheet.</w:t>
      </w:r>
    </w:p>
    <w:p>
      <w:pPr>
        <w:pStyle w:val="TextBody"/>
        <w:spacing w:lineRule="auto" w:line="288" w:before="0" w:after="0"/>
        <w:rPr>
          <w:sz w:val="17"/>
        </w:rPr>
      </w:pPr>
      <w:r>
        <w:rPr>
          <w:rFonts w:ascii="inherit" w:hAnsi="inherit"/>
          <w:sz w:val="17"/>
        </w:rPr>
        <w:t xml:space="preserve">The table below presents the effect of our derivative financial instruments on the Condensed Consolidated Statements of Operations for three months and </w:t>
      </w:r>
      <w:r>
        <w:rPr>
          <w:rFonts w:ascii="inherit" w:hAnsi="inherit"/>
          <w:strike w:val="false"/>
          <w:dstrike w:val="false"/>
          <w:color w:val="000000"/>
          <w:sz w:val="17"/>
          <w:u w:val="none"/>
          <w:effect w:val="none"/>
        </w:rPr>
        <w:t>nine months ended</w:t>
      </w:r>
      <w:r>
        <w:rPr>
          <w:sz w:val="17"/>
        </w:rPr>
        <w:t xml:space="preserve">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rFonts w:ascii="inherit" w:hAnsi="inherit"/>
          <w:sz w:val="17"/>
        </w:rPr>
        <w: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545"/>
        <w:gridCol w:w="2722"/>
        <w:gridCol w:w="124"/>
        <w:gridCol w:w="181"/>
        <w:gridCol w:w="770"/>
        <w:gridCol w:w="80"/>
        <w:gridCol w:w="143"/>
        <w:gridCol w:w="181"/>
        <w:gridCol w:w="770"/>
        <w:gridCol w:w="80"/>
        <w:gridCol w:w="143"/>
        <w:gridCol w:w="181"/>
        <w:gridCol w:w="913"/>
        <w:gridCol w:w="165"/>
        <w:gridCol w:w="143"/>
        <w:gridCol w:w="181"/>
        <w:gridCol w:w="770"/>
        <w:gridCol w:w="113"/>
      </w:tblGrid>
      <w:tr>
        <w:trPr/>
        <w:tc>
          <w:tcPr>
            <w:tcW w:w="10205" w:type="dxa"/>
            <w:gridSpan w:val="18"/>
            <w:tcBorders/>
            <w:shd w:fill="auto" w:val="clear"/>
            <w:vAlign w:val="center"/>
          </w:tcPr>
          <w:p>
            <w:pPr>
              <w:pStyle w:val="TableContents"/>
              <w:spacing w:before="0" w:after="283"/>
              <w:rPr>
                <w:sz w:val="4"/>
                <w:szCs w:val="4"/>
              </w:rPr>
            </w:pPr>
            <w:r>
              <w:rPr>
                <w:sz w:val="4"/>
                <w:szCs w:val="4"/>
              </w:rPr>
            </w:r>
          </w:p>
        </w:tc>
      </w:tr>
      <w:tr>
        <w:trPr/>
        <w:tc>
          <w:tcPr>
            <w:tcW w:w="2545" w:type="dxa"/>
            <w:tcBorders/>
            <w:shd w:fill="auto" w:val="clear"/>
            <w:vAlign w:val="center"/>
          </w:tcPr>
          <w:p>
            <w:pPr>
              <w:pStyle w:val="TableContents"/>
              <w:spacing w:before="0" w:after="283"/>
              <w:rPr>
                <w:sz w:val="4"/>
                <w:szCs w:val="4"/>
              </w:rPr>
            </w:pPr>
            <w:r>
              <w:rPr>
                <w:sz w:val="4"/>
                <w:szCs w:val="4"/>
              </w:rPr>
            </w:r>
          </w:p>
        </w:tc>
        <w:tc>
          <w:tcPr>
            <w:tcW w:w="2722"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770"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545" w:type="dxa"/>
            <w:tcBorders/>
            <w:shd w:fill="auto" w:val="clear"/>
            <w:vAlign w:val="center"/>
          </w:tcPr>
          <w:p>
            <w:pPr>
              <w:pStyle w:val="TableContents"/>
              <w:spacing w:before="0" w:after="0"/>
              <w:ind w:left="0" w:right="0" w:firstLine="30"/>
              <w:jc w:val="left"/>
              <w:rPr/>
            </w:pPr>
            <w:r>
              <w:rPr/>
              <w:t> </w:t>
            </w:r>
          </w:p>
        </w:tc>
        <w:tc>
          <w:tcPr>
            <w:tcW w:w="2722" w:type="dxa"/>
            <w:tcBorders/>
            <w:shd w:fill="auto" w:val="clear"/>
            <w:vAlign w:val="center"/>
          </w:tcPr>
          <w:p>
            <w:pPr>
              <w:pStyle w:val="TableContents"/>
              <w:spacing w:before="0" w:after="0"/>
              <w:ind w:left="0" w:right="0" w:firstLine="30"/>
              <w:jc w:val="left"/>
              <w:rPr/>
            </w:pPr>
            <w:r>
              <w:rPr/>
              <w:t> </w:t>
            </w:r>
          </w:p>
        </w:tc>
        <w:tc>
          <w:tcPr>
            <w:tcW w:w="124" w:type="dxa"/>
            <w:tcBorders/>
            <w:shd w:fill="auto" w:val="clear"/>
            <w:vAlign w:val="center"/>
          </w:tcPr>
          <w:p>
            <w:pPr>
              <w:pStyle w:val="TableContents"/>
              <w:spacing w:before="0" w:after="0"/>
              <w:ind w:left="0" w:right="0" w:firstLine="30"/>
              <w:rPr/>
            </w:pPr>
            <w:r>
              <w:rPr/>
              <w:t> </w:t>
            </w:r>
          </w:p>
        </w:tc>
        <w:tc>
          <w:tcPr>
            <w:tcW w:w="481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(Gains) Losses Recognized in Income</w:t>
            </w:r>
          </w:p>
        </w:tc>
      </w:tr>
      <w:tr>
        <w:trPr/>
        <w:tc>
          <w:tcPr>
            <w:tcW w:w="2545" w:type="dxa"/>
            <w:tcBorders/>
            <w:shd w:fill="auto" w:val="clear"/>
            <w:vAlign w:val="center"/>
          </w:tcPr>
          <w:p>
            <w:pPr>
              <w:pStyle w:val="TableContents"/>
              <w:spacing w:before="0" w:after="0"/>
              <w:ind w:left="0" w:right="0" w:firstLine="30"/>
              <w:rPr/>
            </w:pPr>
            <w:r>
              <w:rPr/>
              <w:t>  </w:t>
            </w:r>
          </w:p>
        </w:tc>
        <w:tc>
          <w:tcPr>
            <w:tcW w:w="2722" w:type="dxa"/>
            <w:tcBorders/>
            <w:shd w:fill="auto" w:val="clear"/>
            <w:vAlign w:val="center"/>
          </w:tcPr>
          <w:p>
            <w:pPr>
              <w:pStyle w:val="TableContents"/>
              <w:spacing w:before="0" w:after="0"/>
              <w:ind w:left="0" w:right="0" w:firstLine="30"/>
              <w:jc w:val="left"/>
              <w:rPr/>
            </w:pPr>
            <w:r>
              <w:rPr/>
              <w:t> </w:t>
            </w:r>
          </w:p>
        </w:tc>
        <w:tc>
          <w:tcPr>
            <w:tcW w:w="124" w:type="dxa"/>
            <w:tcBorders/>
            <w:shd w:fill="auto" w:val="clear"/>
            <w:vAlign w:val="center"/>
          </w:tcPr>
          <w:p>
            <w:pPr>
              <w:pStyle w:val="TableContents"/>
              <w:spacing w:before="0" w:after="0"/>
              <w:ind w:left="0" w:right="0" w:firstLine="30"/>
              <w:rPr/>
            </w:pPr>
            <w:r>
              <w:rPr/>
              <w:t> </w:t>
            </w:r>
          </w:p>
        </w:tc>
        <w:tc>
          <w:tcPr>
            <w:tcW w:w="220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 June 30,</w:t>
            </w:r>
          </w:p>
        </w:tc>
        <w:tc>
          <w:tcPr>
            <w:tcW w:w="143" w:type="dxa"/>
            <w:tcBorders/>
            <w:shd w:fill="auto" w:val="clear"/>
            <w:vAlign w:val="center"/>
          </w:tcPr>
          <w:p>
            <w:pPr>
              <w:pStyle w:val="TableContents"/>
              <w:spacing w:before="0" w:after="0"/>
              <w:ind w:left="0" w:right="0" w:firstLine="30"/>
              <w:rPr/>
            </w:pPr>
            <w:r>
              <w:rPr/>
              <w:t> </w:t>
            </w:r>
          </w:p>
        </w:tc>
        <w:tc>
          <w:tcPr>
            <w:tcW w:w="246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w:t>
            </w:r>
          </w:p>
        </w:tc>
      </w:tr>
      <w:tr>
        <w:trPr/>
        <w:tc>
          <w:tcPr>
            <w:tcW w:w="25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3"/>
              </w:rPr>
            </w:pPr>
            <w:r>
              <w:rPr>
                <w:rFonts w:ascii="inherit" w:hAnsi="inherit"/>
                <w:sz w:val="13"/>
              </w:rPr>
              <w:t>Derivative Instrument</w:t>
            </w:r>
          </w:p>
        </w:tc>
        <w:tc>
          <w:tcPr>
            <w:tcW w:w="2722" w:type="dxa"/>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Location of (Gain) or Loss</w:t>
            </w:r>
          </w:p>
        </w:tc>
        <w:tc>
          <w:tcPr>
            <w:tcW w:w="124" w:type="dxa"/>
            <w:tcBorders/>
            <w:shd w:fill="auto" w:val="clear"/>
            <w:vAlign w:val="center"/>
          </w:tcPr>
          <w:p>
            <w:pPr>
              <w:pStyle w:val="TableContents"/>
              <w:spacing w:before="0" w:after="0"/>
              <w:ind w:left="0" w:right="0" w:firstLine="30"/>
              <w:rPr/>
            </w:pPr>
            <w:r>
              <w:rPr/>
              <w:t> </w:t>
            </w:r>
          </w:p>
        </w:tc>
        <w:tc>
          <w:tcPr>
            <w:tcW w:w="10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3" w:type="dxa"/>
            <w:tcBorders/>
            <w:shd w:fill="auto" w:val="clear"/>
            <w:vAlign w:val="center"/>
          </w:tcPr>
          <w:p>
            <w:pPr>
              <w:pStyle w:val="TableContents"/>
              <w:spacing w:before="0" w:after="0"/>
              <w:ind w:left="0" w:right="0" w:firstLine="30"/>
              <w:rPr/>
            </w:pPr>
            <w:r>
              <w:rPr/>
              <w:t> </w:t>
            </w:r>
          </w:p>
        </w:tc>
        <w:tc>
          <w:tcPr>
            <w:tcW w:w="103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43" w:type="dxa"/>
            <w:tcBorders/>
            <w:shd w:fill="auto" w:val="clear"/>
            <w:vAlign w:val="center"/>
          </w:tcPr>
          <w:p>
            <w:pPr>
              <w:pStyle w:val="TableContents"/>
              <w:spacing w:before="0" w:after="0"/>
              <w:ind w:left="0" w:right="0" w:firstLine="30"/>
              <w:rPr/>
            </w:pPr>
            <w:r>
              <w:rPr/>
              <w:t> </w:t>
            </w:r>
          </w:p>
        </w:tc>
        <w:tc>
          <w:tcPr>
            <w:tcW w:w="12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3" w:type="dxa"/>
            <w:tcBorders/>
            <w:shd w:fill="auto" w:val="clear"/>
            <w:vAlign w:val="center"/>
          </w:tcPr>
          <w:p>
            <w:pPr>
              <w:pStyle w:val="TableContents"/>
              <w:spacing w:before="0" w:after="0"/>
              <w:ind w:left="0" w:right="0" w:firstLine="30"/>
              <w:rPr/>
            </w:pPr>
            <w:r>
              <w:rPr/>
              <w:t> </w:t>
            </w:r>
          </w:p>
        </w:tc>
        <w:tc>
          <w:tcPr>
            <w:tcW w:w="106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2545" w:type="dxa"/>
            <w:tcBorders/>
            <w:shd w:fill="auto" w:val="clear"/>
            <w:vAlign w:val="center"/>
          </w:tcPr>
          <w:p>
            <w:pPr>
              <w:pStyle w:val="TableContents"/>
              <w:spacing w:before="0" w:after="0"/>
              <w:ind w:left="0" w:right="0" w:firstLine="30"/>
              <w:jc w:val="left"/>
              <w:rPr/>
            </w:pPr>
            <w:r>
              <w:rPr/>
              <w:t> </w:t>
            </w:r>
          </w:p>
        </w:tc>
        <w:tc>
          <w:tcPr>
            <w:tcW w:w="2722" w:type="dxa"/>
            <w:tcBorders/>
            <w:shd w:fill="auto" w:val="clear"/>
            <w:vAlign w:val="center"/>
          </w:tcPr>
          <w:p>
            <w:pPr>
              <w:pStyle w:val="TableContents"/>
              <w:spacing w:before="0" w:after="0"/>
              <w:ind w:left="0" w:right="0" w:firstLine="30"/>
              <w:jc w:val="left"/>
              <w:rPr/>
            </w:pPr>
            <w:r>
              <w:rPr/>
              <w:t> </w:t>
            </w:r>
          </w:p>
        </w:tc>
        <w:tc>
          <w:tcPr>
            <w:tcW w:w="124" w:type="dxa"/>
            <w:tcBorders/>
            <w:shd w:fill="auto" w:val="clear"/>
            <w:vAlign w:val="center"/>
          </w:tcPr>
          <w:p>
            <w:pPr>
              <w:pStyle w:val="TableContents"/>
              <w:spacing w:before="0" w:after="0"/>
              <w:ind w:left="0" w:right="0" w:firstLine="30"/>
              <w:rPr/>
            </w:pPr>
            <w:r>
              <w:rPr/>
              <w:t> </w:t>
            </w:r>
          </w:p>
        </w:tc>
        <w:tc>
          <w:tcPr>
            <w:tcW w:w="481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5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Non-designated derivatives:</w:t>
            </w:r>
          </w:p>
        </w:tc>
        <w:tc>
          <w:tcPr>
            <w:tcW w:w="2722" w:type="dxa"/>
            <w:tcBorders/>
            <w:shd w:fill="CCEEFF" w:val="clear"/>
            <w:vAlign w:val="center"/>
          </w:tcPr>
          <w:p>
            <w:pPr>
              <w:pStyle w:val="TableContents"/>
              <w:spacing w:before="0" w:after="0"/>
              <w:ind w:left="0" w:right="0" w:firstLine="30"/>
              <w:rPr/>
            </w:pPr>
            <w:r>
              <w:rPr/>
              <w:t> </w:t>
            </w:r>
          </w:p>
        </w:tc>
        <w:tc>
          <w:tcPr>
            <w:tcW w:w="124" w:type="dxa"/>
            <w:tcBorders/>
            <w:shd w:fill="CCEEFF" w:val="clear"/>
            <w:vAlign w:val="center"/>
          </w:tcPr>
          <w:p>
            <w:pPr>
              <w:pStyle w:val="TableContents"/>
              <w:spacing w:before="0" w:after="0"/>
              <w:ind w:left="0" w:right="0" w:firstLine="30"/>
              <w:rPr/>
            </w:pPr>
            <w:r>
              <w:rPr/>
              <w:t> </w:t>
            </w:r>
          </w:p>
        </w:tc>
        <w:tc>
          <w:tcPr>
            <w:tcW w:w="1031"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031"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259" w:type="dxa"/>
            <w:gridSpan w:val="3"/>
            <w:tcBorders/>
            <w:shd w:fill="CCEEFF" w:val="clear"/>
            <w:vAlign w:val="center"/>
          </w:tcPr>
          <w:p>
            <w:pPr>
              <w:pStyle w:val="TableContents"/>
              <w:spacing w:before="0" w:after="0"/>
              <w:ind w:left="0" w:right="0" w:firstLine="30"/>
              <w:rPr/>
            </w:pPr>
            <w:r>
              <w:rPr/>
              <w:t> </w:t>
            </w:r>
          </w:p>
        </w:tc>
        <w:tc>
          <w:tcPr>
            <w:tcW w:w="143" w:type="dxa"/>
            <w:tcBorders/>
            <w:shd w:fill="CCEEFF" w:val="clear"/>
            <w:vAlign w:val="center"/>
          </w:tcPr>
          <w:p>
            <w:pPr>
              <w:pStyle w:val="TableContents"/>
              <w:spacing w:before="0" w:after="0"/>
              <w:ind w:left="0" w:right="0" w:firstLine="30"/>
              <w:rPr/>
            </w:pPr>
            <w:r>
              <w:rPr/>
              <w:t> </w:t>
            </w:r>
          </w:p>
        </w:tc>
        <w:tc>
          <w:tcPr>
            <w:tcW w:w="1064" w:type="dxa"/>
            <w:gridSpan w:val="3"/>
            <w:tcBorders/>
            <w:shd w:fill="CCEEFF" w:val="clear"/>
            <w:vAlign w:val="center"/>
          </w:tcPr>
          <w:p>
            <w:pPr>
              <w:pStyle w:val="TableContents"/>
              <w:spacing w:before="0" w:after="0"/>
              <w:ind w:left="0" w:right="0" w:firstLine="30"/>
              <w:rPr/>
            </w:pPr>
            <w:r>
              <w:rPr/>
              <w:t> </w:t>
            </w:r>
          </w:p>
        </w:tc>
      </w:tr>
      <w:tr>
        <w:trPr/>
        <w:tc>
          <w:tcPr>
            <w:tcW w:w="25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Gold Collar</w:t>
            </w:r>
          </w:p>
        </w:tc>
        <w:tc>
          <w:tcPr>
            <w:tcW w:w="27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(income) expense</w:t>
            </w:r>
          </w:p>
        </w:tc>
        <w:tc>
          <w:tcPr>
            <w:tcW w:w="124"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shd w:fill="auto" w:val="clear"/>
            <w:vAlign w:val="center"/>
          </w:tcPr>
          <w:p>
            <w:pPr>
              <w:pStyle w:val="TableContents"/>
              <w:spacing w:before="0" w:after="0"/>
              <w:jc w:val="right"/>
              <w:rPr/>
            </w:pPr>
            <w:r>
              <w:rPr/>
              <w:t>—</w:t>
            </w:r>
          </w:p>
        </w:tc>
        <w:tc>
          <w:tcPr>
            <w:tcW w:w="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3"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13" w:type="dxa"/>
            <w:tcBorders/>
            <w:shd w:fill="auto" w:val="clear"/>
            <w:vAlign w:val="center"/>
          </w:tcPr>
          <w:p>
            <w:pPr>
              <w:pStyle w:val="TableContents"/>
              <w:spacing w:before="0" w:after="0"/>
              <w:jc w:val="right"/>
              <w:rPr>
                <w:rFonts w:ascii="inherit" w:hAnsi="inherit"/>
                <w:sz w:val="17"/>
              </w:rPr>
            </w:pPr>
            <w:r>
              <w:rPr>
                <w:rFonts w:ascii="inherit" w:hAnsi="inherit"/>
                <w:sz w:val="17"/>
              </w:rPr>
              <w:t>(151</w:t>
            </w:r>
          </w:p>
        </w:tc>
        <w:tc>
          <w:tcPr>
            <w:tcW w:w="16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3"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70" w:type="dxa"/>
            <w:tcBorders/>
            <w:shd w:fill="auto" w:val="clear"/>
            <w:vAlign w:val="center"/>
          </w:tcPr>
          <w:p>
            <w:pPr>
              <w:pStyle w:val="TableContents"/>
              <w:spacing w:before="0" w:after="0"/>
              <w:jc w:val="right"/>
              <w:rPr/>
            </w:pPr>
            <w:r>
              <w:rPr/>
              <w:t>—</w:t>
            </w:r>
          </w:p>
        </w:tc>
        <w:tc>
          <w:tcPr>
            <w:tcW w:w="113"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sz w:val="17"/>
        </w:rPr>
      </w:pPr>
      <w:bookmarkStart w:id="29" w:name="sACD380049CFAA0BCB013A41247B1A44C"/>
      <w:bookmarkEnd w:id="29"/>
      <w:r>
        <w:rPr>
          <w:rFonts w:ascii="inherit" w:hAnsi="inherit"/>
          <w:b/>
          <w:sz w:val="17"/>
        </w:rPr>
        <w:t>Note N: Condensed Consolidating Financial Information</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February 3, 2012</w:t>
      </w:r>
      <w:r>
        <w:rPr>
          <w:rFonts w:ascii="inherit" w:hAnsi="inherit"/>
          <w:sz w:val="17"/>
        </w:rPr>
        <w:t>, we filed with the United States Securities and Exchange Commission a “shelf” registration statement on Form S-3 registering the offer and sale of an indeterminate amount of a variety of securities, including debt securities. Unless otherwise indicated in connection with a particular offering of debt securities, each of our domestic subsidiaries will fully and unconditionally guarantee on a joint and several basis our payment obligations under such debt securities.</w:t>
      </w:r>
    </w:p>
    <w:p>
      <w:pPr>
        <w:pStyle w:val="TextBody"/>
        <w:spacing w:lineRule="auto" w:line="288" w:before="0" w:after="0"/>
        <w:rPr>
          <w:sz w:val="17"/>
        </w:rPr>
      </w:pPr>
      <w:r>
        <w:rPr>
          <w:rFonts w:ascii="inherit" w:hAnsi="inherit"/>
          <w:sz w:val="17"/>
        </w:rPr>
        <w:t xml:space="preserve">In accordance with Rule 3-10(d) of Regulation S-X, the following presents condensed consolidating financial information as of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and for the current and prior three and </w:t>
      </w:r>
      <w:r>
        <w:rPr>
          <w:rFonts w:ascii="inherit" w:hAnsi="inherit"/>
          <w:strike w:val="false"/>
          <w:dstrike w:val="false"/>
          <w:color w:val="000000"/>
          <w:sz w:val="17"/>
          <w:u w:val="none"/>
          <w:effect w:val="none"/>
        </w:rPr>
        <w:t>nine-month period</w:t>
      </w:r>
      <w:r>
        <w:rPr>
          <w:rFonts w:ascii="inherit" w:hAnsi="inherit"/>
          <w:sz w:val="17"/>
        </w:rPr>
        <w:t xml:space="preserve">s then ended and as of </w:t>
      </w:r>
      <w:r>
        <w:rPr>
          <w:rFonts w:ascii="inherit" w:hAnsi="inherit"/>
          <w:strike w:val="false"/>
          <w:dstrike w:val="false"/>
          <w:color w:val="000000"/>
          <w:sz w:val="17"/>
          <w:u w:val="none"/>
          <w:effect w:val="none"/>
        </w:rPr>
        <w:t>September 30, 2011</w:t>
      </w:r>
      <w:r>
        <w:rPr>
          <w:sz w:val="17"/>
        </w:rPr>
        <w:t xml:space="preserve"> </w:t>
      </w:r>
      <w:r>
        <w:rPr>
          <w:rFonts w:ascii="inherit" w:hAnsi="inherit"/>
          <w:sz w:val="17"/>
        </w:rPr>
        <w:t>for EZCORP, Inc. (the “Parent”), each of the Parent’s domestic subsidiaries (the “Subsidiary Guarantors”) on a combined basis and each of the Parent’s other subsidiaries (the “Other Subsidiaries”) on a combined basis. Eliminating entries presented are necessary to combine the groups of entities.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27</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u w:val="single"/>
        </w:rPr>
        <w:t>Condens</w:t>
      </w:r>
      <w:r>
        <w:rPr>
          <w:rFonts w:ascii="inherit" w:hAnsi="inherit"/>
          <w:sz w:val="15"/>
          <w:u w:val="single"/>
        </w:rPr>
        <w:t>ed Consolidating Balance Sheets</w:t>
      </w:r>
    </w:p>
    <w:tbl>
      <w:tblPr>
        <w:tblW w:w="10205" w:type="dxa"/>
        <w:jc w:val="left"/>
        <w:tblInd w:w="0" w:type="dxa"/>
        <w:tblCellMar>
          <w:top w:w="0" w:type="dxa"/>
          <w:left w:w="0" w:type="dxa"/>
          <w:bottom w:w="0" w:type="dxa"/>
          <w:right w:w="0" w:type="dxa"/>
        </w:tblCellMar>
      </w:tblPr>
      <w:tblGrid>
        <w:gridCol w:w="2430"/>
        <w:gridCol w:w="138"/>
        <w:gridCol w:w="869"/>
        <w:gridCol w:w="138"/>
        <w:gridCol w:w="118"/>
        <w:gridCol w:w="144"/>
        <w:gridCol w:w="905"/>
        <w:gridCol w:w="146"/>
        <w:gridCol w:w="118"/>
        <w:gridCol w:w="152"/>
        <w:gridCol w:w="948"/>
        <w:gridCol w:w="154"/>
        <w:gridCol w:w="118"/>
        <w:gridCol w:w="147"/>
        <w:gridCol w:w="987"/>
        <w:gridCol w:w="149"/>
        <w:gridCol w:w="118"/>
        <w:gridCol w:w="138"/>
        <w:gridCol w:w="1001"/>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30"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869"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948"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center"/>
          </w:tcPr>
          <w:p>
            <w:pPr>
              <w:pStyle w:val="TableContents"/>
              <w:spacing w:before="0" w:after="283"/>
              <w:rPr>
                <w:sz w:val="4"/>
                <w:szCs w:val="4"/>
              </w:rPr>
            </w:pPr>
            <w:r>
              <w:rPr>
                <w:sz w:val="4"/>
                <w:szCs w:val="4"/>
              </w:rPr>
            </w:r>
          </w:p>
        </w:tc>
        <w:tc>
          <w:tcPr>
            <w:tcW w:w="138" w:type="dxa"/>
            <w:tcBorders/>
            <w:shd w:fill="auto" w:val="clear"/>
            <w:vAlign w:val="center"/>
          </w:tcPr>
          <w:p>
            <w:pPr>
              <w:pStyle w:val="TableContents"/>
              <w:spacing w:before="0" w:after="283"/>
              <w:rPr>
                <w:sz w:val="4"/>
                <w:szCs w:val="4"/>
              </w:rPr>
            </w:pPr>
            <w:r>
              <w:rPr>
                <w:sz w:val="4"/>
                <w:szCs w:val="4"/>
              </w:rPr>
            </w:r>
          </w:p>
        </w:tc>
        <w:tc>
          <w:tcPr>
            <w:tcW w:w="1001"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30" w:type="dxa"/>
            <w:tcBorders/>
            <w:shd w:fill="auto" w:val="clear"/>
            <w:vAlign w:val="center"/>
          </w:tcPr>
          <w:p>
            <w:pPr>
              <w:pStyle w:val="TableContents"/>
              <w:spacing w:before="0" w:after="0"/>
              <w:ind w:left="0" w:right="0" w:firstLine="30"/>
              <w:jc w:val="left"/>
              <w:rPr/>
            </w:pPr>
            <w:r>
              <w:rPr/>
              <w:t> </w:t>
            </w:r>
          </w:p>
        </w:tc>
        <w:tc>
          <w:tcPr>
            <w:tcW w:w="777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June 30, 2012</w:t>
            </w:r>
          </w:p>
        </w:tc>
      </w:tr>
      <w:tr>
        <w:trPr/>
        <w:tc>
          <w:tcPr>
            <w:tcW w:w="2430" w:type="dxa"/>
            <w:tcBorders/>
            <w:shd w:fill="auto" w:val="clear"/>
            <w:vAlign w:val="center"/>
          </w:tcPr>
          <w:p>
            <w:pPr>
              <w:pStyle w:val="TableContents"/>
              <w:spacing w:before="0" w:after="0"/>
              <w:ind w:left="0" w:right="0" w:firstLine="30"/>
              <w:rPr/>
            </w:pPr>
            <w:r>
              <w:rPr/>
              <w:t>  </w:t>
            </w:r>
          </w:p>
        </w:tc>
        <w:tc>
          <w:tcPr>
            <w:tcW w:w="777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5"/>
              </w:rPr>
            </w:pPr>
            <w:r>
              <w:rPr>
                <w:rFonts w:ascii="inherit" w:hAnsi="inherit"/>
                <w:i/>
                <w:sz w:val="15"/>
              </w:rPr>
              <w:t>(Unaudited)</w:t>
            </w:r>
          </w:p>
        </w:tc>
      </w:tr>
      <w:tr>
        <w:trPr/>
        <w:tc>
          <w:tcPr>
            <w:tcW w:w="2430" w:type="dxa"/>
            <w:tcBorders/>
            <w:shd w:fill="auto" w:val="clear"/>
            <w:vAlign w:val="center"/>
          </w:tcPr>
          <w:p>
            <w:pPr>
              <w:pStyle w:val="TableContents"/>
              <w:spacing w:before="0" w:after="0"/>
              <w:ind w:left="0" w:right="0" w:firstLine="30"/>
              <w:rPr/>
            </w:pPr>
            <w:r>
              <w:rPr/>
              <w:t>  </w:t>
            </w:r>
          </w:p>
        </w:tc>
        <w:tc>
          <w:tcPr>
            <w:tcW w:w="777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5"/>
              </w:rPr>
            </w:pPr>
            <w:r>
              <w:rPr>
                <w:rFonts w:ascii="inherit" w:hAnsi="inherit"/>
                <w:i/>
                <w:sz w:val="15"/>
              </w:rPr>
              <w:t>(In thousands)</w:t>
            </w:r>
          </w:p>
        </w:tc>
      </w:tr>
      <w:tr>
        <w:trPr/>
        <w:tc>
          <w:tcPr>
            <w:tcW w:w="2430" w:type="dxa"/>
            <w:tcBorders/>
            <w:shd w:fill="auto" w:val="clear"/>
            <w:vAlign w:val="center"/>
          </w:tcPr>
          <w:p>
            <w:pPr>
              <w:pStyle w:val="TableContents"/>
              <w:spacing w:before="0" w:after="0"/>
              <w:ind w:left="0" w:right="0" w:firstLine="30"/>
              <w:jc w:val="left"/>
              <w:rPr/>
            </w:pPr>
            <w:r>
              <w:rPr/>
              <w:t> </w:t>
            </w:r>
          </w:p>
        </w:tc>
        <w:tc>
          <w:tcPr>
            <w:tcW w:w="114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Parent</w:t>
            </w:r>
          </w:p>
        </w:tc>
        <w:tc>
          <w:tcPr>
            <w:tcW w:w="118" w:type="dxa"/>
            <w:tcBorders/>
            <w:shd w:fill="auto" w:val="clear"/>
            <w:vAlign w:val="center"/>
          </w:tcPr>
          <w:p>
            <w:pPr>
              <w:pStyle w:val="TableContents"/>
              <w:spacing w:before="0" w:after="0"/>
              <w:ind w:left="0" w:right="0" w:firstLine="30"/>
              <w:rPr/>
            </w:pPr>
            <w:r>
              <w:rPr/>
              <w:t> </w:t>
            </w:r>
          </w:p>
        </w:tc>
        <w:tc>
          <w:tcPr>
            <w:tcW w:w="11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Subsidiary</w:t>
            </w:r>
          </w:p>
          <w:p>
            <w:pPr>
              <w:pStyle w:val="TableContents"/>
              <w:spacing w:before="0" w:after="0"/>
              <w:ind w:left="0" w:right="0" w:firstLine="30"/>
              <w:jc w:val="center"/>
              <w:rPr>
                <w:rFonts w:ascii="inherit" w:hAnsi="inherit"/>
                <w:sz w:val="15"/>
              </w:rPr>
            </w:pPr>
            <w:r>
              <w:rPr>
                <w:rFonts w:ascii="inherit" w:hAnsi="inherit"/>
                <w:sz w:val="15"/>
              </w:rPr>
              <w:t>Guarantors</w:t>
            </w:r>
          </w:p>
        </w:tc>
        <w:tc>
          <w:tcPr>
            <w:tcW w:w="118" w:type="dxa"/>
            <w:tcBorders/>
            <w:shd w:fill="auto" w:val="clear"/>
            <w:vAlign w:val="center"/>
          </w:tcPr>
          <w:p>
            <w:pPr>
              <w:pStyle w:val="TableContents"/>
              <w:spacing w:before="0" w:after="0"/>
              <w:ind w:left="0" w:right="0" w:firstLine="30"/>
              <w:rPr/>
            </w:pPr>
            <w:r>
              <w:rPr/>
              <w:t> </w:t>
            </w:r>
          </w:p>
        </w:tc>
        <w:tc>
          <w:tcPr>
            <w:tcW w:w="125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5"/>
              </w:rPr>
            </w:pPr>
            <w:r>
              <w:rPr>
                <w:rFonts w:ascii="inherit" w:hAnsi="inherit"/>
                <w:sz w:val="15"/>
              </w:rPr>
              <w:t>Other</w:t>
            </w:r>
          </w:p>
          <w:p>
            <w:pPr>
              <w:pStyle w:val="TableContents"/>
              <w:spacing w:before="0" w:after="0"/>
              <w:ind w:left="0" w:right="0" w:firstLine="30"/>
              <w:jc w:val="center"/>
              <w:rPr>
                <w:rFonts w:ascii="inherit" w:hAnsi="inherit"/>
                <w:sz w:val="15"/>
              </w:rPr>
            </w:pPr>
            <w:r>
              <w:rPr>
                <w:rFonts w:ascii="inherit" w:hAnsi="inherit"/>
                <w:sz w:val="15"/>
              </w:rPr>
              <w:t>Subsidiaries</w:t>
            </w:r>
          </w:p>
        </w:tc>
        <w:tc>
          <w:tcPr>
            <w:tcW w:w="118" w:type="dxa"/>
            <w:tcBorders/>
            <w:shd w:fill="auto" w:val="clear"/>
            <w:vAlign w:val="center"/>
          </w:tcPr>
          <w:p>
            <w:pPr>
              <w:pStyle w:val="TableContents"/>
              <w:spacing w:before="0" w:after="0"/>
              <w:ind w:left="0" w:right="0" w:firstLine="30"/>
              <w:rPr/>
            </w:pPr>
            <w:r>
              <w:rPr/>
              <w:t> </w:t>
            </w:r>
          </w:p>
        </w:tc>
        <w:tc>
          <w:tcPr>
            <w:tcW w:w="128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Eliminations</w:t>
            </w:r>
          </w:p>
        </w:tc>
        <w:tc>
          <w:tcPr>
            <w:tcW w:w="118" w:type="dxa"/>
            <w:tcBorders/>
            <w:shd w:fill="auto" w:val="clear"/>
            <w:vAlign w:val="center"/>
          </w:tcPr>
          <w:p>
            <w:pPr>
              <w:pStyle w:val="TableContents"/>
              <w:spacing w:before="0" w:after="0"/>
              <w:ind w:left="0" w:right="0" w:firstLine="30"/>
              <w:rPr/>
            </w:pPr>
            <w:r>
              <w:rPr/>
              <w:t> </w:t>
            </w:r>
          </w:p>
        </w:tc>
        <w:tc>
          <w:tcPr>
            <w:tcW w:w="242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5"/>
              </w:rPr>
            </w:pPr>
            <w:r>
              <w:rPr>
                <w:rFonts w:ascii="inherit" w:hAnsi="inherit"/>
                <w:sz w:val="15"/>
              </w:rPr>
              <w:t>Consolidated</w:t>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Assets:</w:t>
            </w:r>
          </w:p>
        </w:tc>
        <w:tc>
          <w:tcPr>
            <w:tcW w:w="1145"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254"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283"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2426" w:type="dxa"/>
            <w:gridSpan w:val="3"/>
            <w:tcBorders/>
            <w:shd w:fill="CCEEFF" w:val="clear"/>
            <w:vAlign w:val="center"/>
          </w:tcPr>
          <w:p>
            <w:pPr>
              <w:pStyle w:val="TableContents"/>
              <w:spacing w:before="0" w:after="0"/>
              <w:ind w:left="0" w:right="0" w:firstLine="420"/>
              <w:rPr/>
            </w:pPr>
            <w:r>
              <w:rPr/>
              <w:t> </w:t>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assets:</w:t>
            </w:r>
          </w:p>
        </w:tc>
        <w:tc>
          <w:tcPr>
            <w:tcW w:w="114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54"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83"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780"/>
              <w:rPr/>
            </w:pPr>
            <w:r>
              <w:rPr/>
              <w:t> </w:t>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Cash and cash equivalents</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69" w:type="dxa"/>
            <w:tcBorders/>
            <w:shd w:fill="CCEEFF" w:val="clear"/>
            <w:vAlign w:val="center"/>
          </w:tcPr>
          <w:p>
            <w:pPr>
              <w:pStyle w:val="TableContents"/>
              <w:spacing w:before="0" w:after="0"/>
              <w:jc w:val="right"/>
              <w:rPr>
                <w:rFonts w:ascii="inherit" w:hAnsi="inherit"/>
                <w:sz w:val="15"/>
              </w:rPr>
            </w:pPr>
            <w:r>
              <w:rPr>
                <w:rFonts w:ascii="inherit" w:hAnsi="inherit"/>
                <w:sz w:val="15"/>
              </w:rPr>
              <w:t>703</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05" w:type="dxa"/>
            <w:tcBorders/>
            <w:shd w:fill="CCEEFF" w:val="clear"/>
            <w:vAlign w:val="center"/>
          </w:tcPr>
          <w:p>
            <w:pPr>
              <w:pStyle w:val="TableContents"/>
              <w:spacing w:before="0" w:after="0"/>
              <w:jc w:val="right"/>
              <w:rPr>
                <w:rFonts w:ascii="inherit" w:hAnsi="inherit"/>
                <w:sz w:val="15"/>
              </w:rPr>
            </w:pPr>
            <w:r>
              <w:rPr>
                <w:rFonts w:ascii="inherit" w:hAnsi="inherit"/>
                <w:sz w:val="15"/>
              </w:rPr>
              <w:t>28,674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48" w:type="dxa"/>
            <w:tcBorders/>
            <w:shd w:fill="CCEEFF" w:val="clear"/>
            <w:vAlign w:val="center"/>
          </w:tcPr>
          <w:p>
            <w:pPr>
              <w:pStyle w:val="TableContents"/>
              <w:spacing w:before="0" w:after="0"/>
              <w:jc w:val="right"/>
              <w:rPr>
                <w:rFonts w:ascii="inherit" w:hAnsi="inherit"/>
                <w:sz w:val="15"/>
              </w:rPr>
            </w:pPr>
            <w:r>
              <w:rPr>
                <w:rFonts w:ascii="inherit" w:hAnsi="inherit"/>
                <w:sz w:val="15"/>
              </w:rPr>
              <w:t>21,397</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87" w:type="dxa"/>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01" w:type="dxa"/>
            <w:tcBorders/>
            <w:shd w:fill="CCEEFF" w:val="clear"/>
            <w:vAlign w:val="center"/>
          </w:tcPr>
          <w:p>
            <w:pPr>
              <w:pStyle w:val="TableContents"/>
              <w:spacing w:before="0" w:after="0"/>
              <w:jc w:val="right"/>
              <w:rPr>
                <w:rFonts w:ascii="inherit" w:hAnsi="inherit"/>
                <w:sz w:val="15"/>
              </w:rPr>
            </w:pPr>
            <w:r>
              <w:rPr>
                <w:rFonts w:ascii="inherit" w:hAnsi="inherit"/>
                <w:sz w:val="15"/>
              </w:rPr>
              <w:t>50,774</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Cash, restricted</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1,051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loans, net</w:t>
            </w:r>
          </w:p>
        </w:tc>
        <w:tc>
          <w:tcPr>
            <w:tcW w:w="100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134,064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13,439</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147,503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loans, net</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14,928</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13,559</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28,487</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Pawn service charges receivable, net</w:t>
            </w:r>
          </w:p>
        </w:tc>
        <w:tc>
          <w:tcPr>
            <w:tcW w:w="100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24,041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2,051</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26,092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Consumer loan fees receivable, net</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6,026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19,703</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25,729</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Inventory, net</w:t>
            </w:r>
          </w:p>
        </w:tc>
        <w:tc>
          <w:tcPr>
            <w:tcW w:w="100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81,355</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13,066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94,421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tax asset</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12,747</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5,479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18,226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Receivable from affiliates</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202,619</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83,050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(285,669</w:t>
            </w:r>
          </w:p>
        </w:tc>
        <w:tc>
          <w:tcPr>
            <w:tcW w:w="14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Federal income tax receivable</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9,732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(340</w:t>
            </w:r>
          </w:p>
        </w:tc>
        <w:tc>
          <w:tcPr>
            <w:tcW w:w="1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9,898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Prepaid expenses and other assets</w:t>
            </w:r>
          </w:p>
        </w:tc>
        <w:tc>
          <w:tcPr>
            <w:tcW w:w="10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42</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35,840</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4,386</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40,268</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assets</w:t>
            </w:r>
          </w:p>
        </w:tc>
        <w:tc>
          <w:tcPr>
            <w:tcW w:w="1007"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225,843</w:t>
            </w:r>
          </w:p>
        </w:tc>
        <w:tc>
          <w:tcPr>
            <w:tcW w:w="138"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413,963</w:t>
            </w:r>
          </w:p>
        </w:tc>
        <w:tc>
          <w:tcPr>
            <w:tcW w:w="14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88,312</w:t>
            </w:r>
          </w:p>
        </w:tc>
        <w:tc>
          <w:tcPr>
            <w:tcW w:w="154"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(285,669</w:t>
            </w:r>
          </w:p>
        </w:tc>
        <w:tc>
          <w:tcPr>
            <w:tcW w:w="149"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5"/>
              </w:rPr>
            </w:pPr>
            <w:r>
              <w:rPr>
                <w:rFonts w:ascii="inherit" w:hAnsi="inherit"/>
                <w:sz w:val="15"/>
              </w:rPr>
              <w:t>442,449</w:t>
            </w:r>
          </w:p>
        </w:tc>
        <w:tc>
          <w:tcPr>
            <w:tcW w:w="1287" w:type="dxa"/>
            <w:tcBorders>
              <w:top w:val="single" w:sz="2" w:space="0" w:color="000000"/>
            </w:tcBorders>
            <w:shd w:fill="auto" w:val="clear"/>
            <w:tcMar>
              <w:top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unconsolidated affiliates</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51,156</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74,153</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125,309</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Investments in subsidiaries</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135,412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72,946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(208,358</w:t>
            </w:r>
          </w:p>
        </w:tc>
        <w:tc>
          <w:tcPr>
            <w:tcW w:w="14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Property and equipment, net</w:t>
            </w:r>
          </w:p>
        </w:tc>
        <w:tc>
          <w:tcPr>
            <w:tcW w:w="100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69,911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30,285</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100,196</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Goodwill</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221,519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99,904</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321,423</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Intangible assets, net</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1,698</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15,998</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60,970</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78,666</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Non-current consumer loans, net</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50,587</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50,587</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Other assets, net</w:t>
            </w:r>
          </w:p>
        </w:tc>
        <w:tc>
          <w:tcPr>
            <w:tcW w:w="100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8,633</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10,810</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19,443</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assets</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6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414,109</w:t>
            </w:r>
          </w:p>
        </w:tc>
        <w:tc>
          <w:tcPr>
            <w:tcW w:w="138"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0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877,123</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4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340,868</w:t>
            </w:r>
          </w:p>
        </w:tc>
        <w:tc>
          <w:tcPr>
            <w:tcW w:w="154"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4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(494,027</w:t>
            </w:r>
          </w:p>
        </w:tc>
        <w:tc>
          <w:tcPr>
            <w:tcW w:w="149"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38"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1,138,073</w:t>
            </w:r>
          </w:p>
        </w:tc>
        <w:tc>
          <w:tcPr>
            <w:tcW w:w="1287"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Liabilities and stockholders’ equity:</w:t>
            </w:r>
          </w:p>
        </w:tc>
        <w:tc>
          <w:tcPr>
            <w:tcW w:w="1145"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254"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283"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2426" w:type="dxa"/>
            <w:gridSpan w:val="3"/>
            <w:tcBorders/>
            <w:shd w:fill="CCEEFF" w:val="clear"/>
            <w:vAlign w:val="center"/>
          </w:tcPr>
          <w:p>
            <w:pPr>
              <w:pStyle w:val="TableContents"/>
              <w:spacing w:before="0" w:after="0"/>
              <w:ind w:left="0" w:right="0" w:firstLine="420"/>
              <w:rPr/>
            </w:pPr>
            <w:r>
              <w:rPr/>
              <w:t> </w:t>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liabilities:</w:t>
            </w:r>
          </w:p>
        </w:tc>
        <w:tc>
          <w:tcPr>
            <w:tcW w:w="114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54"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83"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780"/>
              <w:rPr/>
            </w:pPr>
            <w:r>
              <w:rPr/>
              <w:t> </w:t>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Current maturities of long-term debt</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869" w:type="dxa"/>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05"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52"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48" w:type="dxa"/>
            <w:tcBorders/>
            <w:shd w:fill="CCEEFF" w:val="clear"/>
            <w:vAlign w:val="center"/>
          </w:tcPr>
          <w:p>
            <w:pPr>
              <w:pStyle w:val="TableContents"/>
              <w:spacing w:before="0" w:after="0"/>
              <w:jc w:val="right"/>
              <w:rPr>
                <w:rFonts w:ascii="inherit" w:hAnsi="inherit"/>
                <w:sz w:val="15"/>
              </w:rPr>
            </w:pPr>
            <w:r>
              <w:rPr>
                <w:rFonts w:ascii="inherit" w:hAnsi="inherit"/>
                <w:sz w:val="15"/>
              </w:rPr>
              <w:t>31,126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987" w:type="dxa"/>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38" w:type="dxa"/>
            <w:tcBorders/>
            <w:shd w:fill="CCEEFF" w:val="clear"/>
            <w:vAlign w:val="center"/>
          </w:tcPr>
          <w:p>
            <w:pPr>
              <w:pStyle w:val="TableContents"/>
              <w:spacing w:before="0" w:after="0"/>
              <w:jc w:val="left"/>
              <w:rPr>
                <w:rFonts w:ascii="inherit" w:hAnsi="inherit"/>
                <w:sz w:val="15"/>
              </w:rPr>
            </w:pPr>
            <w:r>
              <w:rPr>
                <w:rFonts w:ascii="inherit" w:hAnsi="inherit"/>
                <w:sz w:val="15"/>
              </w:rPr>
              <w:t>$</w:t>
            </w:r>
          </w:p>
        </w:tc>
        <w:tc>
          <w:tcPr>
            <w:tcW w:w="1001" w:type="dxa"/>
            <w:tcBorders/>
            <w:shd w:fill="CCEEFF" w:val="clear"/>
            <w:vAlign w:val="center"/>
          </w:tcPr>
          <w:p>
            <w:pPr>
              <w:pStyle w:val="TableContents"/>
              <w:spacing w:before="0" w:after="0"/>
              <w:jc w:val="right"/>
              <w:rPr>
                <w:rFonts w:ascii="inherit" w:hAnsi="inherit"/>
                <w:sz w:val="15"/>
              </w:rPr>
            </w:pPr>
            <w:r>
              <w:rPr>
                <w:rFonts w:ascii="inherit" w:hAnsi="inherit"/>
                <w:sz w:val="15"/>
              </w:rPr>
              <w:t>31,126</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Current capital lease obligations</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Accounts payable and other accrued expenses</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95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46,495</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24,106</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70,696</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Customer layaway deposits</w:t>
            </w:r>
          </w:p>
        </w:tc>
        <w:tc>
          <w:tcPr>
            <w:tcW w:w="1007" w:type="dxa"/>
            <w:gridSpan w:val="2"/>
            <w:tcBorders/>
            <w:shd w:fill="auto" w:val="clear"/>
            <w:vAlign w:val="center"/>
          </w:tcPr>
          <w:p>
            <w:pPr>
              <w:pStyle w:val="TableContents"/>
              <w:spacing w:before="0" w:after="0"/>
              <w:jc w:val="right"/>
              <w:rPr/>
            </w:pPr>
            <w:r>
              <w:rPr/>
              <w:t>—</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5,884</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856</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6,740</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Intercompany payables</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(170,788</w:t>
            </w:r>
          </w:p>
        </w:tc>
        <w:tc>
          <w:tcPr>
            <w:tcW w:w="138"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371,474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84,983</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(285,669</w:t>
            </w:r>
          </w:p>
        </w:tc>
        <w:tc>
          <w:tcPr>
            <w:tcW w:w="14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Federal income taxes payable</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9,875</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(6,168</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(3,707</w:t>
            </w:r>
          </w:p>
        </w:tc>
        <w:tc>
          <w:tcPr>
            <w:tcW w:w="15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current liabilities</w:t>
            </w:r>
          </w:p>
        </w:tc>
        <w:tc>
          <w:tcPr>
            <w:tcW w:w="1007"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5"/>
              </w:rPr>
            </w:pPr>
            <w:r>
              <w:rPr>
                <w:rFonts w:ascii="inherit" w:hAnsi="inherit"/>
                <w:sz w:val="15"/>
              </w:rPr>
              <w:t>(160,818</w:t>
            </w:r>
          </w:p>
        </w:tc>
        <w:tc>
          <w:tcPr>
            <w:tcW w:w="138"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418,080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137,364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(285,669</w:t>
            </w:r>
          </w:p>
        </w:tc>
        <w:tc>
          <w:tcPr>
            <w:tcW w:w="14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108,957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Long-term debt, less current maturities</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114,700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61,040</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175,740</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Long-term capital lease obligations</w:t>
            </w:r>
          </w:p>
        </w:tc>
        <w:tc>
          <w:tcPr>
            <w:tcW w:w="100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764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764</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Deferred tax liability</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6,522</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1,266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7,788</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Deferred gains and other long-term liabilities</w:t>
            </w:r>
          </w:p>
        </w:tc>
        <w:tc>
          <w:tcPr>
            <w:tcW w:w="100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1,880</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12,307</w:t>
            </w:r>
          </w:p>
        </w:tc>
        <w:tc>
          <w:tcPr>
            <w:tcW w:w="15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14,187</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(39,596</w:t>
            </w:r>
          </w:p>
        </w:tc>
        <w:tc>
          <w:tcPr>
            <w:tcW w:w="138"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421,990</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210,711</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(285,669</w:t>
            </w:r>
          </w:p>
        </w:tc>
        <w:tc>
          <w:tcPr>
            <w:tcW w:w="149"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307,436</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Commitments and contingencies</w:t>
            </w:r>
          </w:p>
        </w:tc>
        <w:tc>
          <w:tcPr>
            <w:tcW w:w="1145"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195"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254"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1283" w:type="dxa"/>
            <w:gridSpan w:val="3"/>
            <w:tcBorders/>
            <w:shd w:fill="CCEEFF" w:val="clear"/>
            <w:vAlign w:val="center"/>
          </w:tcPr>
          <w:p>
            <w:pPr>
              <w:pStyle w:val="TableContents"/>
              <w:spacing w:before="0" w:after="0"/>
              <w:ind w:left="0" w:right="0" w:firstLine="30"/>
              <w:rPr/>
            </w:pPr>
            <w:r>
              <w:rPr/>
              <w:t> </w:t>
            </w:r>
          </w:p>
        </w:tc>
        <w:tc>
          <w:tcPr>
            <w:tcW w:w="118" w:type="dxa"/>
            <w:tcBorders/>
            <w:shd w:fill="CCEEFF" w:val="clear"/>
            <w:vAlign w:val="center"/>
          </w:tcPr>
          <w:p>
            <w:pPr>
              <w:pStyle w:val="TableContents"/>
              <w:spacing w:before="0" w:after="0"/>
              <w:ind w:left="0" w:right="0" w:firstLine="30"/>
              <w:rPr/>
            </w:pPr>
            <w:r>
              <w:rPr/>
              <w:t> </w:t>
            </w:r>
          </w:p>
        </w:tc>
        <w:tc>
          <w:tcPr>
            <w:tcW w:w="2426" w:type="dxa"/>
            <w:gridSpan w:val="3"/>
            <w:tcBorders/>
            <w:shd w:fill="CCEEFF" w:val="clear"/>
            <w:vAlign w:val="center"/>
          </w:tcPr>
          <w:p>
            <w:pPr>
              <w:pStyle w:val="TableContents"/>
              <w:spacing w:before="0" w:after="0"/>
              <w:ind w:left="0" w:right="0" w:firstLine="420"/>
              <w:rPr/>
            </w:pPr>
            <w:r>
              <w:rPr/>
              <w:t> </w:t>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Temporary equity:</w:t>
            </w:r>
          </w:p>
        </w:tc>
        <w:tc>
          <w:tcPr>
            <w:tcW w:w="114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54"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83"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780"/>
              <w:rPr/>
            </w:pPr>
            <w:r>
              <w:rPr/>
              <w:t> </w:t>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Redeemable noncontrolling interest</w:t>
            </w:r>
          </w:p>
        </w:tc>
        <w:tc>
          <w:tcPr>
            <w:tcW w:w="1007" w:type="dxa"/>
            <w:gridSpan w:val="2"/>
            <w:tcBorders/>
            <w:shd w:fill="CCEEFF" w:val="clear"/>
            <w:vAlign w:val="center"/>
          </w:tcPr>
          <w:p>
            <w:pPr>
              <w:pStyle w:val="TableContents"/>
              <w:spacing w:before="0" w:after="0"/>
              <w:jc w:val="right"/>
              <w:rPr/>
            </w:pPr>
            <w:r>
              <w:rPr/>
              <w:t>—</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44,864</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44,864</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Stockholders’ equity:</w:t>
            </w:r>
          </w:p>
        </w:tc>
        <w:tc>
          <w:tcPr>
            <w:tcW w:w="114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195"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54"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1283" w:type="dxa"/>
            <w:gridSpan w:val="3"/>
            <w:tcBorders/>
            <w:shd w:fill="auto" w:val="clear"/>
            <w:vAlign w:val="center"/>
          </w:tcPr>
          <w:p>
            <w:pPr>
              <w:pStyle w:val="TableContents"/>
              <w:spacing w:before="0" w:after="0"/>
              <w:ind w:left="0" w:right="0" w:firstLine="30"/>
              <w:rPr/>
            </w:pPr>
            <w:r>
              <w:rPr/>
              <w:t> </w:t>
            </w:r>
          </w:p>
        </w:tc>
        <w:tc>
          <w:tcPr>
            <w:tcW w:w="118" w:type="dxa"/>
            <w:tcBorders/>
            <w:shd w:fill="auto" w:val="clear"/>
            <w:vAlign w:val="center"/>
          </w:tcPr>
          <w:p>
            <w:pPr>
              <w:pStyle w:val="TableContents"/>
              <w:spacing w:before="0" w:after="0"/>
              <w:ind w:left="0" w:right="0" w:firstLine="30"/>
              <w:rPr/>
            </w:pPr>
            <w:r>
              <w:rPr/>
              <w:t> </w:t>
            </w:r>
          </w:p>
        </w:tc>
        <w:tc>
          <w:tcPr>
            <w:tcW w:w="2426" w:type="dxa"/>
            <w:gridSpan w:val="3"/>
            <w:tcBorders/>
            <w:shd w:fill="auto" w:val="clear"/>
            <w:vAlign w:val="center"/>
          </w:tcPr>
          <w:p>
            <w:pPr>
              <w:pStyle w:val="TableContents"/>
              <w:spacing w:before="0" w:after="0"/>
              <w:ind w:left="0" w:right="0" w:firstLine="780"/>
              <w:rPr/>
            </w:pPr>
            <w:r>
              <w:rPr/>
              <w:t> </w:t>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Class A Non-voting Common Stock, par value $.01 per share;</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470</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12</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pPr>
            <w:r>
              <w:rPr/>
              <w:t>—</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pPr>
            <w:r>
              <w:rPr/>
              <w:t>—</w:t>
            </w:r>
          </w:p>
        </w:tc>
        <w:tc>
          <w:tcPr>
            <w:tcW w:w="1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482</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Class B Voting Common Stock, convertible, par value $.01 per share;</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pPr>
            <w:r>
              <w:rPr/>
              <w:t>—</w:t>
            </w:r>
          </w:p>
        </w:tc>
        <w:tc>
          <w:tcPr>
            <w:tcW w:w="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30</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Additional paid-in capital</w:t>
            </w:r>
          </w:p>
        </w:tc>
        <w:tc>
          <w:tcPr>
            <w:tcW w:w="1007"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294,135</w:t>
            </w:r>
          </w:p>
        </w:tc>
        <w:tc>
          <w:tcPr>
            <w:tcW w:w="1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78,688</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102,188</w:t>
            </w:r>
          </w:p>
        </w:tc>
        <w:tc>
          <w:tcPr>
            <w:tcW w:w="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(208,358</w:t>
            </w:r>
          </w:p>
        </w:tc>
        <w:tc>
          <w:tcPr>
            <w:tcW w:w="149"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shd w:fill="CCEEFF" w:val="clear"/>
            <w:vAlign w:val="center"/>
          </w:tcPr>
          <w:p>
            <w:pPr>
              <w:pStyle w:val="TableContents"/>
              <w:spacing w:before="0" w:after="0"/>
              <w:jc w:val="right"/>
              <w:rPr>
                <w:rFonts w:ascii="inherit" w:hAnsi="inherit"/>
                <w:sz w:val="15"/>
              </w:rPr>
            </w:pPr>
            <w:r>
              <w:rPr>
                <w:rFonts w:ascii="inherit" w:hAnsi="inherit"/>
                <w:sz w:val="15"/>
              </w:rPr>
              <w:t>266,653</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Retained earnings</w:t>
            </w:r>
          </w:p>
        </w:tc>
        <w:tc>
          <w:tcPr>
            <w:tcW w:w="1007"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154,454</w:t>
            </w:r>
          </w:p>
        </w:tc>
        <w:tc>
          <w:tcPr>
            <w:tcW w:w="1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377,229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(4,452</w:t>
            </w:r>
          </w:p>
        </w:tc>
        <w:tc>
          <w:tcPr>
            <w:tcW w:w="154"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shd w:fill="auto" w:val="clear"/>
            <w:vAlign w:val="center"/>
          </w:tcPr>
          <w:p>
            <w:pPr>
              <w:pStyle w:val="TableContents"/>
              <w:spacing w:before="0" w:after="0"/>
              <w:jc w:val="right"/>
              <w:rPr/>
            </w:pPr>
            <w:r>
              <w:rPr/>
              <w:t>—</w:t>
            </w:r>
          </w:p>
        </w:tc>
        <w:tc>
          <w:tcPr>
            <w:tcW w:w="1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shd w:fill="auto" w:val="clear"/>
            <w:vAlign w:val="center"/>
          </w:tcPr>
          <w:p>
            <w:pPr>
              <w:pStyle w:val="TableContents"/>
              <w:spacing w:before="0" w:after="0"/>
              <w:jc w:val="right"/>
              <w:rPr>
                <w:rFonts w:ascii="inherit" w:hAnsi="inherit"/>
                <w:sz w:val="15"/>
              </w:rPr>
            </w:pPr>
            <w:r>
              <w:rPr>
                <w:rFonts w:ascii="inherit" w:hAnsi="inherit"/>
                <w:sz w:val="15"/>
              </w:rPr>
              <w:t>527,231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Accumulated other comprehensive income (loss)</w:t>
            </w:r>
          </w:p>
        </w:tc>
        <w:tc>
          <w:tcPr>
            <w:tcW w:w="100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4,616</w:t>
            </w:r>
          </w:p>
        </w:tc>
        <w:tc>
          <w:tcPr>
            <w:tcW w:w="1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0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(796</w:t>
            </w:r>
          </w:p>
        </w:tc>
        <w:tc>
          <w:tcPr>
            <w:tcW w:w="14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10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(12,443</w:t>
            </w:r>
          </w:p>
        </w:tc>
        <w:tc>
          <w:tcPr>
            <w:tcW w:w="15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(8,623</w:t>
            </w:r>
          </w:p>
        </w:tc>
        <w:tc>
          <w:tcPr>
            <w:tcW w:w="1287"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5"/>
              </w:rPr>
            </w:pPr>
            <w:r>
              <w:rPr>
                <w:rFonts w:ascii="inherit" w:hAnsi="inherit"/>
                <w:sz w:val="15"/>
              </w:rPr>
              <w:t>)</w:t>
            </w:r>
          </w:p>
        </w:tc>
      </w:tr>
      <w:tr>
        <w:trPr/>
        <w:tc>
          <w:tcPr>
            <w:tcW w:w="2430" w:type="dxa"/>
            <w:tcBorders/>
            <w:shd w:fill="auto" w:val="clear"/>
            <w:vAlign w:val="center"/>
          </w:tcPr>
          <w:p>
            <w:pPr>
              <w:pStyle w:val="TableContents"/>
              <w:spacing w:before="0" w:after="0"/>
              <w:ind w:left="0" w:right="0" w:firstLine="30"/>
              <w:jc w:val="left"/>
              <w:rPr>
                <w:rFonts w:ascii="inherit" w:hAnsi="inherit"/>
                <w:sz w:val="15"/>
              </w:rPr>
            </w:pPr>
            <w:r>
              <w:rPr>
                <w:rFonts w:ascii="inherit" w:hAnsi="inherit"/>
                <w:sz w:val="15"/>
              </w:rPr>
              <w:t>EZCORP, Inc. stockholders’ equity</w:t>
            </w:r>
          </w:p>
        </w:tc>
        <w:tc>
          <w:tcPr>
            <w:tcW w:w="100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453,705</w:t>
            </w:r>
          </w:p>
        </w:tc>
        <w:tc>
          <w:tcPr>
            <w:tcW w:w="1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0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455,133</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00" w:type="dxa"/>
            <w:gridSpan w:val="2"/>
            <w:tcBorders>
              <w:top w:val="single" w:sz="2" w:space="0" w:color="000000"/>
              <w:bottom w:val="single" w:sz="2" w:space="0" w:color="000000"/>
            </w:tcBorders>
            <w:shd w:fill="auto"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85,293</w:t>
            </w:r>
          </w:p>
        </w:tc>
        <w:tc>
          <w:tcPr>
            <w:tcW w:w="154" w:type="dxa"/>
            <w:tcBorders>
              <w:top w:val="single" w:sz="2" w:space="0" w:color="000000"/>
              <w:bottom w:val="single" w:sz="2"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auto" w:val="clear"/>
            <w:vAlign w:val="center"/>
          </w:tcPr>
          <w:p>
            <w:pPr>
              <w:pStyle w:val="TableContents"/>
              <w:spacing w:before="0" w:after="0"/>
              <w:ind w:left="0" w:right="0" w:firstLine="30"/>
              <w:rPr/>
            </w:pPr>
            <w:r>
              <w:rPr/>
              <w:t> </w:t>
            </w:r>
          </w:p>
        </w:tc>
        <w:tc>
          <w:tcPr>
            <w:tcW w:w="11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(208,358</w:t>
            </w:r>
          </w:p>
        </w:tc>
        <w:tc>
          <w:tcPr>
            <w:tcW w:w="14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auto" w:val="clear"/>
            <w:vAlign w:val="center"/>
          </w:tcPr>
          <w:p>
            <w:pPr>
              <w:pStyle w:val="TableContents"/>
              <w:spacing w:before="0" w:after="0"/>
              <w:ind w:left="0" w:right="0" w:firstLine="30"/>
              <w:rPr/>
            </w:pPr>
            <w:r>
              <w:rPr/>
              <w:t> </w:t>
            </w:r>
          </w:p>
        </w:tc>
        <w:tc>
          <w:tcPr>
            <w:tcW w:w="113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5"/>
              </w:rPr>
            </w:pPr>
            <w:r>
              <w:rPr>
                <w:rFonts w:ascii="inherit" w:hAnsi="inherit"/>
                <w:sz w:val="15"/>
              </w:rPr>
              <w:t>785,773</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30" w:type="dxa"/>
            <w:tcBorders/>
            <w:shd w:fill="CCEEFF" w:val="clear"/>
            <w:vAlign w:val="center"/>
          </w:tcPr>
          <w:p>
            <w:pPr>
              <w:pStyle w:val="TableContents"/>
              <w:spacing w:before="0" w:after="0"/>
              <w:ind w:left="0" w:right="0" w:firstLine="30"/>
              <w:jc w:val="left"/>
              <w:rPr>
                <w:rFonts w:ascii="inherit" w:hAnsi="inherit"/>
                <w:sz w:val="15"/>
              </w:rPr>
            </w:pPr>
            <w:r>
              <w:rPr>
                <w:rFonts w:ascii="inherit" w:hAnsi="inherit"/>
                <w:sz w:val="15"/>
              </w:rPr>
              <w:t>Total liabilities and stockholders’ equity</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86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414,109</w:t>
            </w:r>
          </w:p>
        </w:tc>
        <w:tc>
          <w:tcPr>
            <w:tcW w:w="13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44"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877,123</w:t>
            </w:r>
          </w:p>
        </w:tc>
        <w:tc>
          <w:tcPr>
            <w:tcW w:w="1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52"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4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5"/>
              </w:rPr>
            </w:pPr>
            <w:r>
              <w:rPr>
                <w:rFonts w:ascii="inherit" w:hAnsi="inherit"/>
                <w:sz w:val="15"/>
              </w:rPr>
              <w:t>340,868</w:t>
            </w:r>
          </w:p>
        </w:tc>
        <w:tc>
          <w:tcPr>
            <w:tcW w:w="154"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8" w:type="dxa"/>
            <w:tcBorders/>
            <w:shd w:fill="CCEEFF" w:val="clear"/>
            <w:vAlign w:val="center"/>
          </w:tcPr>
          <w:p>
            <w:pPr>
              <w:pStyle w:val="TableContents"/>
              <w:spacing w:before="0" w:after="0"/>
              <w:ind w:left="0" w:right="0" w:firstLine="30"/>
              <w:rPr/>
            </w:pPr>
            <w:r>
              <w:rPr/>
              <w:t> </w:t>
            </w:r>
          </w:p>
        </w:tc>
        <w:tc>
          <w:tcPr>
            <w:tcW w:w="14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9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(494,027</w:t>
            </w:r>
          </w:p>
        </w:tc>
        <w:tc>
          <w:tcPr>
            <w:tcW w:w="149"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5"/>
              </w:rPr>
            </w:pPr>
            <w:r>
              <w:rPr>
                <w:rFonts w:ascii="inherit" w:hAnsi="inherit"/>
                <w:sz w:val="15"/>
              </w:rPr>
              <w:t>)</w:t>
            </w:r>
          </w:p>
        </w:tc>
        <w:tc>
          <w:tcPr>
            <w:tcW w:w="118" w:type="dxa"/>
            <w:tcBorders/>
            <w:shd w:fill="CCEEFF" w:val="clear"/>
            <w:vAlign w:val="center"/>
          </w:tcPr>
          <w:p>
            <w:pPr>
              <w:pStyle w:val="TableContents"/>
              <w:spacing w:before="0" w:after="0"/>
              <w:ind w:left="0" w:right="0" w:firstLine="30"/>
              <w:rPr/>
            </w:pPr>
            <w:r>
              <w:rPr/>
              <w:t> </w:t>
            </w:r>
          </w:p>
        </w:tc>
        <w:tc>
          <w:tcPr>
            <w:tcW w:w="13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5"/>
              </w:rPr>
            </w:pPr>
            <w:r>
              <w:rPr>
                <w:rFonts w:ascii="inherit" w:hAnsi="inherit"/>
                <w:sz w:val="15"/>
              </w:rPr>
              <w:t>$</w:t>
            </w:r>
          </w:p>
        </w:tc>
        <w:tc>
          <w:tcPr>
            <w:tcW w:w="10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5"/>
              </w:rPr>
            </w:pPr>
            <w:r>
              <w:rPr>
                <w:rFonts w:ascii="inherit" w:hAnsi="inherit"/>
                <w:sz w:val="15"/>
              </w:rPr>
              <w:t>1,138,073</w:t>
            </w:r>
          </w:p>
        </w:tc>
        <w:tc>
          <w:tcPr>
            <w:tcW w:w="1287"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28</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86"/>
        <w:gridCol w:w="150"/>
        <w:gridCol w:w="931"/>
        <w:gridCol w:w="135"/>
        <w:gridCol w:w="116"/>
        <w:gridCol w:w="150"/>
        <w:gridCol w:w="931"/>
        <w:gridCol w:w="135"/>
        <w:gridCol w:w="116"/>
        <w:gridCol w:w="165"/>
        <w:gridCol w:w="905"/>
        <w:gridCol w:w="151"/>
        <w:gridCol w:w="116"/>
        <w:gridCol w:w="159"/>
        <w:gridCol w:w="933"/>
        <w:gridCol w:w="144"/>
        <w:gridCol w:w="116"/>
        <w:gridCol w:w="150"/>
        <w:gridCol w:w="931"/>
        <w:gridCol w:w="128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8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05"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3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128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86" w:type="dxa"/>
            <w:tcBorders/>
            <w:shd w:fill="auto" w:val="clear"/>
            <w:vAlign w:val="center"/>
          </w:tcPr>
          <w:p>
            <w:pPr>
              <w:pStyle w:val="TableContents"/>
              <w:spacing w:before="0" w:after="0"/>
              <w:ind w:left="0" w:right="0" w:firstLine="30"/>
              <w:jc w:val="left"/>
              <w:rPr/>
            </w:pPr>
            <w:r>
              <w:rPr/>
              <w:t> </w:t>
            </w:r>
          </w:p>
        </w:tc>
        <w:tc>
          <w:tcPr>
            <w:tcW w:w="771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2011</w:t>
            </w:r>
          </w:p>
        </w:tc>
      </w:tr>
      <w:tr>
        <w:trPr/>
        <w:tc>
          <w:tcPr>
            <w:tcW w:w="2486" w:type="dxa"/>
            <w:tcBorders/>
            <w:shd w:fill="auto" w:val="clear"/>
            <w:vAlign w:val="center"/>
          </w:tcPr>
          <w:p>
            <w:pPr>
              <w:pStyle w:val="TableContents"/>
              <w:spacing w:before="0" w:after="0"/>
              <w:ind w:left="0" w:right="0" w:firstLine="30"/>
              <w:rPr/>
            </w:pPr>
            <w:r>
              <w:rPr/>
              <w:t>  </w:t>
            </w:r>
          </w:p>
        </w:tc>
        <w:tc>
          <w:tcPr>
            <w:tcW w:w="771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r>
      <w:tr>
        <w:trPr/>
        <w:tc>
          <w:tcPr>
            <w:tcW w:w="2486" w:type="dxa"/>
            <w:tcBorders/>
            <w:shd w:fill="auto" w:val="clear"/>
            <w:vAlign w:val="center"/>
          </w:tcPr>
          <w:p>
            <w:pPr>
              <w:pStyle w:val="TableContents"/>
              <w:spacing w:before="0" w:after="0"/>
              <w:ind w:left="0" w:right="0" w:firstLine="30"/>
              <w:rPr/>
            </w:pPr>
            <w:r>
              <w:rPr/>
              <w:t>  </w:t>
            </w:r>
          </w:p>
        </w:tc>
        <w:tc>
          <w:tcPr>
            <w:tcW w:w="7719"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86" w:type="dxa"/>
            <w:tcBorders/>
            <w:shd w:fill="auto" w:val="clear"/>
            <w:vAlign w:val="center"/>
          </w:tcPr>
          <w:p>
            <w:pPr>
              <w:pStyle w:val="TableContents"/>
              <w:spacing w:before="0" w:after="0"/>
              <w:ind w:left="0" w:right="0" w:firstLine="30"/>
              <w:rPr/>
            </w:pPr>
            <w:r>
              <w:rPr/>
              <w:t>  </w:t>
            </w:r>
          </w:p>
        </w:tc>
        <w:tc>
          <w:tcPr>
            <w:tcW w:w="121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16"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121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1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3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Eliminations</w:t>
            </w:r>
          </w:p>
        </w:tc>
        <w:tc>
          <w:tcPr>
            <w:tcW w:w="116" w:type="dxa"/>
            <w:tcBorders/>
            <w:shd w:fill="auto" w:val="clear"/>
            <w:vAlign w:val="center"/>
          </w:tcPr>
          <w:p>
            <w:pPr>
              <w:pStyle w:val="TableContents"/>
              <w:spacing w:before="0" w:after="0"/>
              <w:ind w:left="0" w:right="0" w:firstLine="30"/>
              <w:jc w:val="center"/>
              <w:rPr>
                <w:rFonts w:ascii="inherit" w:hAnsi="inherit"/>
                <w:sz w:val="13"/>
              </w:rPr>
            </w:pPr>
            <w:r>
              <w:rPr>
                <w:rFonts w:ascii="inherit" w:hAnsi="inherit"/>
                <w:sz w:val="13"/>
              </w:rPr>
            </w:r>
          </w:p>
        </w:tc>
        <w:tc>
          <w:tcPr>
            <w:tcW w:w="23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21"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3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2366" w:type="dxa"/>
            <w:gridSpan w:val="3"/>
            <w:tcBorders/>
            <w:shd w:fill="CCEEFF" w:val="clear"/>
            <w:vAlign w:val="center"/>
          </w:tcPr>
          <w:p>
            <w:pPr>
              <w:pStyle w:val="TableContents"/>
              <w:spacing w:before="0" w:after="0"/>
              <w:ind w:left="0" w:right="0" w:firstLine="420"/>
              <w:rPr/>
            </w:pPr>
            <w:r>
              <w:rPr/>
              <w:t> </w:t>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21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21"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3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2366" w:type="dxa"/>
            <w:gridSpan w:val="3"/>
            <w:tcBorders/>
            <w:shd w:fill="auto" w:val="clear"/>
            <w:vAlign w:val="center"/>
          </w:tcPr>
          <w:p>
            <w:pPr>
              <w:pStyle w:val="TableContents"/>
              <w:spacing w:before="0" w:after="0"/>
              <w:ind w:left="0" w:right="0" w:firstLine="780"/>
              <w:rPr/>
            </w:pPr>
            <w:r>
              <w:rPr/>
              <w:t> </w:t>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shd w:fill="CCEEFF" w:val="clear"/>
            <w:vAlign w:val="center"/>
          </w:tcPr>
          <w:p>
            <w:pPr>
              <w:pStyle w:val="TableContents"/>
              <w:spacing w:before="0" w:after="0"/>
              <w:jc w:val="right"/>
              <w:rPr>
                <w:rFonts w:ascii="inherit" w:hAnsi="inherit"/>
                <w:sz w:val="17"/>
              </w:rPr>
            </w:pPr>
            <w:r>
              <w:rPr>
                <w:rFonts w:ascii="inherit" w:hAnsi="inherit"/>
                <w:sz w:val="17"/>
              </w:rPr>
              <w:t>23,377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5" w:type="dxa"/>
            <w:tcBorders/>
            <w:shd w:fill="CCEEFF" w:val="clear"/>
            <w:vAlign w:val="center"/>
          </w:tcPr>
          <w:p>
            <w:pPr>
              <w:pStyle w:val="TableContents"/>
              <w:spacing w:before="0" w:after="0"/>
              <w:jc w:val="right"/>
              <w:rPr>
                <w:rFonts w:ascii="inherit" w:hAnsi="inherit"/>
                <w:sz w:val="17"/>
              </w:rPr>
            </w:pPr>
            <w:r>
              <w:rPr>
                <w:rFonts w:ascii="inherit" w:hAnsi="inherit"/>
                <w:sz w:val="17"/>
              </w:rPr>
              <w:t>4,115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shd w:fill="CCEEFF" w:val="clear"/>
            <w:vAlign w:val="center"/>
          </w:tcPr>
          <w:p>
            <w:pPr>
              <w:pStyle w:val="TableContents"/>
              <w:spacing w:before="0" w:after="0"/>
              <w:jc w:val="right"/>
              <w:rPr>
                <w:rFonts w:ascii="inherit" w:hAnsi="inherit"/>
                <w:sz w:val="17"/>
              </w:rPr>
            </w:pPr>
            <w:r>
              <w:rPr>
                <w:rFonts w:ascii="inherit" w:hAnsi="inherit"/>
                <w:sz w:val="17"/>
              </w:rPr>
              <w:t>27,492</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124,810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9,823</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134,633</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081"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12,423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2,014</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14,437</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22,848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1,524</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24,372</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081"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6,754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6,884</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70,326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8,705</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79,031</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10,560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5,385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16,150</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Receivable from affiliates</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46,658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(46,658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taxes receivable</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3,099</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17,757</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4,133</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21,932</w:t>
            </w:r>
          </w:p>
        </w:tc>
        <w:tc>
          <w:tcPr>
            <w:tcW w:w="1285"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60,359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237,022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30,649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328,030</w:t>
            </w:r>
          </w:p>
        </w:tc>
        <w:tc>
          <w:tcPr>
            <w:tcW w:w="12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68,321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46,456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114,777</w:t>
            </w:r>
          </w:p>
        </w:tc>
        <w:tc>
          <w:tcPr>
            <w:tcW w:w="12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subsidiaries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76,999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9,145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(86,144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2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56,522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18,527</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75,049</w:t>
            </w:r>
          </w:p>
        </w:tc>
        <w:tc>
          <w:tcPr>
            <w:tcW w:w="12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081"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159,572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7,445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167,017</w:t>
            </w:r>
          </w:p>
        </w:tc>
        <w:tc>
          <w:tcPr>
            <w:tcW w:w="12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15,247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2,649</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20,192</w:t>
            </w:r>
          </w:p>
        </w:tc>
        <w:tc>
          <w:tcPr>
            <w:tcW w:w="12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7,207</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1,349</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8,556</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207,975</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531,171</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60,619</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(86,144</w:t>
            </w:r>
          </w:p>
        </w:tc>
        <w:tc>
          <w:tcPr>
            <w:tcW w:w="144"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713,621</w:t>
            </w:r>
          </w:p>
        </w:tc>
        <w:tc>
          <w:tcPr>
            <w:tcW w:w="128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Liabilities and stockholders’ equity:</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21"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3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2366" w:type="dxa"/>
            <w:gridSpan w:val="3"/>
            <w:tcBorders/>
            <w:shd w:fill="CCEEFF" w:val="clear"/>
            <w:vAlign w:val="center"/>
          </w:tcPr>
          <w:p>
            <w:pPr>
              <w:pStyle w:val="TableContents"/>
              <w:spacing w:before="0" w:after="0"/>
              <w:ind w:left="0" w:right="0" w:firstLine="420"/>
              <w:rPr/>
            </w:pPr>
            <w:r>
              <w:rPr/>
              <w:t> </w:t>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21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21"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3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2366" w:type="dxa"/>
            <w:gridSpan w:val="3"/>
            <w:tcBorders/>
            <w:shd w:fill="auto" w:val="clear"/>
            <w:vAlign w:val="center"/>
          </w:tcPr>
          <w:p>
            <w:pPr>
              <w:pStyle w:val="TableContents"/>
              <w:spacing w:before="0" w:after="0"/>
              <w:ind w:left="0" w:right="0" w:firstLine="780"/>
              <w:rPr/>
            </w:pPr>
            <w:r>
              <w:rPr/>
              <w:t> </w:t>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47,531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5,695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53,242</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5,703</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428</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6,131</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Intercompany payables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(216,982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169,742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47,240</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pPr>
            <w:r>
              <w:rPr/>
              <w:t>—</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taxes payable</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8,879</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(5,157</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(3,722</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285"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(208,087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217,819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49,641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59,373</w:t>
            </w:r>
          </w:p>
        </w:tc>
        <w:tc>
          <w:tcPr>
            <w:tcW w:w="12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26,500</w:t>
            </w:r>
          </w:p>
        </w:tc>
        <w:tc>
          <w:tcPr>
            <w:tcW w:w="12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1,237</w:t>
            </w:r>
          </w:p>
        </w:tc>
        <w:tc>
          <w:tcPr>
            <w:tcW w:w="12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(446</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2,208</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447</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2,209</w:t>
            </w:r>
          </w:p>
        </w:tc>
        <w:tc>
          <w:tcPr>
            <w:tcW w:w="128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(182,378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221,598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50,099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89,319</w:t>
            </w:r>
          </w:p>
        </w:tc>
        <w:tc>
          <w:tcPr>
            <w:tcW w:w="128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w:t>
            </w:r>
          </w:p>
        </w:tc>
        <w:tc>
          <w:tcPr>
            <w:tcW w:w="121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21"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1236" w:type="dxa"/>
            <w:gridSpan w:val="3"/>
            <w:tcBorders/>
            <w:shd w:fill="auto" w:val="clear"/>
            <w:vAlign w:val="center"/>
          </w:tcPr>
          <w:p>
            <w:pPr>
              <w:pStyle w:val="TableContents"/>
              <w:spacing w:before="0" w:after="0"/>
              <w:ind w:left="0" w:right="0" w:firstLine="30"/>
              <w:rPr/>
            </w:pPr>
            <w:r>
              <w:rPr/>
              <w:t> </w:t>
            </w:r>
          </w:p>
        </w:tc>
        <w:tc>
          <w:tcPr>
            <w:tcW w:w="116" w:type="dxa"/>
            <w:tcBorders/>
            <w:shd w:fill="auto" w:val="clear"/>
            <w:vAlign w:val="center"/>
          </w:tcPr>
          <w:p>
            <w:pPr>
              <w:pStyle w:val="TableContents"/>
              <w:spacing w:before="0" w:after="0"/>
              <w:ind w:left="0" w:right="0" w:firstLine="30"/>
              <w:rPr/>
            </w:pPr>
            <w:r>
              <w:rPr/>
              <w:t> </w:t>
            </w:r>
          </w:p>
        </w:tc>
        <w:tc>
          <w:tcPr>
            <w:tcW w:w="2366" w:type="dxa"/>
            <w:gridSpan w:val="3"/>
            <w:tcBorders/>
            <w:shd w:fill="auto" w:val="clear"/>
            <w:vAlign w:val="center"/>
          </w:tcPr>
          <w:p>
            <w:pPr>
              <w:pStyle w:val="TableContents"/>
              <w:spacing w:before="0" w:after="0"/>
              <w:ind w:left="0" w:right="0" w:firstLine="420"/>
              <w:rPr/>
            </w:pPr>
            <w:r>
              <w:rPr/>
              <w:t> </w:t>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21"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3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2366" w:type="dxa"/>
            <w:gridSpan w:val="3"/>
            <w:tcBorders/>
            <w:shd w:fill="CCEEFF" w:val="clear"/>
            <w:vAlign w:val="center"/>
          </w:tcPr>
          <w:p>
            <w:pPr>
              <w:pStyle w:val="TableContents"/>
              <w:spacing w:before="0" w:after="0"/>
              <w:ind w:left="0" w:right="0" w:firstLine="780"/>
              <w:rPr/>
            </w:pPr>
            <w:r>
              <w:rPr/>
              <w:t> </w:t>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pPr>
            <w:r>
              <w:rPr/>
              <w:t>—</w:t>
            </w:r>
          </w:p>
        </w:tc>
        <w:tc>
          <w:tcPr>
            <w:tcW w:w="128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21"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1236" w:type="dxa"/>
            <w:gridSpan w:val="3"/>
            <w:tcBorders/>
            <w:shd w:fill="CCEEFF" w:val="clear"/>
            <w:vAlign w:val="center"/>
          </w:tcPr>
          <w:p>
            <w:pPr>
              <w:pStyle w:val="TableContents"/>
              <w:spacing w:before="0" w:after="0"/>
              <w:ind w:left="0" w:right="0" w:firstLine="30"/>
              <w:rPr/>
            </w:pPr>
            <w:r>
              <w:rPr/>
              <w:t> </w:t>
            </w:r>
          </w:p>
        </w:tc>
        <w:tc>
          <w:tcPr>
            <w:tcW w:w="116" w:type="dxa"/>
            <w:tcBorders/>
            <w:shd w:fill="CCEEFF" w:val="clear"/>
            <w:vAlign w:val="center"/>
          </w:tcPr>
          <w:p>
            <w:pPr>
              <w:pStyle w:val="TableContents"/>
              <w:spacing w:before="0" w:after="0"/>
              <w:ind w:left="0" w:right="0" w:firstLine="30"/>
              <w:rPr/>
            </w:pPr>
            <w:r>
              <w:rPr/>
              <w:t> </w:t>
            </w:r>
          </w:p>
        </w:tc>
        <w:tc>
          <w:tcPr>
            <w:tcW w:w="2366" w:type="dxa"/>
            <w:gridSpan w:val="3"/>
            <w:tcBorders/>
            <w:shd w:fill="CCEEFF" w:val="clear"/>
            <w:vAlign w:val="center"/>
          </w:tcPr>
          <w:p>
            <w:pPr>
              <w:pStyle w:val="TableContents"/>
              <w:spacing w:before="0" w:after="0"/>
              <w:ind w:left="0" w:right="0" w:firstLine="780"/>
              <w:rPr/>
            </w:pPr>
            <w:r>
              <w:rPr/>
              <w:t> </w:t>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Class A Non-voting Common Stock, par value $.01 per share;</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469</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Class B Voting Common Stock, convertible, par value $.01 per share;</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214,231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89,629</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15,340</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(86,144</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233,056</w:t>
            </w:r>
          </w:p>
        </w:tc>
        <w:tc>
          <w:tcPr>
            <w:tcW w:w="1285"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170,202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220,039</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(4,511</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385,730</w:t>
            </w:r>
          </w:p>
        </w:tc>
        <w:tc>
          <w:tcPr>
            <w:tcW w:w="128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5,432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(310</w:t>
            </w:r>
          </w:p>
        </w:tc>
        <w:tc>
          <w:tcPr>
            <w:tcW w:w="151"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09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5,017</w:t>
            </w:r>
          </w:p>
        </w:tc>
        <w:tc>
          <w:tcPr>
            <w:tcW w:w="128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EZCorp, Inc. stockholders’ equity</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390,353</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309,573</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7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10,520</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CCEEFF" w:val="clear"/>
            <w:vAlign w:val="center"/>
          </w:tcPr>
          <w:p>
            <w:pPr>
              <w:pStyle w:val="TableContents"/>
              <w:spacing w:before="0" w:after="0"/>
              <w:ind w:left="0" w:right="0" w:firstLine="30"/>
              <w:rPr/>
            </w:pPr>
            <w:r>
              <w:rPr/>
              <w:t> </w:t>
            </w:r>
          </w:p>
        </w:tc>
        <w:tc>
          <w:tcPr>
            <w:tcW w:w="109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(86,144</w:t>
            </w:r>
          </w:p>
        </w:tc>
        <w:tc>
          <w:tcPr>
            <w:tcW w:w="14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CCEEFF" w:val="clear"/>
            <w:vAlign w:val="center"/>
          </w:tcPr>
          <w:p>
            <w:pPr>
              <w:pStyle w:val="TableContents"/>
              <w:spacing w:before="0" w:after="0"/>
              <w:ind w:left="0" w:right="0" w:firstLine="30"/>
              <w:rPr/>
            </w:pPr>
            <w:r>
              <w:rPr/>
              <w:t> </w:t>
            </w:r>
          </w:p>
        </w:tc>
        <w:tc>
          <w:tcPr>
            <w:tcW w:w="10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624,302</w:t>
            </w:r>
          </w:p>
        </w:tc>
        <w:tc>
          <w:tcPr>
            <w:tcW w:w="128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stockholders’ equity</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207,975</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531,171</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60,619</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6" w:type="dxa"/>
            <w:tcBorders/>
            <w:shd w:fill="auto" w:val="clear"/>
            <w:vAlign w:val="center"/>
          </w:tcPr>
          <w:p>
            <w:pPr>
              <w:pStyle w:val="TableContents"/>
              <w:spacing w:before="0" w:after="0"/>
              <w:ind w:left="0" w:right="0" w:firstLine="30"/>
              <w:rPr/>
            </w:pPr>
            <w:r>
              <w:rPr/>
              <w:t> </w:t>
            </w:r>
          </w:p>
        </w:tc>
        <w:tc>
          <w:tcPr>
            <w:tcW w:w="15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(86,144</w:t>
            </w:r>
          </w:p>
        </w:tc>
        <w:tc>
          <w:tcPr>
            <w:tcW w:w="144"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6" w:type="dxa"/>
            <w:tcBorders/>
            <w:shd w:fill="auto" w:val="clear"/>
            <w:vAlign w:val="center"/>
          </w:tcPr>
          <w:p>
            <w:pPr>
              <w:pStyle w:val="TableContents"/>
              <w:spacing w:before="0" w:after="0"/>
              <w:ind w:left="0" w:right="0" w:firstLine="30"/>
              <w:rPr/>
            </w:pPr>
            <w:r>
              <w:rPr/>
              <w:t> </w:t>
            </w:r>
          </w:p>
        </w:tc>
        <w:tc>
          <w:tcPr>
            <w:tcW w:w="15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713,621</w:t>
            </w:r>
          </w:p>
        </w:tc>
        <w:tc>
          <w:tcPr>
            <w:tcW w:w="128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29</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0"/>
        <w:gridCol w:w="149"/>
        <w:gridCol w:w="928"/>
        <w:gridCol w:w="135"/>
        <w:gridCol w:w="115"/>
        <w:gridCol w:w="149"/>
        <w:gridCol w:w="928"/>
        <w:gridCol w:w="135"/>
        <w:gridCol w:w="115"/>
        <w:gridCol w:w="165"/>
        <w:gridCol w:w="901"/>
        <w:gridCol w:w="150"/>
        <w:gridCol w:w="115"/>
        <w:gridCol w:w="149"/>
        <w:gridCol w:w="987"/>
        <w:gridCol w:w="135"/>
        <w:gridCol w:w="115"/>
        <w:gridCol w:w="149"/>
        <w:gridCol w:w="928"/>
        <w:gridCol w:w="1287"/>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90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87"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928" w:type="dxa"/>
            <w:tcBorders/>
            <w:shd w:fill="auto" w:val="clear"/>
            <w:vAlign w:val="center"/>
          </w:tcPr>
          <w:p>
            <w:pPr>
              <w:pStyle w:val="TableContents"/>
              <w:spacing w:before="0" w:after="283"/>
              <w:rPr>
                <w:sz w:val="4"/>
                <w:szCs w:val="4"/>
              </w:rPr>
            </w:pPr>
            <w:r>
              <w:rPr>
                <w:sz w:val="4"/>
                <w:szCs w:val="4"/>
              </w:rPr>
            </w:r>
          </w:p>
        </w:tc>
        <w:tc>
          <w:tcPr>
            <w:tcW w:w="128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rPr/>
            </w:pPr>
            <w:r>
              <w:rPr/>
              <w:t>  </w:t>
            </w:r>
          </w:p>
        </w:tc>
        <w:tc>
          <w:tcPr>
            <w:tcW w:w="773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 2011</w:t>
            </w:r>
          </w:p>
        </w:tc>
      </w:tr>
      <w:tr>
        <w:trPr/>
        <w:tc>
          <w:tcPr>
            <w:tcW w:w="2470" w:type="dxa"/>
            <w:tcBorders/>
            <w:shd w:fill="auto" w:val="clear"/>
            <w:vAlign w:val="center"/>
          </w:tcPr>
          <w:p>
            <w:pPr>
              <w:pStyle w:val="TableContents"/>
              <w:spacing w:before="0" w:after="0"/>
              <w:ind w:left="0" w:right="0" w:firstLine="30"/>
              <w:rPr/>
            </w:pPr>
            <w:r>
              <w:rPr/>
              <w:t>  </w:t>
            </w:r>
          </w:p>
        </w:tc>
        <w:tc>
          <w:tcPr>
            <w:tcW w:w="773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r>
      <w:tr>
        <w:trPr/>
        <w:tc>
          <w:tcPr>
            <w:tcW w:w="2470" w:type="dxa"/>
            <w:tcBorders/>
            <w:shd w:fill="auto" w:val="clear"/>
            <w:vAlign w:val="center"/>
          </w:tcPr>
          <w:p>
            <w:pPr>
              <w:pStyle w:val="TableContents"/>
              <w:spacing w:before="0" w:after="0"/>
              <w:ind w:left="0" w:right="0" w:firstLine="30"/>
              <w:rPr/>
            </w:pPr>
            <w:r>
              <w:rPr/>
              <w:t>  </w:t>
            </w:r>
          </w:p>
        </w:tc>
        <w:tc>
          <w:tcPr>
            <w:tcW w:w="773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470" w:type="dxa"/>
            <w:tcBorders/>
            <w:shd w:fill="auto" w:val="clear"/>
            <w:vAlign w:val="center"/>
          </w:tcPr>
          <w:p>
            <w:pPr>
              <w:pStyle w:val="TableContents"/>
              <w:spacing w:before="0" w:after="0"/>
              <w:ind w:left="0" w:right="0" w:firstLine="30"/>
              <w:rPr/>
            </w:pPr>
            <w:r>
              <w:rPr/>
              <w:t>  </w:t>
            </w:r>
          </w:p>
        </w:tc>
        <w:tc>
          <w:tcPr>
            <w:tcW w:w="121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1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12"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Subsidiary</w:t>
              <w:br/>
              <w:t>Guarantors</w:t>
            </w:r>
          </w:p>
        </w:tc>
        <w:tc>
          <w:tcPr>
            <w:tcW w:w="11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1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Other</w:t>
              <w:br/>
              <w:t>Subsidiaries</w:t>
            </w:r>
          </w:p>
        </w:tc>
        <w:tc>
          <w:tcPr>
            <w:tcW w:w="11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1271"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Eliminations</w:t>
            </w:r>
          </w:p>
        </w:tc>
        <w:tc>
          <w:tcPr>
            <w:tcW w:w="115" w:type="dxa"/>
            <w:tcBorders>
              <w:top w:val="single" w:sz="2" w:space="0" w:color="000000"/>
            </w:tcBorders>
            <w:shd w:fill="auto" w:val="clear"/>
            <w:tcMar>
              <w:top w:w="30" w:type="dxa"/>
            </w:tcMar>
            <w:vAlign w:val="center"/>
          </w:tcPr>
          <w:p>
            <w:pPr>
              <w:pStyle w:val="TableContents"/>
              <w:spacing w:before="0" w:after="0"/>
              <w:ind w:left="0" w:right="0" w:firstLine="30"/>
              <w:rPr/>
            </w:pPr>
            <w:r>
              <w:rPr/>
              <w:t> </w:t>
            </w:r>
          </w:p>
        </w:tc>
        <w:tc>
          <w:tcPr>
            <w:tcW w:w="2364"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Assets:</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assets:</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shd w:fill="auto" w:val="clear"/>
            <w:vAlign w:val="center"/>
          </w:tcPr>
          <w:p>
            <w:pPr>
              <w:pStyle w:val="TableContents"/>
              <w:spacing w:before="0" w:after="0"/>
              <w:ind w:left="0" w:right="0" w:firstLine="780"/>
              <w:rPr/>
            </w:pPr>
            <w:r>
              <w:rPr/>
              <w:t> </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20,860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shd w:fill="CCEEFF" w:val="clear"/>
            <w:vAlign w:val="center"/>
          </w:tcPr>
          <w:p>
            <w:pPr>
              <w:pStyle w:val="TableContents"/>
              <w:spacing w:before="0" w:after="0"/>
              <w:jc w:val="right"/>
              <w:rPr>
                <w:rFonts w:ascii="inherit" w:hAnsi="inherit"/>
                <w:sz w:val="17"/>
              </w:rPr>
            </w:pPr>
            <w:r>
              <w:rPr>
                <w:rFonts w:ascii="inherit" w:hAnsi="inherit"/>
                <w:sz w:val="17"/>
              </w:rPr>
              <w:t>3,109</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23,969</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loans,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134,457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10,861</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145,318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 net</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12,526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2,085</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14,611</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24,792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1,663</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26,455</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6,642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6,775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81,277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9,096</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90,373</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12,728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5,397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18,125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Receivable from affiliates</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(66,450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taxes receivable</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and other assets</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25,976</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4,606</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30,611</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assets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79,207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245,477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31,553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356,237</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unconsolidated affiliates</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71,958</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48,361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120,319</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Investments in subsidiaries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84,303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44,323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(128,626</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59,434</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19,064</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78,498</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asset, non-current</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Goodwill</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163,897</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9,309</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173,206</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Intangible assets, net</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2,147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15,183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2,460</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19,790</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assets, net</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7,036</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1,362</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8,400</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assets</w:t>
            </w:r>
          </w:p>
        </w:tc>
        <w:tc>
          <w:tcPr>
            <w:tcW w:w="14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237,615</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583,711</w:t>
            </w:r>
          </w:p>
        </w:tc>
        <w:tc>
          <w:tcPr>
            <w:tcW w:w="13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63,748</w:t>
            </w:r>
          </w:p>
        </w:tc>
        <w:tc>
          <w:tcPr>
            <w:tcW w:w="1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(128,624</w:t>
            </w:r>
          </w:p>
        </w:tc>
        <w:tc>
          <w:tcPr>
            <w:tcW w:w="135"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4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287"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Current liabilities:</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shd w:fill="auto" w:val="clear"/>
            <w:vAlign w:val="center"/>
          </w:tcPr>
          <w:p>
            <w:pPr>
              <w:pStyle w:val="TableContents"/>
              <w:spacing w:before="0" w:after="0"/>
              <w:ind w:left="0" w:right="0" w:firstLine="780"/>
              <w:rPr/>
            </w:pPr>
            <w:r>
              <w:rPr/>
              <w:t> </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other accrued expenses</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50,871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shd w:fill="CCEEFF" w:val="clear"/>
            <w:vAlign w:val="center"/>
          </w:tcPr>
          <w:p>
            <w:pPr>
              <w:pStyle w:val="TableContents"/>
              <w:spacing w:before="0" w:after="0"/>
              <w:jc w:val="right"/>
              <w:rPr>
                <w:rFonts w:ascii="inherit" w:hAnsi="inherit"/>
                <w:sz w:val="17"/>
              </w:rPr>
            </w:pPr>
            <w:r>
              <w:rPr>
                <w:rFonts w:ascii="inherit" w:hAnsi="inherit"/>
                <w:sz w:val="17"/>
              </w:rPr>
              <w:t>6,516</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shd w:fill="CCEEFF" w:val="clear"/>
            <w:vAlign w:val="center"/>
          </w:tcPr>
          <w:p>
            <w:pPr>
              <w:pStyle w:val="TableContents"/>
              <w:spacing w:before="0" w:after="0"/>
              <w:jc w:val="right"/>
              <w:rPr>
                <w:rFonts w:ascii="inherit" w:hAnsi="inherit"/>
                <w:sz w:val="17"/>
              </w:rPr>
            </w:pPr>
            <w:r>
              <w:rPr>
                <w:rFonts w:ascii="inherit" w:hAnsi="inherit"/>
                <w:sz w:val="17"/>
              </w:rPr>
              <w:t>57,400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5,711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465</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6,176</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Intercompany payables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(199,190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178,375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20,761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pPr>
            <w:r>
              <w:rPr/>
              <w:t>—</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taxes payable</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9,552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(5,150</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(3,709</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693</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current liabilities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(189,625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229,807</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24,033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64,269</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less current maturities</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17,500</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Deferred tax liability</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5,940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1,563</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828</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8,331</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2,102</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2,102</w:t>
            </w:r>
          </w:p>
        </w:tc>
        <w:tc>
          <w:tcPr>
            <w:tcW w:w="1287"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(166,185</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233,472</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24,861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92,202</w:t>
            </w:r>
          </w:p>
        </w:tc>
        <w:tc>
          <w:tcPr>
            <w:tcW w:w="128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Commitments and contingencies</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2"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6"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2364" w:type="dxa"/>
            <w:gridSpan w:val="3"/>
            <w:tcBorders/>
            <w:shd w:fill="auto" w:val="clear"/>
            <w:vAlign w:val="center"/>
          </w:tcPr>
          <w:p>
            <w:pPr>
              <w:pStyle w:val="TableContents"/>
              <w:spacing w:before="0" w:after="0"/>
              <w:ind w:left="0" w:right="0" w:firstLine="420"/>
              <w:rPr/>
            </w:pPr>
            <w:r>
              <w:rPr/>
              <w:t> </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Temporary equity:</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78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Redeemable noncontrolling interest</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pPr>
            <w:r>
              <w:rPr/>
              <w:t>—</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pPr>
            <w:r>
              <w:rPr/>
              <w:t>—</w:t>
            </w:r>
          </w:p>
        </w:tc>
        <w:tc>
          <w:tcPr>
            <w:tcW w:w="128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Stockholders’ equity:</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2"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16"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15" w:type="dxa"/>
            <w:tcBorders/>
            <w:shd w:fill="CCEEFF" w:val="clear"/>
            <w:vAlign w:val="center"/>
          </w:tcPr>
          <w:p>
            <w:pPr>
              <w:pStyle w:val="TableContents"/>
              <w:spacing w:before="0" w:after="0"/>
              <w:ind w:left="0" w:right="0" w:firstLine="30"/>
              <w:rPr/>
            </w:pPr>
            <w:r>
              <w:rPr/>
              <w:t> </w:t>
            </w:r>
          </w:p>
        </w:tc>
        <w:tc>
          <w:tcPr>
            <w:tcW w:w="2364" w:type="dxa"/>
            <w:gridSpan w:val="3"/>
            <w:tcBorders/>
            <w:shd w:fill="CCEEFF" w:val="clear"/>
            <w:vAlign w:val="center"/>
          </w:tcPr>
          <w:p>
            <w:pPr>
              <w:pStyle w:val="TableContents"/>
              <w:spacing w:before="0" w:after="0"/>
              <w:ind w:left="0" w:right="0" w:firstLine="78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Class A Non-voting Common Stock, par value $.01 per share;</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461</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471</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Class B Voting Common Stock, convertible, par value $.01 per share;</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Additional paid-in capital</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221,526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98,980</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50,568</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(128,676</w:t>
            </w:r>
          </w:p>
        </w:tc>
        <w:tc>
          <w:tcPr>
            <w:tcW w:w="13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242,398</w:t>
            </w:r>
          </w:p>
        </w:tc>
        <w:tc>
          <w:tcPr>
            <w:tcW w:w="128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Retained earnings</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174,860</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251,418</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(4,183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shd w:fill="CCEEFF" w:val="clear"/>
            <w:vAlign w:val="center"/>
          </w:tcPr>
          <w:p>
            <w:pPr>
              <w:pStyle w:val="TableContents"/>
              <w:spacing w:before="0" w:after="0"/>
              <w:jc w:val="right"/>
              <w:rPr/>
            </w:pPr>
            <w:r>
              <w:rPr/>
              <w:t>—</w:t>
            </w:r>
          </w:p>
        </w:tc>
        <w:tc>
          <w:tcPr>
            <w:tcW w:w="13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422,095</w:t>
            </w:r>
          </w:p>
        </w:tc>
        <w:tc>
          <w:tcPr>
            <w:tcW w:w="128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other comprehensive income (loss)</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6,923</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(170</w:t>
            </w:r>
          </w:p>
        </w:tc>
        <w:tc>
          <w:tcPr>
            <w:tcW w:w="13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(7,499</w:t>
            </w:r>
          </w:p>
        </w:tc>
        <w:tc>
          <w:tcPr>
            <w:tcW w:w="15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3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(746</w:t>
            </w:r>
          </w:p>
        </w:tc>
        <w:tc>
          <w:tcPr>
            <w:tcW w:w="1287"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EZCorp, Inc. stockholders’ equity</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403,800</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350,239</w:t>
            </w:r>
          </w:p>
        </w:tc>
        <w:tc>
          <w:tcPr>
            <w:tcW w:w="13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6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38,887</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3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(128,678</w:t>
            </w:r>
          </w:p>
        </w:tc>
        <w:tc>
          <w:tcPr>
            <w:tcW w:w="13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CCEEFF" w:val="clear"/>
            <w:vAlign w:val="center"/>
          </w:tcPr>
          <w:p>
            <w:pPr>
              <w:pStyle w:val="TableContents"/>
              <w:spacing w:before="0" w:after="0"/>
              <w:ind w:left="0" w:right="0" w:firstLine="30"/>
              <w:rPr/>
            </w:pPr>
            <w:r>
              <w:rPr/>
              <w:t> </w:t>
            </w:r>
          </w:p>
        </w:tc>
        <w:tc>
          <w:tcPr>
            <w:tcW w:w="107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664,248</w:t>
            </w:r>
          </w:p>
        </w:tc>
        <w:tc>
          <w:tcPr>
            <w:tcW w:w="1287"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liabilities and stockholders’ equity</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237,615</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583,711</w:t>
            </w:r>
          </w:p>
        </w:tc>
        <w:tc>
          <w:tcPr>
            <w:tcW w:w="13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0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63,748</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(128,624</w:t>
            </w:r>
          </w:p>
        </w:tc>
        <w:tc>
          <w:tcPr>
            <w:tcW w:w="13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15" w:type="dxa"/>
            <w:tcBorders/>
            <w:shd w:fill="auto" w:val="clear"/>
            <w:vAlign w:val="center"/>
          </w:tcPr>
          <w:p>
            <w:pPr>
              <w:pStyle w:val="TableContents"/>
              <w:spacing w:before="0" w:after="0"/>
              <w:ind w:left="0" w:right="0" w:firstLine="30"/>
              <w:rPr/>
            </w:pPr>
            <w:r>
              <w:rPr/>
              <w:t> </w:t>
            </w:r>
          </w:p>
        </w:tc>
        <w:tc>
          <w:tcPr>
            <w:tcW w:w="14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756,450</w:t>
            </w:r>
          </w:p>
        </w:tc>
        <w:tc>
          <w:tcPr>
            <w:tcW w:w="1287"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30</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Condensed Consolidating Statements of Operations</w:t>
      </w:r>
    </w:p>
    <w:tbl>
      <w:tblPr>
        <w:tblW w:w="10205" w:type="dxa"/>
        <w:jc w:val="left"/>
        <w:tblInd w:w="0" w:type="dxa"/>
        <w:tblCellMar>
          <w:top w:w="0" w:type="dxa"/>
          <w:left w:w="0" w:type="dxa"/>
          <w:bottom w:w="0" w:type="dxa"/>
          <w:right w:w="0" w:type="dxa"/>
        </w:tblCellMar>
      </w:tblPr>
      <w:tblGrid>
        <w:gridCol w:w="2755"/>
        <w:gridCol w:w="155"/>
        <w:gridCol w:w="844"/>
        <w:gridCol w:w="141"/>
        <w:gridCol w:w="122"/>
        <w:gridCol w:w="155"/>
        <w:gridCol w:w="988"/>
        <w:gridCol w:w="141"/>
        <w:gridCol w:w="122"/>
        <w:gridCol w:w="170"/>
        <w:gridCol w:w="962"/>
        <w:gridCol w:w="156"/>
        <w:gridCol w:w="122"/>
        <w:gridCol w:w="264"/>
        <w:gridCol w:w="799"/>
        <w:gridCol w:w="239"/>
        <w:gridCol w:w="122"/>
        <w:gridCol w:w="155"/>
        <w:gridCol w:w="988"/>
        <w:gridCol w:w="8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844"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6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9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55" w:type="dxa"/>
            <w:tcBorders/>
            <w:shd w:fill="auto" w:val="clear"/>
            <w:vAlign w:val="center"/>
          </w:tcPr>
          <w:p>
            <w:pPr>
              <w:pStyle w:val="TableContents"/>
              <w:spacing w:before="0" w:after="0"/>
              <w:ind w:left="0" w:right="0" w:firstLine="30"/>
              <w:jc w:val="left"/>
              <w:rPr/>
            </w:pPr>
            <w:r>
              <w:rPr/>
              <w:t> </w:t>
            </w:r>
          </w:p>
        </w:tc>
        <w:tc>
          <w:tcPr>
            <w:tcW w:w="745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 June 30, 2012</w:t>
            </w:r>
          </w:p>
        </w:tc>
      </w:tr>
      <w:tr>
        <w:trPr/>
        <w:tc>
          <w:tcPr>
            <w:tcW w:w="2755" w:type="dxa"/>
            <w:tcBorders/>
            <w:shd w:fill="auto" w:val="clear"/>
            <w:vAlign w:val="center"/>
          </w:tcPr>
          <w:p>
            <w:pPr>
              <w:pStyle w:val="TableContents"/>
              <w:spacing w:before="0" w:after="0"/>
              <w:ind w:left="0" w:right="0" w:firstLine="30"/>
              <w:jc w:val="left"/>
              <w:rPr/>
            </w:pPr>
            <w:r>
              <w:rPr/>
              <w:t> </w:t>
            </w:r>
          </w:p>
        </w:tc>
        <w:tc>
          <w:tcPr>
            <w:tcW w:w="745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r>
      <w:tr>
        <w:trPr/>
        <w:tc>
          <w:tcPr>
            <w:tcW w:w="2755" w:type="dxa"/>
            <w:tcBorders/>
            <w:shd w:fill="auto" w:val="clear"/>
            <w:vAlign w:val="center"/>
          </w:tcPr>
          <w:p>
            <w:pPr>
              <w:pStyle w:val="TableContents"/>
              <w:spacing w:before="0" w:after="0"/>
              <w:ind w:left="0" w:right="0" w:firstLine="30"/>
              <w:jc w:val="left"/>
              <w:rPr/>
            </w:pPr>
            <w:r>
              <w:rPr/>
              <w:t> </w:t>
            </w:r>
          </w:p>
        </w:tc>
        <w:tc>
          <w:tcPr>
            <w:tcW w:w="7450"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55" w:type="dxa"/>
            <w:tcBorders/>
            <w:shd w:fill="auto" w:val="clear"/>
            <w:vAlign w:val="center"/>
          </w:tcPr>
          <w:p>
            <w:pPr>
              <w:pStyle w:val="TableContents"/>
              <w:spacing w:before="0" w:after="0"/>
              <w:ind w:left="0" w:right="0" w:firstLine="30"/>
              <w:jc w:val="left"/>
              <w:rPr/>
            </w:pPr>
            <w:r>
              <w:rPr/>
              <w:t> </w:t>
            </w:r>
          </w:p>
        </w:tc>
        <w:tc>
          <w:tcPr>
            <w:tcW w:w="114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2" w:type="dxa"/>
            <w:tcBorders/>
            <w:shd w:fill="auto" w:val="clear"/>
            <w:vAlign w:val="center"/>
          </w:tcPr>
          <w:p>
            <w:pPr>
              <w:pStyle w:val="TableContents"/>
              <w:spacing w:before="0" w:after="0"/>
              <w:ind w:left="0" w:right="0" w:firstLine="30"/>
              <w:rPr/>
            </w:pPr>
            <w:r>
              <w:rPr/>
              <w:t> </w:t>
            </w:r>
          </w:p>
        </w:tc>
        <w:tc>
          <w:tcPr>
            <w:tcW w:w="128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2" w:type="dxa"/>
            <w:tcBorders/>
            <w:shd w:fill="auto" w:val="clear"/>
            <w:vAlign w:val="center"/>
          </w:tcPr>
          <w:p>
            <w:pPr>
              <w:pStyle w:val="TableContents"/>
              <w:spacing w:before="0" w:after="0"/>
              <w:ind w:left="0" w:right="0" w:firstLine="30"/>
              <w:rPr/>
            </w:pPr>
            <w:r>
              <w:rPr/>
              <w:t> </w:t>
            </w:r>
          </w:p>
        </w:tc>
        <w:tc>
          <w:tcPr>
            <w:tcW w:w="128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2" w:type="dxa"/>
            <w:tcBorders/>
            <w:shd w:fill="auto" w:val="clear"/>
            <w:vAlign w:val="center"/>
          </w:tcPr>
          <w:p>
            <w:pPr>
              <w:pStyle w:val="TableContents"/>
              <w:spacing w:before="0" w:after="0"/>
              <w:ind w:left="0" w:right="0" w:firstLine="30"/>
              <w:rPr/>
            </w:pPr>
            <w:r>
              <w:rPr/>
              <w:t> </w:t>
            </w:r>
          </w:p>
        </w:tc>
        <w:tc>
          <w:tcPr>
            <w:tcW w:w="13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Eliminations</w:t>
            </w:r>
          </w:p>
        </w:tc>
        <w:tc>
          <w:tcPr>
            <w:tcW w:w="122" w:type="dxa"/>
            <w:tcBorders/>
            <w:shd w:fill="auto" w:val="clear"/>
            <w:vAlign w:val="center"/>
          </w:tcPr>
          <w:p>
            <w:pPr>
              <w:pStyle w:val="TableContents"/>
              <w:spacing w:before="0" w:after="0"/>
              <w:ind w:left="0" w:right="0" w:firstLine="30"/>
              <w:rPr/>
            </w:pPr>
            <w:r>
              <w:rPr/>
              <w:t> </w:t>
            </w:r>
          </w:p>
        </w:tc>
        <w:tc>
          <w:tcPr>
            <w:tcW w:w="194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40"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8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88"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02"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948" w:type="dxa"/>
            <w:gridSpan w:val="3"/>
            <w:tcBorders/>
            <w:shd w:fill="CCEEFF" w:val="clear"/>
            <w:vAlign w:val="center"/>
          </w:tcPr>
          <w:p>
            <w:pPr>
              <w:pStyle w:val="TableContents"/>
              <w:spacing w:before="0" w:after="0"/>
              <w:ind w:left="0" w:right="0" w:firstLine="420"/>
              <w:rPr/>
            </w:pPr>
            <w:r>
              <w:rPr/>
              <w:t> </w:t>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shd w:fill="auto" w:val="clear"/>
            <w:vAlign w:val="center"/>
          </w:tcPr>
          <w:p>
            <w:pPr>
              <w:pStyle w:val="TableContents"/>
              <w:spacing w:before="0" w:after="0"/>
              <w:jc w:val="right"/>
              <w:rPr>
                <w:rFonts w:ascii="inherit" w:hAnsi="inherit"/>
                <w:sz w:val="17"/>
              </w:rPr>
            </w:pPr>
            <w:r>
              <w:rPr>
                <w:rFonts w:ascii="inherit" w:hAnsi="inherit"/>
                <w:sz w:val="17"/>
              </w:rPr>
              <w:t>102,008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shd w:fill="auto" w:val="clear"/>
            <w:vAlign w:val="center"/>
          </w:tcPr>
          <w:p>
            <w:pPr>
              <w:pStyle w:val="TableContents"/>
              <w:spacing w:before="0" w:after="0"/>
              <w:jc w:val="right"/>
              <w:rPr>
                <w:rFonts w:ascii="inherit" w:hAnsi="inherit"/>
                <w:sz w:val="17"/>
              </w:rPr>
            </w:pPr>
            <w:r>
              <w:rPr>
                <w:rFonts w:ascii="inherit" w:hAnsi="inherit"/>
                <w:sz w:val="17"/>
              </w:rPr>
              <w:t>15,924</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2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9" w:type="dxa"/>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shd w:fill="auto" w:val="clear"/>
            <w:vAlign w:val="center"/>
          </w:tcPr>
          <w:p>
            <w:pPr>
              <w:pStyle w:val="TableContents"/>
              <w:spacing w:before="0" w:after="0"/>
              <w:jc w:val="right"/>
              <w:rPr>
                <w:rFonts w:ascii="inherit" w:hAnsi="inherit"/>
                <w:sz w:val="17"/>
              </w:rPr>
            </w:pPr>
            <w:r>
              <w:rPr>
                <w:rFonts w:ascii="inherit" w:hAnsi="inherit"/>
                <w:sz w:val="17"/>
              </w:rPr>
              <w:t>117,932</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99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49,979</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6,184</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56,163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999"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36,171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17,333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53,504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9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2,006</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952</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(1,593</w:t>
            </w:r>
          </w:p>
        </w:tc>
        <w:tc>
          <w:tcPr>
            <w:tcW w:w="23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1,365</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99"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190,164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40,393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(1,593</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228,964</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99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62,198</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10,255</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72,453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99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8,710</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2,541</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11,251</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9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119,256</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27,597</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(1,593</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145,260</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140"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28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288"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02"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948" w:type="dxa"/>
            <w:gridSpan w:val="3"/>
            <w:tcBorders/>
            <w:shd w:fill="auto" w:val="clear"/>
            <w:vAlign w:val="center"/>
          </w:tcPr>
          <w:p>
            <w:pPr>
              <w:pStyle w:val="TableContents"/>
              <w:spacing w:before="0" w:after="0"/>
              <w:ind w:left="0" w:right="0" w:firstLine="420"/>
              <w:rPr/>
            </w:pPr>
            <w:r>
              <w:rPr/>
              <w:t> </w:t>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99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62,612</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13,097</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75,709</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999"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16,200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8,090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(1,593</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22,697</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99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4,660</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1,555</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6,215</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999"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1,044</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1,162</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9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219</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312</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99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83,683</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24,005</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(1,593</w:t>
            </w:r>
          </w:p>
        </w:tc>
        <w:tc>
          <w:tcPr>
            <w:tcW w:w="23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106,095</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99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35,573</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3,592</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39,165</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999"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271</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9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877</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(271</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1,030</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(2,247</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(1,950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(4,197</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500</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(340</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1,370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37,295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3,640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42,305</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99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10,938</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1,654</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12,594</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9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(9,568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37,293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1,986</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3"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29,711</w:t>
            </w:r>
          </w:p>
        </w:tc>
        <w:tc>
          <w:tcPr>
            <w:tcW w:w="8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99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5"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4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(9,568</w:t>
            </w:r>
          </w:p>
        </w:tc>
        <w:tc>
          <w:tcPr>
            <w:tcW w:w="14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37,293</w:t>
            </w:r>
          </w:p>
        </w:tc>
        <w:tc>
          <w:tcPr>
            <w:tcW w:w="1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798</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2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9"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31</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780"/>
        <w:gridCol w:w="156"/>
        <w:gridCol w:w="792"/>
        <w:gridCol w:w="141"/>
        <w:gridCol w:w="122"/>
        <w:gridCol w:w="156"/>
        <w:gridCol w:w="993"/>
        <w:gridCol w:w="141"/>
        <w:gridCol w:w="122"/>
        <w:gridCol w:w="171"/>
        <w:gridCol w:w="967"/>
        <w:gridCol w:w="156"/>
        <w:gridCol w:w="122"/>
        <w:gridCol w:w="264"/>
        <w:gridCol w:w="805"/>
        <w:gridCol w:w="240"/>
        <w:gridCol w:w="122"/>
        <w:gridCol w:w="156"/>
        <w:gridCol w:w="993"/>
        <w:gridCol w:w="80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80"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80" w:type="dxa"/>
            <w:tcBorders/>
            <w:shd w:fill="auto" w:val="clear"/>
            <w:vAlign w:val="center"/>
          </w:tcPr>
          <w:p>
            <w:pPr>
              <w:pStyle w:val="TableContents"/>
              <w:spacing w:before="0" w:after="0"/>
              <w:ind w:left="0" w:right="0" w:firstLine="30"/>
              <w:jc w:val="left"/>
              <w:rPr/>
            </w:pPr>
            <w:r>
              <w:rPr/>
              <w:t> </w:t>
            </w:r>
          </w:p>
        </w:tc>
        <w:tc>
          <w:tcPr>
            <w:tcW w:w="742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 June 30, 2011</w:t>
            </w:r>
          </w:p>
        </w:tc>
      </w:tr>
      <w:tr>
        <w:trPr/>
        <w:tc>
          <w:tcPr>
            <w:tcW w:w="2780" w:type="dxa"/>
            <w:tcBorders/>
            <w:shd w:fill="auto" w:val="clear"/>
            <w:vAlign w:val="center"/>
          </w:tcPr>
          <w:p>
            <w:pPr>
              <w:pStyle w:val="TableContents"/>
              <w:spacing w:before="0" w:after="0"/>
              <w:ind w:left="0" w:right="0" w:firstLine="30"/>
              <w:jc w:val="left"/>
              <w:rPr/>
            </w:pPr>
            <w:r>
              <w:rPr/>
              <w:t> </w:t>
            </w:r>
          </w:p>
        </w:tc>
        <w:tc>
          <w:tcPr>
            <w:tcW w:w="742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r>
      <w:tr>
        <w:trPr/>
        <w:tc>
          <w:tcPr>
            <w:tcW w:w="2780" w:type="dxa"/>
            <w:tcBorders/>
            <w:shd w:fill="auto" w:val="clear"/>
            <w:vAlign w:val="center"/>
          </w:tcPr>
          <w:p>
            <w:pPr>
              <w:pStyle w:val="TableContents"/>
              <w:spacing w:before="0" w:after="0"/>
              <w:ind w:left="0" w:right="0" w:firstLine="30"/>
              <w:jc w:val="left"/>
              <w:rPr/>
            </w:pPr>
            <w:r>
              <w:rPr/>
              <w:t> </w:t>
            </w:r>
          </w:p>
        </w:tc>
        <w:tc>
          <w:tcPr>
            <w:tcW w:w="7425"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80" w:type="dxa"/>
            <w:tcBorders/>
            <w:shd w:fill="auto" w:val="clear"/>
            <w:vAlign w:val="center"/>
          </w:tcPr>
          <w:p>
            <w:pPr>
              <w:pStyle w:val="TableContents"/>
              <w:spacing w:before="0" w:after="0"/>
              <w:ind w:left="0" w:right="0" w:firstLine="30"/>
              <w:jc w:val="left"/>
              <w:rPr/>
            </w:pPr>
            <w:r>
              <w:rPr/>
              <w:t> </w:t>
            </w:r>
          </w:p>
        </w:tc>
        <w:tc>
          <w:tcPr>
            <w:tcW w:w="108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2" w:type="dxa"/>
            <w:tcBorders/>
            <w:shd w:fill="auto" w:val="clear"/>
            <w:vAlign w:val="center"/>
          </w:tcPr>
          <w:p>
            <w:pPr>
              <w:pStyle w:val="TableContents"/>
              <w:spacing w:before="0" w:after="0"/>
              <w:ind w:left="0" w:right="0" w:firstLine="30"/>
              <w:rPr/>
            </w:pPr>
            <w:r>
              <w:rPr/>
              <w:t> </w:t>
            </w:r>
          </w:p>
        </w:tc>
        <w:tc>
          <w:tcPr>
            <w:tcW w:w="129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2" w:type="dxa"/>
            <w:tcBorders/>
            <w:shd w:fill="auto" w:val="clear"/>
            <w:vAlign w:val="center"/>
          </w:tcPr>
          <w:p>
            <w:pPr>
              <w:pStyle w:val="TableContents"/>
              <w:spacing w:before="0" w:after="0"/>
              <w:ind w:left="0" w:right="0" w:firstLine="30"/>
              <w:rPr/>
            </w:pPr>
            <w:r>
              <w:rPr/>
              <w:t> </w:t>
            </w:r>
          </w:p>
        </w:tc>
        <w:tc>
          <w:tcPr>
            <w:tcW w:w="129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2" w:type="dxa"/>
            <w:tcBorders/>
            <w:shd w:fill="auto" w:val="clear"/>
            <w:vAlign w:val="center"/>
          </w:tcPr>
          <w:p>
            <w:pPr>
              <w:pStyle w:val="TableContents"/>
              <w:spacing w:before="0" w:after="0"/>
              <w:ind w:left="0" w:right="0" w:firstLine="30"/>
              <w:rPr/>
            </w:pPr>
            <w:r>
              <w:rPr/>
              <w:t> </w:t>
            </w:r>
          </w:p>
        </w:tc>
        <w:tc>
          <w:tcPr>
            <w:tcW w:w="130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Eliminations</w:t>
            </w:r>
          </w:p>
        </w:tc>
        <w:tc>
          <w:tcPr>
            <w:tcW w:w="122" w:type="dxa"/>
            <w:tcBorders/>
            <w:shd w:fill="auto" w:val="clear"/>
            <w:vAlign w:val="center"/>
          </w:tcPr>
          <w:p>
            <w:pPr>
              <w:pStyle w:val="TableContents"/>
              <w:spacing w:before="0" w:after="0"/>
              <w:ind w:left="0" w:right="0" w:firstLine="30"/>
              <w:rPr/>
            </w:pPr>
            <w:r>
              <w:rPr/>
              <w:t> </w:t>
            </w:r>
          </w:p>
        </w:tc>
        <w:tc>
          <w:tcPr>
            <w:tcW w:w="19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089"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90"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294"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309" w:type="dxa"/>
            <w:gridSpan w:val="3"/>
            <w:tcBorders/>
            <w:shd w:fill="CCEEFF" w:val="clear"/>
            <w:vAlign w:val="center"/>
          </w:tcPr>
          <w:p>
            <w:pPr>
              <w:pStyle w:val="TableContents"/>
              <w:spacing w:before="0" w:after="0"/>
              <w:ind w:left="0" w:right="0" w:firstLine="30"/>
              <w:rPr/>
            </w:pPr>
            <w:r>
              <w:rPr/>
              <w:t> </w:t>
            </w:r>
          </w:p>
        </w:tc>
        <w:tc>
          <w:tcPr>
            <w:tcW w:w="122" w:type="dxa"/>
            <w:tcBorders/>
            <w:shd w:fill="CCEEFF" w:val="clear"/>
            <w:vAlign w:val="center"/>
          </w:tcPr>
          <w:p>
            <w:pPr>
              <w:pStyle w:val="TableContents"/>
              <w:spacing w:before="0" w:after="0"/>
              <w:ind w:left="0" w:right="0" w:firstLine="30"/>
              <w:rPr/>
            </w:pPr>
            <w:r>
              <w:rPr/>
              <w:t> </w:t>
            </w:r>
          </w:p>
        </w:tc>
        <w:tc>
          <w:tcPr>
            <w:tcW w:w="1955" w:type="dxa"/>
            <w:gridSpan w:val="3"/>
            <w:tcBorders/>
            <w:shd w:fill="CCEEFF" w:val="clear"/>
            <w:vAlign w:val="center"/>
          </w:tcPr>
          <w:p>
            <w:pPr>
              <w:pStyle w:val="TableContents"/>
              <w:spacing w:before="0" w:after="0"/>
              <w:ind w:left="0" w:right="0" w:firstLine="420"/>
              <w:rPr/>
            </w:pPr>
            <w:r>
              <w:rPr/>
              <w:t> </w:t>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2" w:type="dxa"/>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shd w:fill="auto" w:val="clear"/>
            <w:vAlign w:val="center"/>
          </w:tcPr>
          <w:p>
            <w:pPr>
              <w:pStyle w:val="TableContents"/>
              <w:spacing w:before="0" w:after="0"/>
              <w:jc w:val="right"/>
              <w:rPr>
                <w:rFonts w:ascii="inherit" w:hAnsi="inherit"/>
                <w:sz w:val="17"/>
              </w:rPr>
            </w:pPr>
            <w:r>
              <w:rPr>
                <w:rFonts w:ascii="inherit" w:hAnsi="inherit"/>
                <w:sz w:val="17"/>
              </w:rPr>
              <w:t>104,342</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7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auto" w:val="clear"/>
            <w:vAlign w:val="center"/>
          </w:tcPr>
          <w:p>
            <w:pPr>
              <w:pStyle w:val="TableContents"/>
              <w:spacing w:before="0" w:after="0"/>
              <w:jc w:val="right"/>
              <w:rPr>
                <w:rFonts w:ascii="inherit" w:hAnsi="inherit"/>
                <w:sz w:val="17"/>
              </w:rPr>
            </w:pPr>
            <w:r>
              <w:rPr>
                <w:rFonts w:ascii="inherit" w:hAnsi="inherit"/>
                <w:sz w:val="17"/>
              </w:rPr>
              <w:t>11,003</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2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05" w:type="dxa"/>
            <w:tcBorders/>
            <w:shd w:fill="auto" w:val="clear"/>
            <w:vAlign w:val="center"/>
          </w:tcPr>
          <w:p>
            <w:pPr>
              <w:pStyle w:val="TableContents"/>
              <w:spacing w:before="0" w:after="0"/>
              <w:jc w:val="right"/>
              <w:rPr/>
            </w:pPr>
            <w:r>
              <w:rPr/>
              <w:t>—</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6"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shd w:fill="auto" w:val="clear"/>
            <w:vAlign w:val="center"/>
          </w:tcPr>
          <w:p>
            <w:pPr>
              <w:pStyle w:val="TableContents"/>
              <w:spacing w:before="0" w:after="0"/>
              <w:jc w:val="right"/>
              <w:rPr>
                <w:rFonts w:ascii="inherit" w:hAnsi="inherit"/>
                <w:sz w:val="17"/>
              </w:rPr>
            </w:pPr>
            <w:r>
              <w:rPr>
                <w:rFonts w:ascii="inherit" w:hAnsi="inherit"/>
                <w:sz w:val="17"/>
              </w:rPr>
              <w:t>115,345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948"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43,846</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4,519</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pPr>
            <w:r>
              <w:rPr/>
              <w:t>—</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48,365</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948"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36,390</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2,480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pPr>
            <w:r>
              <w:rPr/>
              <w:t>—</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38,870</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9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14,121</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245</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(14,121</w:t>
            </w:r>
          </w:p>
        </w:tc>
        <w:tc>
          <w:tcPr>
            <w:tcW w:w="2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572</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14,121</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184,905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18,247</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(14,121</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203,152</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948"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61,677</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7,451</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pPr>
            <w:r>
              <w:rPr/>
              <w:t>—</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69,128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94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10,311</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716</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9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112,917</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10,080</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(14,121</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122,997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089"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290"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294"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309" w:type="dxa"/>
            <w:gridSpan w:val="3"/>
            <w:tcBorders/>
            <w:shd w:fill="auto" w:val="clear"/>
            <w:vAlign w:val="center"/>
          </w:tcPr>
          <w:p>
            <w:pPr>
              <w:pStyle w:val="TableContents"/>
              <w:spacing w:before="0" w:after="0"/>
              <w:ind w:left="0" w:right="0" w:firstLine="30"/>
              <w:rPr/>
            </w:pPr>
            <w:r>
              <w:rPr/>
              <w:t> </w:t>
            </w:r>
          </w:p>
        </w:tc>
        <w:tc>
          <w:tcPr>
            <w:tcW w:w="122" w:type="dxa"/>
            <w:tcBorders/>
            <w:shd w:fill="auto" w:val="clear"/>
            <w:vAlign w:val="center"/>
          </w:tcPr>
          <w:p>
            <w:pPr>
              <w:pStyle w:val="TableContents"/>
              <w:spacing w:before="0" w:after="0"/>
              <w:ind w:left="0" w:right="0" w:firstLine="30"/>
              <w:rPr/>
            </w:pPr>
            <w:r>
              <w:rPr/>
              <w:t> </w:t>
            </w:r>
          </w:p>
        </w:tc>
        <w:tc>
          <w:tcPr>
            <w:tcW w:w="1955" w:type="dxa"/>
            <w:gridSpan w:val="3"/>
            <w:tcBorders/>
            <w:shd w:fill="auto" w:val="clear"/>
            <w:vAlign w:val="center"/>
          </w:tcPr>
          <w:p>
            <w:pPr>
              <w:pStyle w:val="TableContents"/>
              <w:spacing w:before="0" w:after="0"/>
              <w:ind w:left="0" w:right="0" w:firstLine="420"/>
              <w:rPr/>
            </w:pPr>
            <w:r>
              <w:rPr/>
              <w:t> </w:t>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948"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58,869</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7,884</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pPr>
            <w:r>
              <w:rPr/>
              <w:t>—</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66,753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948"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13,109</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1,270</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pPr>
            <w:r>
              <w:rPr/>
              <w:t>—</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14,379</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948"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3,641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817</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pPr>
            <w:r>
              <w:rPr/>
              <w:t>—</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4,458</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948" w:type="dxa"/>
            <w:gridSpan w:val="2"/>
            <w:tcBorders/>
            <w:shd w:fill="auto" w:val="clear"/>
            <w:vAlign w:val="center"/>
          </w:tcPr>
          <w:p>
            <w:pPr>
              <w:pStyle w:val="TableContents"/>
              <w:spacing w:before="0" w:after="0"/>
              <w:jc w:val="right"/>
              <w:rPr/>
            </w:pPr>
            <w:r>
              <w:rPr/>
              <w:t>—</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pPr>
            <w:r>
              <w:rPr/>
              <w:t>—</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9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169</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94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75,869</w:t>
            </w:r>
          </w:p>
        </w:tc>
        <w:tc>
          <w:tcPr>
            <w:tcW w:w="14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10,111</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85,980</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9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14,121</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37,048</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(14,121</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37,017</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5,008</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(4,963</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94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(7,108</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2,668</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4,963</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586</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(2,365</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(1,734</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pPr>
            <w:r>
              <w:rPr/>
              <w:t>—</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pPr>
            <w:r>
              <w:rPr/>
              <w:t>—</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(4,099</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948"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14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(103</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94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18,586</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36,286</w:t>
            </w:r>
          </w:p>
        </w:tc>
        <w:tc>
          <w:tcPr>
            <w:tcW w:w="1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(97</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(14,121</w:t>
            </w:r>
          </w:p>
        </w:tc>
        <w:tc>
          <w:tcPr>
            <w:tcW w:w="2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40,654</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94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13,877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14,127</w:t>
            </w:r>
          </w:p>
        </w:tc>
        <w:tc>
          <w:tcPr>
            <w:tcW w:w="14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244</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(14,121</w:t>
            </w:r>
          </w:p>
        </w:tc>
        <w:tc>
          <w:tcPr>
            <w:tcW w:w="2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14,127</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94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4,709</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22,159</w:t>
            </w:r>
          </w:p>
        </w:tc>
        <w:tc>
          <w:tcPr>
            <w:tcW w:w="141"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38"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(341</w:t>
            </w:r>
          </w:p>
        </w:tc>
        <w:tc>
          <w:tcPr>
            <w:tcW w:w="156"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1069" w:type="dxa"/>
            <w:gridSpan w:val="2"/>
            <w:tcBorders>
              <w:top w:val="single" w:sz="2" w:space="0" w:color="000000"/>
            </w:tcBorders>
            <w:shd w:fill="auto" w:val="clear"/>
            <w:tcMar>
              <w:top w:w="30" w:type="dxa"/>
            </w:tcMar>
            <w:vAlign w:val="center"/>
          </w:tcPr>
          <w:p>
            <w:pPr>
              <w:pStyle w:val="TableContents"/>
              <w:spacing w:before="0" w:after="0"/>
              <w:jc w:val="right"/>
              <w:rPr/>
            </w:pPr>
            <w:r>
              <w:rPr/>
              <w:t>—</w:t>
            </w:r>
          </w:p>
        </w:tc>
        <w:tc>
          <w:tcPr>
            <w:tcW w:w="24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149"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806"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948"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1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38"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069" w:type="dxa"/>
            <w:gridSpan w:val="2"/>
            <w:tcBorders/>
            <w:shd w:fill="CCEEFF" w:val="clear"/>
            <w:vAlign w:val="center"/>
          </w:tcPr>
          <w:p>
            <w:pPr>
              <w:pStyle w:val="TableContents"/>
              <w:spacing w:before="0" w:after="0"/>
              <w:jc w:val="right"/>
              <w:rPr/>
            </w:pPr>
            <w:r>
              <w:rPr/>
              <w:t>—</w:t>
            </w:r>
          </w:p>
        </w:tc>
        <w:tc>
          <w:tcPr>
            <w:tcW w:w="2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CCEEFF" w:val="clear"/>
            <w:vAlign w:val="center"/>
          </w:tcPr>
          <w:p>
            <w:pPr>
              <w:pStyle w:val="TableContents"/>
              <w:spacing w:before="0" w:after="0"/>
              <w:ind w:left="0" w:right="0" w:firstLine="30"/>
              <w:rPr/>
            </w:pPr>
            <w:r>
              <w:rPr/>
              <w:t> </w:t>
            </w:r>
          </w:p>
        </w:tc>
        <w:tc>
          <w:tcPr>
            <w:tcW w:w="1149" w:type="dxa"/>
            <w:gridSpan w:val="2"/>
            <w:tcBorders/>
            <w:shd w:fill="CCEEFF" w:val="clear"/>
            <w:vAlign w:val="center"/>
          </w:tcPr>
          <w:p>
            <w:pPr>
              <w:pStyle w:val="TableContents"/>
              <w:spacing w:before="0" w:after="0"/>
              <w:jc w:val="right"/>
              <w:rPr/>
            </w:pPr>
            <w:r>
              <w:rPr/>
              <w:t>—</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8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4,709</w:t>
            </w:r>
          </w:p>
        </w:tc>
        <w:tc>
          <w:tcPr>
            <w:tcW w:w="1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22,159</w:t>
            </w:r>
          </w:p>
        </w:tc>
        <w:tc>
          <w:tcPr>
            <w:tcW w:w="14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71"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(341</w:t>
            </w:r>
          </w:p>
        </w:tc>
        <w:tc>
          <w:tcPr>
            <w:tcW w:w="156"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2" w:type="dxa"/>
            <w:tcBorders/>
            <w:shd w:fill="auto" w:val="clear"/>
            <w:vAlign w:val="center"/>
          </w:tcPr>
          <w:p>
            <w:pPr>
              <w:pStyle w:val="TableContents"/>
              <w:spacing w:before="0" w:after="0"/>
              <w:ind w:left="0" w:right="0" w:firstLine="30"/>
              <w:rPr/>
            </w:pPr>
            <w:r>
              <w:rPr/>
              <w:t> </w:t>
            </w:r>
          </w:p>
        </w:tc>
        <w:tc>
          <w:tcPr>
            <w:tcW w:w="2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05"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2" w:type="dxa"/>
            <w:tcBorders/>
            <w:shd w:fill="auto" w:val="clear"/>
            <w:vAlign w:val="center"/>
          </w:tcPr>
          <w:p>
            <w:pPr>
              <w:pStyle w:val="TableContents"/>
              <w:spacing w:before="0" w:after="0"/>
              <w:ind w:left="0" w:right="0" w:firstLine="30"/>
              <w:rPr/>
            </w:pPr>
            <w:r>
              <w:rPr/>
              <w:t> </w:t>
            </w:r>
          </w:p>
        </w:tc>
        <w:tc>
          <w:tcPr>
            <w:tcW w:w="15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80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32</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711"/>
        <w:gridCol w:w="154"/>
        <w:gridCol w:w="936"/>
        <w:gridCol w:w="140"/>
        <w:gridCol w:w="121"/>
        <w:gridCol w:w="154"/>
        <w:gridCol w:w="979"/>
        <w:gridCol w:w="140"/>
        <w:gridCol w:w="121"/>
        <w:gridCol w:w="169"/>
        <w:gridCol w:w="953"/>
        <w:gridCol w:w="155"/>
        <w:gridCol w:w="121"/>
        <w:gridCol w:w="263"/>
        <w:gridCol w:w="790"/>
        <w:gridCol w:w="238"/>
        <w:gridCol w:w="121"/>
        <w:gridCol w:w="154"/>
        <w:gridCol w:w="979"/>
        <w:gridCol w:w="806"/>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7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3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63"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9" w:type="dxa"/>
            <w:tcBorders/>
            <w:shd w:fill="auto" w:val="clear"/>
            <w:vAlign w:val="center"/>
          </w:tcPr>
          <w:p>
            <w:pPr>
              <w:pStyle w:val="TableContents"/>
              <w:spacing w:before="0" w:after="283"/>
              <w:rPr>
                <w:sz w:val="4"/>
                <w:szCs w:val="4"/>
              </w:rPr>
            </w:pPr>
            <w:r>
              <w:rPr>
                <w:sz w:val="4"/>
                <w:szCs w:val="4"/>
              </w:rPr>
            </w:r>
          </w:p>
        </w:tc>
        <w:tc>
          <w:tcPr>
            <w:tcW w:w="806"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2012</w:t>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r>
      <w:tr>
        <w:trPr/>
        <w:tc>
          <w:tcPr>
            <w:tcW w:w="2711" w:type="dxa"/>
            <w:tcBorders/>
            <w:shd w:fill="auto" w:val="clear"/>
            <w:vAlign w:val="center"/>
          </w:tcPr>
          <w:p>
            <w:pPr>
              <w:pStyle w:val="TableContents"/>
              <w:spacing w:before="0" w:after="0"/>
              <w:ind w:left="0" w:right="0" w:firstLine="30"/>
              <w:jc w:val="left"/>
              <w:rPr/>
            </w:pPr>
            <w:r>
              <w:rPr/>
              <w:t> </w:t>
            </w:r>
          </w:p>
        </w:tc>
        <w:tc>
          <w:tcPr>
            <w:tcW w:w="7494"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711" w:type="dxa"/>
            <w:tcBorders/>
            <w:shd w:fill="auto" w:val="clear"/>
            <w:vAlign w:val="center"/>
          </w:tcPr>
          <w:p>
            <w:pPr>
              <w:pStyle w:val="TableContents"/>
              <w:spacing w:before="0" w:after="0"/>
              <w:ind w:left="0" w:right="0" w:firstLine="30"/>
              <w:jc w:val="left"/>
              <w:rPr/>
            </w:pPr>
            <w:r>
              <w:rPr/>
              <w:t> </w:t>
            </w:r>
          </w:p>
        </w:tc>
        <w:tc>
          <w:tcPr>
            <w:tcW w:w="123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1" w:type="dxa"/>
            <w:tcBorders/>
            <w:shd w:fill="auto" w:val="clear"/>
            <w:vAlign w:val="center"/>
          </w:tcPr>
          <w:p>
            <w:pPr>
              <w:pStyle w:val="TableContents"/>
              <w:spacing w:before="0" w:after="0"/>
              <w:ind w:left="0" w:right="0" w:firstLine="30"/>
              <w:rPr/>
            </w:pPr>
            <w:r>
              <w:rPr/>
              <w:t> </w:t>
            </w:r>
          </w:p>
        </w:tc>
        <w:tc>
          <w:tcPr>
            <w:tcW w:w="1273"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1" w:type="dxa"/>
            <w:tcBorders/>
            <w:shd w:fill="auto" w:val="clear"/>
            <w:vAlign w:val="center"/>
          </w:tcPr>
          <w:p>
            <w:pPr>
              <w:pStyle w:val="TableContents"/>
              <w:spacing w:before="0" w:after="0"/>
              <w:ind w:left="0" w:right="0" w:firstLine="30"/>
              <w:rPr/>
            </w:pPr>
            <w:r>
              <w:rPr/>
              <w:t> </w:t>
            </w:r>
          </w:p>
        </w:tc>
        <w:tc>
          <w:tcPr>
            <w:tcW w:w="127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1" w:type="dxa"/>
            <w:tcBorders/>
            <w:shd w:fill="auto" w:val="clear"/>
            <w:vAlign w:val="center"/>
          </w:tcPr>
          <w:p>
            <w:pPr>
              <w:pStyle w:val="TableContents"/>
              <w:spacing w:before="0" w:after="0"/>
              <w:ind w:left="0" w:right="0" w:firstLine="30"/>
              <w:rPr/>
            </w:pPr>
            <w:r>
              <w:rPr/>
              <w:t> </w:t>
            </w:r>
          </w:p>
        </w:tc>
        <w:tc>
          <w:tcPr>
            <w:tcW w:w="12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Eliminations</w:t>
            </w:r>
          </w:p>
        </w:tc>
        <w:tc>
          <w:tcPr>
            <w:tcW w:w="121" w:type="dxa"/>
            <w:tcBorders/>
            <w:shd w:fill="auto" w:val="clear"/>
            <w:vAlign w:val="center"/>
          </w:tcPr>
          <w:p>
            <w:pPr>
              <w:pStyle w:val="TableContents"/>
              <w:spacing w:before="0" w:after="0"/>
              <w:ind w:left="0" w:right="0" w:firstLine="30"/>
              <w:rPr/>
            </w:pPr>
            <w:r>
              <w:rPr/>
              <w:t> </w:t>
            </w:r>
          </w:p>
        </w:tc>
        <w:tc>
          <w:tcPr>
            <w:tcW w:w="193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230"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73"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77"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291" w:type="dxa"/>
            <w:gridSpan w:val="3"/>
            <w:tcBorders/>
            <w:shd w:fill="CCEEFF" w:val="clear"/>
            <w:vAlign w:val="center"/>
          </w:tcPr>
          <w:p>
            <w:pPr>
              <w:pStyle w:val="TableContents"/>
              <w:spacing w:before="0" w:after="0"/>
              <w:ind w:left="0" w:right="0" w:firstLine="30"/>
              <w:rPr/>
            </w:pPr>
            <w:r>
              <w:rPr/>
              <w:t> </w:t>
            </w:r>
          </w:p>
        </w:tc>
        <w:tc>
          <w:tcPr>
            <w:tcW w:w="121" w:type="dxa"/>
            <w:tcBorders/>
            <w:shd w:fill="CCEEFF" w:val="clear"/>
            <w:vAlign w:val="center"/>
          </w:tcPr>
          <w:p>
            <w:pPr>
              <w:pStyle w:val="TableContents"/>
              <w:spacing w:before="0" w:after="0"/>
              <w:ind w:left="0" w:right="0" w:firstLine="30"/>
              <w:rPr/>
            </w:pPr>
            <w:r>
              <w:rPr/>
              <w:t> </w:t>
            </w:r>
          </w:p>
        </w:tc>
        <w:tc>
          <w:tcPr>
            <w:tcW w:w="1939" w:type="dxa"/>
            <w:gridSpan w:val="3"/>
            <w:tcBorders/>
            <w:shd w:fill="CCEEFF" w:val="clear"/>
            <w:vAlign w:val="center"/>
          </w:tcPr>
          <w:p>
            <w:pPr>
              <w:pStyle w:val="TableContents"/>
              <w:spacing w:before="0" w:after="0"/>
              <w:ind w:left="0" w:right="0" w:firstLine="420"/>
              <w:rPr/>
            </w:pPr>
            <w:r>
              <w:rPr/>
              <w:t> </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36"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shd w:fill="auto" w:val="clear"/>
            <w:vAlign w:val="center"/>
          </w:tcPr>
          <w:p>
            <w:pPr>
              <w:pStyle w:val="TableContents"/>
              <w:spacing w:before="0" w:after="0"/>
              <w:jc w:val="right"/>
              <w:rPr>
                <w:rFonts w:ascii="inherit" w:hAnsi="inherit"/>
                <w:sz w:val="17"/>
              </w:rPr>
            </w:pPr>
            <w:r>
              <w:rPr>
                <w:rFonts w:ascii="inherit" w:hAnsi="inherit"/>
                <w:sz w:val="17"/>
              </w:rPr>
              <w:t>364,326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6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shd w:fill="auto" w:val="clear"/>
            <w:vAlign w:val="center"/>
          </w:tcPr>
          <w:p>
            <w:pPr>
              <w:pStyle w:val="TableContents"/>
              <w:spacing w:before="0" w:after="0"/>
              <w:jc w:val="right"/>
              <w:rPr>
                <w:rFonts w:ascii="inherit" w:hAnsi="inherit"/>
                <w:sz w:val="17"/>
              </w:rPr>
            </w:pPr>
            <w:r>
              <w:rPr>
                <w:rFonts w:ascii="inherit" w:hAnsi="inherit"/>
                <w:sz w:val="17"/>
              </w:rPr>
              <w:t>45,075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26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shd w:fill="auto" w:val="clear"/>
            <w:vAlign w:val="center"/>
          </w:tcPr>
          <w:p>
            <w:pPr>
              <w:pStyle w:val="TableContents"/>
              <w:spacing w:before="0" w:after="0"/>
              <w:jc w:val="right"/>
              <w:rPr>
                <w:rFonts w:ascii="inherit" w:hAnsi="inherit"/>
                <w:sz w:val="17"/>
              </w:rPr>
            </w:pPr>
            <w:r>
              <w:rPr>
                <w:rFonts w:ascii="inherit" w:hAnsi="inherit"/>
                <w:sz w:val="17"/>
              </w:rPr>
              <w:t>409,401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9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154,854</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17,545</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pPr>
            <w:r>
              <w:rPr/>
              <w:t>—</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172,399</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9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118,821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30,090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148,911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3,841</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1,628</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(22,204</w:t>
            </w:r>
          </w:p>
        </w:tc>
        <w:tc>
          <w:tcPr>
            <w:tcW w:w="2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3,404</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641,842</w:t>
            </w:r>
          </w:p>
        </w:tc>
        <w:tc>
          <w:tcPr>
            <w:tcW w:w="140"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94,338</w:t>
            </w:r>
          </w:p>
        </w:tc>
        <w:tc>
          <w:tcPr>
            <w:tcW w:w="155" w:type="dxa"/>
            <w:tcBorders>
              <w:top w:val="single" w:sz="2" w:space="0" w:color="000000"/>
            </w:tcBorders>
            <w:shd w:fill="auto"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(22,204</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734,115</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09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217,709</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26,754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pPr>
            <w:r>
              <w:rPr/>
              <w:t>—</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244,463</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9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24,211</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4,531</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28,742</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399,922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63,053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(22,204</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460,910</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230"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73"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77"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291" w:type="dxa"/>
            <w:gridSpan w:val="3"/>
            <w:tcBorders/>
            <w:shd w:fill="auto" w:val="clear"/>
            <w:vAlign w:val="center"/>
          </w:tcPr>
          <w:p>
            <w:pPr>
              <w:pStyle w:val="TableContents"/>
              <w:spacing w:before="0" w:after="0"/>
              <w:ind w:left="0" w:right="0" w:firstLine="30"/>
              <w:rPr/>
            </w:pPr>
            <w:r>
              <w:rPr/>
              <w:t> </w:t>
            </w:r>
          </w:p>
        </w:tc>
        <w:tc>
          <w:tcPr>
            <w:tcW w:w="121" w:type="dxa"/>
            <w:tcBorders/>
            <w:shd w:fill="auto" w:val="clear"/>
            <w:vAlign w:val="center"/>
          </w:tcPr>
          <w:p>
            <w:pPr>
              <w:pStyle w:val="TableContents"/>
              <w:spacing w:before="0" w:after="0"/>
              <w:ind w:left="0" w:right="0" w:firstLine="30"/>
              <w:rPr/>
            </w:pPr>
            <w:r>
              <w:rPr/>
              <w:t> </w:t>
            </w:r>
          </w:p>
        </w:tc>
        <w:tc>
          <w:tcPr>
            <w:tcW w:w="1939" w:type="dxa"/>
            <w:gridSpan w:val="3"/>
            <w:tcBorders/>
            <w:shd w:fill="auto" w:val="clear"/>
            <w:vAlign w:val="center"/>
          </w:tcPr>
          <w:p>
            <w:pPr>
              <w:pStyle w:val="TableContents"/>
              <w:spacing w:before="0" w:after="0"/>
              <w:ind w:left="0" w:right="0" w:firstLine="420"/>
              <w:rPr/>
            </w:pPr>
            <w:r>
              <w:rPr/>
              <w:t> </w:t>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09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192,880</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34,599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pPr>
            <w:r>
              <w:rPr/>
              <w:t>—</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227,479</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9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51,021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14,805</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(2,065</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63,761</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09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13,027</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3,778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pPr>
            <w:r>
              <w:rPr/>
              <w:t>—</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16,805</w:t>
            </w:r>
          </w:p>
        </w:tc>
        <w:tc>
          <w:tcPr>
            <w:tcW w:w="806"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09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2,741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3,086</w:t>
            </w:r>
          </w:p>
        </w:tc>
        <w:tc>
          <w:tcPr>
            <w:tcW w:w="806"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0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(129</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267</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138</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09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257,144</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56,190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(2,065</w:t>
            </w:r>
          </w:p>
        </w:tc>
        <w:tc>
          <w:tcPr>
            <w:tcW w:w="23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311,269</w:t>
            </w:r>
          </w:p>
        </w:tc>
        <w:tc>
          <w:tcPr>
            <w:tcW w:w="806"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20,139</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142,778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6,863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(20,139</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149,641</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10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(3,525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3,985</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(486</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09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2,133</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3,542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2,490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(3,985</w:t>
            </w:r>
          </w:p>
        </w:tc>
        <w:tc>
          <w:tcPr>
            <w:tcW w:w="23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4,180</w:t>
            </w:r>
          </w:p>
        </w:tc>
        <w:tc>
          <w:tcPr>
            <w:tcW w:w="80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(6,725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(6,210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(12,935</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0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166</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(323</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(157</w:t>
            </w:r>
          </w:p>
        </w:tc>
        <w:tc>
          <w:tcPr>
            <w:tcW w:w="80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0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28,256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145,952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4,970</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(20,139</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159,039</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09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48,662</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20,141</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3,939</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(20,139</w:t>
            </w:r>
          </w:p>
        </w:tc>
        <w:tc>
          <w:tcPr>
            <w:tcW w:w="238"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09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(20,406</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125,811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2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053" w:type="dxa"/>
            <w:gridSpan w:val="2"/>
            <w:tcBorders/>
            <w:shd w:fill="auto" w:val="clear"/>
            <w:vAlign w:val="center"/>
          </w:tcPr>
          <w:p>
            <w:pPr>
              <w:pStyle w:val="TableContents"/>
              <w:spacing w:before="0" w:after="0"/>
              <w:jc w:val="right"/>
              <w:rPr/>
            </w:pPr>
            <w:r>
              <w:rPr/>
              <w:t>—</w:t>
            </w:r>
          </w:p>
        </w:tc>
        <w:tc>
          <w:tcPr>
            <w:tcW w:w="23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13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106,436</w:t>
            </w:r>
          </w:p>
        </w:tc>
        <w:tc>
          <w:tcPr>
            <w:tcW w:w="80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09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2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05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CCEEFF" w:val="clear"/>
            <w:vAlign w:val="center"/>
          </w:tcPr>
          <w:p>
            <w:pPr>
              <w:pStyle w:val="TableContents"/>
              <w:spacing w:before="0" w:after="0"/>
              <w:ind w:left="0" w:right="0" w:firstLine="30"/>
              <w:rPr/>
            </w:pPr>
            <w:r>
              <w:rPr/>
              <w:t> </w:t>
            </w:r>
          </w:p>
        </w:tc>
        <w:tc>
          <w:tcPr>
            <w:tcW w:w="113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80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71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(20,406</w:t>
            </w:r>
          </w:p>
        </w:tc>
        <w:tc>
          <w:tcPr>
            <w:tcW w:w="14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125,811</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6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(269</w:t>
            </w:r>
          </w:p>
        </w:tc>
        <w:tc>
          <w:tcPr>
            <w:tcW w:w="15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1" w:type="dxa"/>
            <w:tcBorders/>
            <w:shd w:fill="auto" w:val="clear"/>
            <w:vAlign w:val="center"/>
          </w:tcPr>
          <w:p>
            <w:pPr>
              <w:pStyle w:val="TableContents"/>
              <w:spacing w:before="0" w:after="0"/>
              <w:ind w:left="0" w:right="0" w:firstLine="30"/>
              <w:rPr/>
            </w:pPr>
            <w:r>
              <w:rPr/>
              <w:t> </w:t>
            </w:r>
          </w:p>
        </w:tc>
        <w:tc>
          <w:tcPr>
            <w:tcW w:w="2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9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3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1"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06"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33</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697"/>
        <w:gridCol w:w="154"/>
        <w:gridCol w:w="876"/>
        <w:gridCol w:w="140"/>
        <w:gridCol w:w="120"/>
        <w:gridCol w:w="154"/>
        <w:gridCol w:w="977"/>
        <w:gridCol w:w="140"/>
        <w:gridCol w:w="120"/>
        <w:gridCol w:w="170"/>
        <w:gridCol w:w="951"/>
        <w:gridCol w:w="155"/>
        <w:gridCol w:w="120"/>
        <w:gridCol w:w="264"/>
        <w:gridCol w:w="788"/>
        <w:gridCol w:w="239"/>
        <w:gridCol w:w="120"/>
        <w:gridCol w:w="154"/>
        <w:gridCol w:w="977"/>
        <w:gridCol w:w="889"/>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2697"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95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697" w:type="dxa"/>
            <w:tcBorders/>
            <w:shd w:fill="auto" w:val="clear"/>
            <w:vAlign w:val="center"/>
          </w:tcPr>
          <w:p>
            <w:pPr>
              <w:pStyle w:val="TableContents"/>
              <w:spacing w:before="0" w:after="0"/>
              <w:ind w:left="0" w:right="0" w:firstLine="30"/>
              <w:jc w:val="left"/>
              <w:rPr/>
            </w:pPr>
            <w:r>
              <w:rPr/>
              <w:t> </w:t>
            </w:r>
          </w:p>
        </w:tc>
        <w:tc>
          <w:tcPr>
            <w:tcW w:w="7508"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2011</w:t>
            </w:r>
          </w:p>
        </w:tc>
      </w:tr>
      <w:tr>
        <w:trPr/>
        <w:tc>
          <w:tcPr>
            <w:tcW w:w="2697" w:type="dxa"/>
            <w:tcBorders/>
            <w:shd w:fill="auto" w:val="clear"/>
            <w:vAlign w:val="center"/>
          </w:tcPr>
          <w:p>
            <w:pPr>
              <w:pStyle w:val="TableContents"/>
              <w:spacing w:before="0" w:after="0"/>
              <w:ind w:left="0" w:right="0" w:firstLine="30"/>
              <w:jc w:val="left"/>
              <w:rPr/>
            </w:pPr>
            <w:r>
              <w:rPr/>
              <w:t> </w:t>
            </w:r>
          </w:p>
        </w:tc>
        <w:tc>
          <w:tcPr>
            <w:tcW w:w="7508"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(Unaudited)</w:t>
            </w:r>
          </w:p>
        </w:tc>
      </w:tr>
      <w:tr>
        <w:trPr/>
        <w:tc>
          <w:tcPr>
            <w:tcW w:w="2697" w:type="dxa"/>
            <w:tcBorders/>
            <w:shd w:fill="auto" w:val="clear"/>
            <w:vAlign w:val="center"/>
          </w:tcPr>
          <w:p>
            <w:pPr>
              <w:pStyle w:val="TableContents"/>
              <w:spacing w:before="0" w:after="0"/>
              <w:ind w:left="0" w:right="0" w:firstLine="30"/>
              <w:jc w:val="left"/>
              <w:rPr/>
            </w:pPr>
            <w:r>
              <w:rPr/>
              <w:t> </w:t>
            </w:r>
          </w:p>
        </w:tc>
        <w:tc>
          <w:tcPr>
            <w:tcW w:w="7508" w:type="dxa"/>
            <w:gridSpan w:val="19"/>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2697" w:type="dxa"/>
            <w:tcBorders/>
            <w:shd w:fill="auto" w:val="clear"/>
            <w:vAlign w:val="center"/>
          </w:tcPr>
          <w:p>
            <w:pPr>
              <w:pStyle w:val="TableContents"/>
              <w:spacing w:before="0" w:after="0"/>
              <w:ind w:left="0" w:right="0" w:firstLine="30"/>
              <w:jc w:val="left"/>
              <w:rPr/>
            </w:pPr>
            <w:r>
              <w:rPr/>
              <w:t> </w:t>
            </w:r>
          </w:p>
        </w:tc>
        <w:tc>
          <w:tcPr>
            <w:tcW w:w="117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0" w:type="dxa"/>
            <w:tcBorders/>
            <w:shd w:fill="auto" w:val="clear"/>
            <w:vAlign w:val="center"/>
          </w:tcPr>
          <w:p>
            <w:pPr>
              <w:pStyle w:val="TableContents"/>
              <w:spacing w:before="0" w:after="0"/>
              <w:ind w:left="0" w:right="0" w:firstLine="30"/>
              <w:rPr/>
            </w:pPr>
            <w:r>
              <w:rPr/>
              <w:t> </w:t>
            </w:r>
          </w:p>
        </w:tc>
        <w:tc>
          <w:tcPr>
            <w:tcW w:w="127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0" w:type="dxa"/>
            <w:tcBorders/>
            <w:shd w:fill="auto" w:val="clear"/>
            <w:vAlign w:val="center"/>
          </w:tcPr>
          <w:p>
            <w:pPr>
              <w:pStyle w:val="TableContents"/>
              <w:spacing w:before="0" w:after="0"/>
              <w:ind w:left="0" w:right="0" w:firstLine="30"/>
              <w:rPr/>
            </w:pPr>
            <w:r>
              <w:rPr/>
              <w:t> </w:t>
            </w:r>
          </w:p>
        </w:tc>
        <w:tc>
          <w:tcPr>
            <w:tcW w:w="127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0" w:type="dxa"/>
            <w:tcBorders/>
            <w:shd w:fill="auto" w:val="clear"/>
            <w:vAlign w:val="center"/>
          </w:tcPr>
          <w:p>
            <w:pPr>
              <w:pStyle w:val="TableContents"/>
              <w:spacing w:before="0" w:after="0"/>
              <w:ind w:left="0" w:right="0" w:firstLine="30"/>
              <w:rPr/>
            </w:pPr>
            <w:r>
              <w:rPr/>
              <w:t> </w:t>
            </w:r>
          </w:p>
        </w:tc>
        <w:tc>
          <w:tcPr>
            <w:tcW w:w="129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Eliminations</w:t>
            </w:r>
          </w:p>
        </w:tc>
        <w:tc>
          <w:tcPr>
            <w:tcW w:w="120" w:type="dxa"/>
            <w:tcBorders/>
            <w:shd w:fill="auto" w:val="clear"/>
            <w:vAlign w:val="center"/>
          </w:tcPr>
          <w:p>
            <w:pPr>
              <w:pStyle w:val="TableContents"/>
              <w:spacing w:before="0" w:after="0"/>
              <w:ind w:left="0" w:right="0" w:firstLine="30"/>
              <w:rPr/>
            </w:pPr>
            <w:r>
              <w:rPr/>
              <w:t> </w:t>
            </w:r>
          </w:p>
        </w:tc>
        <w:tc>
          <w:tcPr>
            <w:tcW w:w="20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Revenues:</w:t>
            </w:r>
          </w:p>
        </w:tc>
        <w:tc>
          <w:tcPr>
            <w:tcW w:w="1170"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71"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76"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1291" w:type="dxa"/>
            <w:gridSpan w:val="3"/>
            <w:tcBorders/>
            <w:shd w:fill="CCEEFF" w:val="clear"/>
            <w:vAlign w:val="center"/>
          </w:tcPr>
          <w:p>
            <w:pPr>
              <w:pStyle w:val="TableContents"/>
              <w:spacing w:before="0" w:after="0"/>
              <w:ind w:left="0" w:right="0" w:firstLine="30"/>
              <w:rPr/>
            </w:pPr>
            <w:r>
              <w:rPr/>
              <w:t> </w:t>
            </w:r>
          </w:p>
        </w:tc>
        <w:tc>
          <w:tcPr>
            <w:tcW w:w="120" w:type="dxa"/>
            <w:tcBorders/>
            <w:shd w:fill="CCEEFF" w:val="clear"/>
            <w:vAlign w:val="center"/>
          </w:tcPr>
          <w:p>
            <w:pPr>
              <w:pStyle w:val="TableContents"/>
              <w:spacing w:before="0" w:after="0"/>
              <w:ind w:left="0" w:right="0" w:firstLine="30"/>
              <w:rPr/>
            </w:pPr>
            <w:r>
              <w:rPr/>
              <w:t> </w:t>
            </w:r>
          </w:p>
        </w:tc>
        <w:tc>
          <w:tcPr>
            <w:tcW w:w="2020" w:type="dxa"/>
            <w:gridSpan w:val="3"/>
            <w:tcBorders/>
            <w:shd w:fill="CCEEFF" w:val="clear"/>
            <w:vAlign w:val="center"/>
          </w:tcPr>
          <w:p>
            <w:pPr>
              <w:pStyle w:val="TableContents"/>
              <w:spacing w:before="0" w:after="0"/>
              <w:ind w:left="0" w:right="0" w:firstLine="420"/>
              <w:rPr/>
            </w:pPr>
            <w:r>
              <w:rPr/>
              <w:t> </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shd w:fill="auto" w:val="clear"/>
            <w:vAlign w:val="center"/>
          </w:tcPr>
          <w:p>
            <w:pPr>
              <w:pStyle w:val="TableContents"/>
              <w:spacing w:before="0" w:after="0"/>
              <w:jc w:val="right"/>
              <w:rPr>
                <w:rFonts w:ascii="inherit" w:hAnsi="inherit"/>
                <w:sz w:val="17"/>
              </w:rPr>
            </w:pPr>
            <w:r>
              <w:rPr>
                <w:rFonts w:ascii="inherit" w:hAnsi="inherit"/>
                <w:sz w:val="17"/>
              </w:rPr>
              <w:t>334,209</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7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shd w:fill="auto" w:val="clear"/>
            <w:vAlign w:val="center"/>
          </w:tcPr>
          <w:p>
            <w:pPr>
              <w:pStyle w:val="TableContents"/>
              <w:spacing w:before="0" w:after="0"/>
              <w:jc w:val="right"/>
              <w:rPr>
                <w:rFonts w:ascii="inherit" w:hAnsi="inherit"/>
                <w:sz w:val="17"/>
              </w:rPr>
            </w:pPr>
            <w:r>
              <w:rPr>
                <w:rFonts w:ascii="inherit" w:hAnsi="inherit"/>
                <w:sz w:val="17"/>
              </w:rPr>
              <w:t>29,449</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26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788" w:type="dxa"/>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54"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shd w:fill="auto" w:val="clear"/>
            <w:vAlign w:val="center"/>
          </w:tcPr>
          <w:p>
            <w:pPr>
              <w:pStyle w:val="TableContents"/>
              <w:spacing w:before="0" w:after="0"/>
              <w:jc w:val="right"/>
              <w:rPr>
                <w:rFonts w:ascii="inherit" w:hAnsi="inherit"/>
                <w:sz w:val="17"/>
              </w:rPr>
            </w:pPr>
            <w:r>
              <w:rPr>
                <w:rFonts w:ascii="inherit" w:hAnsi="inherit"/>
                <w:sz w:val="17"/>
              </w:rPr>
              <w:t>363,658</w:t>
            </w:r>
          </w:p>
        </w:tc>
        <w:tc>
          <w:tcPr>
            <w:tcW w:w="8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133,355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11,589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144,944</w:t>
            </w:r>
          </w:p>
        </w:tc>
        <w:tc>
          <w:tcPr>
            <w:tcW w:w="8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119,600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6,052</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125,652</w:t>
            </w:r>
          </w:p>
        </w:tc>
        <w:tc>
          <w:tcPr>
            <w:tcW w:w="8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46,658</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681</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297</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(46,658</w:t>
            </w:r>
          </w:p>
        </w:tc>
        <w:tc>
          <w:tcPr>
            <w:tcW w:w="23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889"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46,658</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587,845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47,387</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(46,658</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635,232</w:t>
            </w:r>
          </w:p>
        </w:tc>
        <w:tc>
          <w:tcPr>
            <w:tcW w:w="8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199,625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19,633</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219,258</w:t>
            </w:r>
          </w:p>
        </w:tc>
        <w:tc>
          <w:tcPr>
            <w:tcW w:w="8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25,875</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1,920</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889" w:type="dxa"/>
            <w:tcBorders>
              <w:bottom w:val="single" w:sz="2" w:space="0" w:color="000000"/>
            </w:tcBorders>
            <w:shd w:fill="auto"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46,658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362,345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25,834</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(46,658</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388,179</w:t>
            </w:r>
          </w:p>
        </w:tc>
        <w:tc>
          <w:tcPr>
            <w:tcW w:w="8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Operating expenses:</w:t>
            </w:r>
          </w:p>
        </w:tc>
        <w:tc>
          <w:tcPr>
            <w:tcW w:w="1170"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71"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76"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1291" w:type="dxa"/>
            <w:gridSpan w:val="3"/>
            <w:tcBorders/>
            <w:shd w:fill="auto" w:val="clear"/>
            <w:vAlign w:val="center"/>
          </w:tcPr>
          <w:p>
            <w:pPr>
              <w:pStyle w:val="TableContents"/>
              <w:spacing w:before="0" w:after="0"/>
              <w:ind w:left="0" w:right="0" w:firstLine="30"/>
              <w:rPr/>
            </w:pPr>
            <w:r>
              <w:rPr/>
              <w:t> </w:t>
            </w:r>
          </w:p>
        </w:tc>
        <w:tc>
          <w:tcPr>
            <w:tcW w:w="120" w:type="dxa"/>
            <w:tcBorders/>
            <w:shd w:fill="auto" w:val="clear"/>
            <w:vAlign w:val="center"/>
          </w:tcPr>
          <w:p>
            <w:pPr>
              <w:pStyle w:val="TableContents"/>
              <w:spacing w:before="0" w:after="0"/>
              <w:ind w:left="0" w:right="0" w:firstLine="30"/>
              <w:rPr/>
            </w:pPr>
            <w:r>
              <w:rPr/>
              <w:t> </w:t>
            </w:r>
          </w:p>
        </w:tc>
        <w:tc>
          <w:tcPr>
            <w:tcW w:w="2020" w:type="dxa"/>
            <w:gridSpan w:val="3"/>
            <w:tcBorders/>
            <w:shd w:fill="auto" w:val="clear"/>
            <w:vAlign w:val="center"/>
          </w:tcPr>
          <w:p>
            <w:pPr>
              <w:pStyle w:val="TableContents"/>
              <w:spacing w:before="0" w:after="0"/>
              <w:ind w:left="0" w:right="0" w:firstLine="420"/>
              <w:rPr/>
            </w:pPr>
            <w:r>
              <w:rPr/>
              <w:t> </w:t>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176,145</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21,157</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197,302</w:t>
            </w:r>
          </w:p>
        </w:tc>
        <w:tc>
          <w:tcPr>
            <w:tcW w:w="8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52,827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3,423</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56,250</w:t>
            </w:r>
          </w:p>
        </w:tc>
        <w:tc>
          <w:tcPr>
            <w:tcW w:w="8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030" w:type="dxa"/>
            <w:gridSpan w:val="2"/>
            <w:tcBorders/>
            <w:shd w:fill="CCEEFF" w:val="clear"/>
            <w:vAlign w:val="center"/>
          </w:tcPr>
          <w:p>
            <w:pPr>
              <w:pStyle w:val="TableContents"/>
              <w:spacing w:before="0" w:after="0"/>
              <w:jc w:val="right"/>
              <w:rPr/>
            </w:pPr>
            <w:r>
              <w:rPr/>
              <w:t>—</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10,462</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2,208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pPr>
            <w:r>
              <w:rPr/>
              <w:t>—</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12,670</w:t>
            </w:r>
          </w:p>
        </w:tc>
        <w:tc>
          <w:tcPr>
            <w:tcW w:w="88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030" w:type="dxa"/>
            <w:gridSpan w:val="2"/>
            <w:tcBorders/>
            <w:shd w:fill="auto" w:val="clear"/>
            <w:vAlign w:val="center"/>
          </w:tcPr>
          <w:p>
            <w:pPr>
              <w:pStyle w:val="TableContents"/>
              <w:spacing w:before="0" w:after="0"/>
              <w:jc w:val="right"/>
              <w:rPr/>
            </w:pPr>
            <w:r>
              <w:rPr/>
              <w:t>—</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320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654</w:t>
            </w:r>
          </w:p>
        </w:tc>
        <w:tc>
          <w:tcPr>
            <w:tcW w:w="88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(Gain) loss on sale or disposal of assets</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(132</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130</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889" w:type="dxa"/>
            <w:tcBorders>
              <w:bottom w:val="single" w:sz="2" w:space="0" w:color="000000"/>
            </w:tcBorders>
            <w:shd w:fill="CCEEFF"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operating expenses</w:t>
            </w:r>
          </w:p>
        </w:tc>
        <w:tc>
          <w:tcPr>
            <w:tcW w:w="103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239,622</w:t>
            </w:r>
          </w:p>
        </w:tc>
        <w:tc>
          <w:tcPr>
            <w:tcW w:w="14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27,252</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266,874</w:t>
            </w:r>
          </w:p>
        </w:tc>
        <w:tc>
          <w:tcPr>
            <w:tcW w:w="889"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income</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46,658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122,723</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(1,418</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(46,658</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121,305</w:t>
            </w:r>
          </w:p>
        </w:tc>
        <w:tc>
          <w:tcPr>
            <w:tcW w:w="8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income</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183</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(35</w:t>
            </w:r>
          </w:p>
        </w:tc>
        <w:tc>
          <w:tcPr>
            <w:tcW w:w="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expense</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(6,511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7,691</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189</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(183</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1,186</w:t>
            </w:r>
          </w:p>
        </w:tc>
        <w:tc>
          <w:tcPr>
            <w:tcW w:w="8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(6,797</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(5,360</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pPr>
            <w:r>
              <w:rPr/>
              <w:t>—</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(12,157</w:t>
            </w:r>
          </w:p>
        </w:tc>
        <w:tc>
          <w:tcPr>
            <w:tcW w:w="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14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w:t>
            </w:r>
          </w:p>
        </w:tc>
        <w:tc>
          <w:tcPr>
            <w:tcW w:w="8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before income taxes</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59,981</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120,762</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(1,614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(46,658</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132,471</w:t>
            </w:r>
          </w:p>
        </w:tc>
        <w:tc>
          <w:tcPr>
            <w:tcW w:w="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03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46,108</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46,677</w:t>
            </w:r>
          </w:p>
        </w:tc>
        <w:tc>
          <w:tcPr>
            <w:tcW w:w="14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550</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(46,658</w:t>
            </w:r>
          </w:p>
        </w:tc>
        <w:tc>
          <w:tcPr>
            <w:tcW w:w="23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46,677</w:t>
            </w:r>
          </w:p>
        </w:tc>
        <w:tc>
          <w:tcPr>
            <w:tcW w:w="8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03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13,873</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74,085</w:t>
            </w:r>
          </w:p>
        </w:tc>
        <w:tc>
          <w:tcPr>
            <w:tcW w:w="14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2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(2,164</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1052" w:type="dxa"/>
            <w:gridSpan w:val="2"/>
            <w:tcBorders/>
            <w:shd w:fill="auto" w:val="clear"/>
            <w:vAlign w:val="center"/>
          </w:tcPr>
          <w:p>
            <w:pPr>
              <w:pStyle w:val="TableContents"/>
              <w:spacing w:before="0" w:after="0"/>
              <w:jc w:val="right"/>
              <w:rPr/>
            </w:pPr>
            <w:r>
              <w:rPr/>
              <w:t>—</w:t>
            </w:r>
          </w:p>
        </w:tc>
        <w:tc>
          <w:tcPr>
            <w:tcW w:w="23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13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85,794</w:t>
            </w:r>
          </w:p>
        </w:tc>
        <w:tc>
          <w:tcPr>
            <w:tcW w:w="8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redeemable noncontrolling interest</w:t>
            </w:r>
          </w:p>
        </w:tc>
        <w:tc>
          <w:tcPr>
            <w:tcW w:w="1030"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2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05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3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CCEEFF" w:val="clear"/>
            <w:vAlign w:val="center"/>
          </w:tcPr>
          <w:p>
            <w:pPr>
              <w:pStyle w:val="TableContents"/>
              <w:spacing w:before="0" w:after="0"/>
              <w:ind w:left="0" w:right="0" w:firstLine="30"/>
              <w:rPr/>
            </w:pPr>
            <w:r>
              <w:rPr/>
              <w:t> </w:t>
            </w:r>
          </w:p>
        </w:tc>
        <w:tc>
          <w:tcPr>
            <w:tcW w:w="113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8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26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87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13,873</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74,085</w:t>
            </w:r>
          </w:p>
        </w:tc>
        <w:tc>
          <w:tcPr>
            <w:tcW w:w="14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(2,164</w:t>
            </w:r>
          </w:p>
        </w:tc>
        <w:tc>
          <w:tcPr>
            <w:tcW w:w="155"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0" w:type="dxa"/>
            <w:tcBorders/>
            <w:shd w:fill="auto" w:val="clear"/>
            <w:vAlign w:val="center"/>
          </w:tcPr>
          <w:p>
            <w:pPr>
              <w:pStyle w:val="TableContents"/>
              <w:spacing w:before="0" w:after="0"/>
              <w:ind w:left="0" w:right="0" w:firstLine="30"/>
              <w:rPr/>
            </w:pPr>
            <w:r>
              <w:rPr/>
              <w:t> </w:t>
            </w:r>
          </w:p>
        </w:tc>
        <w:tc>
          <w:tcPr>
            <w:tcW w:w="26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788"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23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0" w:type="dxa"/>
            <w:tcBorders/>
            <w:shd w:fill="auto" w:val="clear"/>
            <w:vAlign w:val="center"/>
          </w:tcPr>
          <w:p>
            <w:pPr>
              <w:pStyle w:val="TableContents"/>
              <w:spacing w:before="0" w:after="0"/>
              <w:ind w:left="0" w:right="0" w:firstLine="30"/>
              <w:rPr/>
            </w:pPr>
            <w:r>
              <w:rPr/>
              <w:t> </w:t>
            </w:r>
          </w:p>
        </w:tc>
        <w:tc>
          <w:tcPr>
            <w:tcW w:w="154"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88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34</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Condensed Consolidating Statement of Comprehensive Income</w:t>
      </w:r>
    </w:p>
    <w:tbl>
      <w:tblPr>
        <w:tblW w:w="10205" w:type="dxa"/>
        <w:jc w:val="left"/>
        <w:tblInd w:w="0" w:type="dxa"/>
        <w:tblCellMar>
          <w:top w:w="0" w:type="dxa"/>
          <w:left w:w="0" w:type="dxa"/>
          <w:bottom w:w="0" w:type="dxa"/>
          <w:right w:w="0" w:type="dxa"/>
        </w:tblCellMar>
      </w:tblPr>
      <w:tblGrid>
        <w:gridCol w:w="3470"/>
        <w:gridCol w:w="165"/>
        <w:gridCol w:w="1039"/>
        <w:gridCol w:w="151"/>
        <w:gridCol w:w="132"/>
        <w:gridCol w:w="170"/>
        <w:gridCol w:w="1105"/>
        <w:gridCol w:w="156"/>
        <w:gridCol w:w="132"/>
        <w:gridCol w:w="188"/>
        <w:gridCol w:w="1141"/>
        <w:gridCol w:w="173"/>
        <w:gridCol w:w="132"/>
        <w:gridCol w:w="165"/>
        <w:gridCol w:w="1081"/>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70"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8" w:type="dxa"/>
            <w:tcBorders/>
            <w:shd w:fill="auto" w:val="clear"/>
            <w:vAlign w:val="center"/>
          </w:tcPr>
          <w:p>
            <w:pPr>
              <w:pStyle w:val="TableContents"/>
              <w:spacing w:before="0" w:after="283"/>
              <w:rPr>
                <w:sz w:val="4"/>
                <w:szCs w:val="4"/>
              </w:rPr>
            </w:pPr>
            <w:r>
              <w:rPr>
                <w:sz w:val="4"/>
                <w:szCs w:val="4"/>
              </w:rPr>
            </w:r>
          </w:p>
        </w:tc>
        <w:tc>
          <w:tcPr>
            <w:tcW w:w="114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70" w:type="dxa"/>
            <w:tcBorders/>
            <w:shd w:fill="auto" w:val="clear"/>
            <w:vAlign w:val="center"/>
          </w:tcPr>
          <w:p>
            <w:pPr>
              <w:pStyle w:val="TableContents"/>
              <w:spacing w:before="0" w:after="0"/>
              <w:ind w:left="0" w:right="0" w:firstLine="30"/>
              <w:jc w:val="left"/>
              <w:rPr/>
            </w:pPr>
            <w:r>
              <w:rPr/>
              <w:t> </w:t>
            </w:r>
          </w:p>
        </w:tc>
        <w:tc>
          <w:tcPr>
            <w:tcW w:w="673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r>
          </w:p>
        </w:tc>
      </w:tr>
      <w:tr>
        <w:trPr/>
        <w:tc>
          <w:tcPr>
            <w:tcW w:w="3470" w:type="dxa"/>
            <w:tcBorders/>
            <w:shd w:fill="auto" w:val="clear"/>
            <w:vAlign w:val="center"/>
          </w:tcPr>
          <w:p>
            <w:pPr>
              <w:pStyle w:val="TableContents"/>
              <w:spacing w:before="0" w:after="0"/>
              <w:ind w:left="0" w:right="0" w:firstLine="30"/>
              <w:jc w:val="left"/>
              <w:rPr/>
            </w:pPr>
            <w:r>
              <w:rPr/>
              <w:t> </w:t>
            </w:r>
          </w:p>
        </w:tc>
        <w:tc>
          <w:tcPr>
            <w:tcW w:w="6735"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2012</w:t>
            </w:r>
          </w:p>
        </w:tc>
      </w:tr>
      <w:tr>
        <w:trPr/>
        <w:tc>
          <w:tcPr>
            <w:tcW w:w="3470" w:type="dxa"/>
            <w:tcBorders/>
            <w:shd w:fill="auto" w:val="clear"/>
            <w:vAlign w:val="center"/>
          </w:tcPr>
          <w:p>
            <w:pPr>
              <w:pStyle w:val="TableContents"/>
              <w:spacing w:before="0" w:after="0"/>
              <w:ind w:left="0" w:right="0" w:firstLine="30"/>
              <w:jc w:val="left"/>
              <w:rPr/>
            </w:pPr>
            <w:r>
              <w:rPr/>
              <w:t> </w:t>
            </w:r>
          </w:p>
        </w:tc>
        <w:tc>
          <w:tcPr>
            <w:tcW w:w="135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32" w:type="dxa"/>
            <w:tcBorders/>
            <w:shd w:fill="auto" w:val="clear"/>
            <w:vAlign w:val="center"/>
          </w:tcPr>
          <w:p>
            <w:pPr>
              <w:pStyle w:val="TableContents"/>
              <w:spacing w:before="0" w:after="0"/>
              <w:ind w:left="0" w:right="0" w:firstLine="30"/>
              <w:rPr/>
            </w:pPr>
            <w:r>
              <w:rPr/>
              <w:t> </w:t>
            </w:r>
          </w:p>
        </w:tc>
        <w:tc>
          <w:tcPr>
            <w:tcW w:w="143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32" w:type="dxa"/>
            <w:tcBorders/>
            <w:shd w:fill="auto" w:val="clear"/>
            <w:vAlign w:val="center"/>
          </w:tcPr>
          <w:p>
            <w:pPr>
              <w:pStyle w:val="TableContents"/>
              <w:spacing w:before="0" w:after="0"/>
              <w:ind w:left="0" w:right="0" w:firstLine="30"/>
              <w:rPr/>
            </w:pPr>
            <w:r>
              <w:rPr/>
              <w:t> </w:t>
            </w:r>
          </w:p>
        </w:tc>
        <w:tc>
          <w:tcPr>
            <w:tcW w:w="150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32" w:type="dxa"/>
            <w:tcBorders/>
            <w:shd w:fill="auto" w:val="clear"/>
            <w:vAlign w:val="center"/>
          </w:tcPr>
          <w:p>
            <w:pPr>
              <w:pStyle w:val="TableContents"/>
              <w:spacing w:before="0" w:after="0"/>
              <w:ind w:left="0" w:right="0" w:firstLine="30"/>
              <w:rPr/>
            </w:pPr>
            <w:r>
              <w:rPr/>
              <w:t> </w:t>
            </w:r>
          </w:p>
        </w:tc>
        <w:tc>
          <w:tcPr>
            <w:tcW w:w="205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470" w:type="dxa"/>
            <w:tcBorders/>
            <w:shd w:fill="auto" w:val="clear"/>
            <w:vAlign w:val="center"/>
          </w:tcPr>
          <w:p>
            <w:pPr>
              <w:pStyle w:val="TableContents"/>
              <w:spacing w:before="0" w:after="0"/>
              <w:ind w:left="0" w:right="0" w:firstLine="30"/>
              <w:jc w:val="left"/>
              <w:rPr/>
            </w:pPr>
            <w:r>
              <w:rPr/>
              <w:t> </w:t>
            </w:r>
          </w:p>
        </w:tc>
        <w:tc>
          <w:tcPr>
            <w:tcW w:w="6735"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shd w:fill="CCEEFF" w:val="clear"/>
            <w:vAlign w:val="center"/>
          </w:tcPr>
          <w:p>
            <w:pPr>
              <w:pStyle w:val="TableContents"/>
              <w:spacing w:before="0" w:after="0"/>
              <w:jc w:val="right"/>
              <w:rPr>
                <w:rFonts w:ascii="inherit" w:hAnsi="inherit"/>
                <w:sz w:val="17"/>
              </w:rPr>
            </w:pPr>
            <w:r>
              <w:rPr>
                <w:rFonts w:ascii="inherit" w:hAnsi="inherit"/>
                <w:sz w:val="17"/>
              </w:rPr>
              <w:t>(9,568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shd w:fill="CCEEFF" w:val="clear"/>
            <w:vAlign w:val="center"/>
          </w:tcPr>
          <w:p>
            <w:pPr>
              <w:pStyle w:val="TableContents"/>
              <w:spacing w:before="0" w:after="0"/>
              <w:jc w:val="right"/>
              <w:rPr>
                <w:rFonts w:ascii="inherit" w:hAnsi="inherit"/>
                <w:sz w:val="17"/>
              </w:rPr>
            </w:pPr>
            <w:r>
              <w:rPr>
                <w:rFonts w:ascii="inherit" w:hAnsi="inherit"/>
                <w:sz w:val="17"/>
              </w:rPr>
              <w:t>37,293</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41" w:type="dxa"/>
            <w:tcBorders/>
            <w:shd w:fill="CCEEFF" w:val="clear"/>
            <w:vAlign w:val="center"/>
          </w:tcPr>
          <w:p>
            <w:pPr>
              <w:pStyle w:val="TableContents"/>
              <w:spacing w:before="0" w:after="0"/>
              <w:jc w:val="right"/>
              <w:rPr>
                <w:rFonts w:ascii="inherit" w:hAnsi="inherit"/>
                <w:sz w:val="17"/>
              </w:rPr>
            </w:pPr>
            <w:r>
              <w:rPr>
                <w:rFonts w:ascii="inherit" w:hAnsi="inherit"/>
                <w:sz w:val="17"/>
              </w:rPr>
              <w:t>1,986</w:t>
            </w:r>
          </w:p>
        </w:tc>
        <w:tc>
          <w:tcPr>
            <w:tcW w:w="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shd w:fill="CCEEFF" w:val="clear"/>
            <w:vAlign w:val="center"/>
          </w:tcPr>
          <w:p>
            <w:pPr>
              <w:pStyle w:val="TableContents"/>
              <w:spacing w:before="0" w:after="0"/>
              <w:jc w:val="right"/>
              <w:rPr>
                <w:rFonts w:ascii="inherit" w:hAnsi="inherit"/>
                <w:sz w:val="17"/>
              </w:rPr>
            </w:pPr>
            <w:r>
              <w:rPr>
                <w:rFonts w:ascii="inherit" w:hAnsi="inherit"/>
                <w:sz w:val="17"/>
              </w:rPr>
              <w:t>29,711</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355"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31"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051" w:type="dxa"/>
            <w:gridSpan w:val="3"/>
            <w:tcBorders/>
            <w:shd w:fill="auto" w:val="clear"/>
            <w:vAlign w:val="center"/>
          </w:tcPr>
          <w:p>
            <w:pPr>
              <w:pStyle w:val="TableContents"/>
              <w:spacing w:before="0" w:after="0"/>
              <w:ind w:left="0" w:right="0" w:firstLine="420"/>
              <w:rPr/>
            </w:pPr>
            <w:r>
              <w:rPr/>
              <w:t> </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20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1,578</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1,235</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(11,326</w:t>
            </w:r>
          </w:p>
        </w:tc>
        <w:tc>
          <w:tcPr>
            <w:tcW w:w="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2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(8,513</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loss arising during period</w:t>
            </w:r>
          </w:p>
        </w:tc>
        <w:tc>
          <w:tcPr>
            <w:tcW w:w="1204"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7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329" w:type="dxa"/>
            <w:gridSpan w:val="2"/>
            <w:tcBorders/>
            <w:shd w:fill="auto" w:val="clear"/>
            <w:vAlign w:val="center"/>
          </w:tcPr>
          <w:p>
            <w:pPr>
              <w:pStyle w:val="TableContents"/>
              <w:spacing w:before="0" w:after="0"/>
              <w:jc w:val="right"/>
              <w:rPr/>
            </w:pPr>
            <w:r>
              <w:rPr/>
              <w:t>—</w:t>
            </w:r>
          </w:p>
        </w:tc>
        <w:tc>
          <w:tcPr>
            <w:tcW w:w="17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 (provision)</w:t>
            </w:r>
          </w:p>
        </w:tc>
        <w:tc>
          <w:tcPr>
            <w:tcW w:w="120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(553</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(395</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2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3"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(948</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120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1,025</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732</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(11,326</w:t>
            </w:r>
          </w:p>
        </w:tc>
        <w:tc>
          <w:tcPr>
            <w:tcW w:w="17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2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(9,569</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(8,543</w:t>
            </w:r>
          </w:p>
        </w:tc>
        <w:tc>
          <w:tcPr>
            <w:tcW w:w="151"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7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38,025</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4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(9,340</w:t>
            </w:r>
          </w:p>
        </w:tc>
        <w:tc>
          <w:tcPr>
            <w:tcW w:w="173"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20,142</w:t>
            </w:r>
          </w:p>
        </w:tc>
        <w:tc>
          <w:tcPr>
            <w:tcW w:w="805"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355"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31"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50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051" w:type="dxa"/>
            <w:gridSpan w:val="3"/>
            <w:tcBorders/>
            <w:shd w:fill="auto" w:val="clear"/>
            <w:vAlign w:val="center"/>
          </w:tcPr>
          <w:p>
            <w:pPr>
              <w:pStyle w:val="TableContents"/>
              <w:spacing w:before="0" w:after="0"/>
              <w:ind w:left="0" w:right="0" w:firstLine="780"/>
              <w:rPr/>
            </w:pPr>
            <w:r>
              <w:rPr/>
              <w:t> </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04"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75"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1,188</w:t>
            </w:r>
          </w:p>
        </w:tc>
        <w:tc>
          <w:tcPr>
            <w:tcW w:w="17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1,188</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20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(2,789</w:t>
            </w:r>
          </w:p>
        </w:tc>
        <w:tc>
          <w:tcPr>
            <w:tcW w:w="17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24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(2,789</w:t>
            </w:r>
          </w:p>
        </w:tc>
        <w:tc>
          <w:tcPr>
            <w:tcW w:w="805"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20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7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(1,601</w:t>
            </w:r>
          </w:p>
        </w:tc>
        <w:tc>
          <w:tcPr>
            <w:tcW w:w="17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24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(1,601</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 attributable to EZCORP, Inc.</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3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(8,543</w:t>
            </w:r>
          </w:p>
        </w:tc>
        <w:tc>
          <w:tcPr>
            <w:tcW w:w="151"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38,025</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8"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4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(7,739</w:t>
            </w:r>
          </w:p>
        </w:tc>
        <w:tc>
          <w:tcPr>
            <w:tcW w:w="173"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21,743</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496"/>
        <w:gridCol w:w="166"/>
        <w:gridCol w:w="989"/>
        <w:gridCol w:w="151"/>
        <w:gridCol w:w="133"/>
        <w:gridCol w:w="170"/>
        <w:gridCol w:w="1111"/>
        <w:gridCol w:w="156"/>
        <w:gridCol w:w="133"/>
        <w:gridCol w:w="222"/>
        <w:gridCol w:w="1084"/>
        <w:gridCol w:w="202"/>
        <w:gridCol w:w="133"/>
        <w:gridCol w:w="166"/>
        <w:gridCol w:w="1088"/>
        <w:gridCol w:w="805"/>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96"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111"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88" w:type="dxa"/>
            <w:tcBorders/>
            <w:shd w:fill="auto" w:val="clear"/>
            <w:vAlign w:val="center"/>
          </w:tcPr>
          <w:p>
            <w:pPr>
              <w:pStyle w:val="TableContents"/>
              <w:spacing w:before="0" w:after="283"/>
              <w:rPr>
                <w:sz w:val="4"/>
                <w:szCs w:val="4"/>
              </w:rPr>
            </w:pPr>
            <w:r>
              <w:rPr>
                <w:sz w:val="4"/>
                <w:szCs w:val="4"/>
              </w:rPr>
            </w:r>
          </w:p>
        </w:tc>
        <w:tc>
          <w:tcPr>
            <w:tcW w:w="8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96" w:type="dxa"/>
            <w:tcBorders/>
            <w:shd w:fill="auto" w:val="clear"/>
            <w:vAlign w:val="center"/>
          </w:tcPr>
          <w:p>
            <w:pPr>
              <w:pStyle w:val="TableContents"/>
              <w:spacing w:before="0" w:after="0"/>
              <w:ind w:left="0" w:right="0" w:firstLine="30"/>
              <w:jc w:val="left"/>
              <w:rPr/>
            </w:pPr>
            <w:r>
              <w:rPr/>
              <w:t> </w:t>
            </w:r>
          </w:p>
        </w:tc>
        <w:tc>
          <w:tcPr>
            <w:tcW w:w="670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Three Months Ended</w:t>
            </w:r>
          </w:p>
        </w:tc>
      </w:tr>
      <w:tr>
        <w:trPr/>
        <w:tc>
          <w:tcPr>
            <w:tcW w:w="3496" w:type="dxa"/>
            <w:tcBorders/>
            <w:shd w:fill="auto" w:val="clear"/>
            <w:vAlign w:val="center"/>
          </w:tcPr>
          <w:p>
            <w:pPr>
              <w:pStyle w:val="TableContents"/>
              <w:spacing w:before="0" w:after="0"/>
              <w:ind w:left="0" w:right="0" w:firstLine="30"/>
              <w:jc w:val="left"/>
              <w:rPr/>
            </w:pPr>
            <w:r>
              <w:rPr/>
              <w:t> </w:t>
            </w:r>
          </w:p>
        </w:tc>
        <w:tc>
          <w:tcPr>
            <w:tcW w:w="6709"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2011</w:t>
            </w:r>
          </w:p>
        </w:tc>
      </w:tr>
      <w:tr>
        <w:trPr/>
        <w:tc>
          <w:tcPr>
            <w:tcW w:w="3496" w:type="dxa"/>
            <w:tcBorders/>
            <w:shd w:fill="auto" w:val="clear"/>
            <w:vAlign w:val="center"/>
          </w:tcPr>
          <w:p>
            <w:pPr>
              <w:pStyle w:val="TableContents"/>
              <w:spacing w:before="0" w:after="0"/>
              <w:ind w:left="0" w:right="0" w:firstLine="30"/>
              <w:jc w:val="left"/>
              <w:rPr/>
            </w:pPr>
            <w:r>
              <w:rPr/>
              <w:t> </w:t>
            </w:r>
          </w:p>
        </w:tc>
        <w:tc>
          <w:tcPr>
            <w:tcW w:w="130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33" w:type="dxa"/>
            <w:tcBorders/>
            <w:shd w:fill="auto" w:val="clear"/>
            <w:vAlign w:val="center"/>
          </w:tcPr>
          <w:p>
            <w:pPr>
              <w:pStyle w:val="TableContents"/>
              <w:spacing w:before="0" w:after="0"/>
              <w:ind w:left="0" w:right="0" w:firstLine="30"/>
              <w:rPr/>
            </w:pPr>
            <w:r>
              <w:rPr/>
              <w:t> </w:t>
            </w:r>
          </w:p>
        </w:tc>
        <w:tc>
          <w:tcPr>
            <w:tcW w:w="143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33" w:type="dxa"/>
            <w:tcBorders/>
            <w:shd w:fill="auto" w:val="clear"/>
            <w:vAlign w:val="center"/>
          </w:tcPr>
          <w:p>
            <w:pPr>
              <w:pStyle w:val="TableContents"/>
              <w:spacing w:before="0" w:after="0"/>
              <w:ind w:left="0" w:right="0" w:firstLine="30"/>
              <w:rPr/>
            </w:pPr>
            <w:r>
              <w:rPr/>
              <w:t> </w:t>
            </w:r>
          </w:p>
        </w:tc>
        <w:tc>
          <w:tcPr>
            <w:tcW w:w="1508"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33" w:type="dxa"/>
            <w:tcBorders/>
            <w:shd w:fill="auto" w:val="clear"/>
            <w:vAlign w:val="center"/>
          </w:tcPr>
          <w:p>
            <w:pPr>
              <w:pStyle w:val="TableContents"/>
              <w:spacing w:before="0" w:after="0"/>
              <w:ind w:left="0" w:right="0" w:firstLine="30"/>
              <w:rPr/>
            </w:pPr>
            <w:r>
              <w:rPr/>
              <w:t> </w:t>
            </w:r>
          </w:p>
        </w:tc>
        <w:tc>
          <w:tcPr>
            <w:tcW w:w="205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496" w:type="dxa"/>
            <w:tcBorders/>
            <w:shd w:fill="auto" w:val="clear"/>
            <w:vAlign w:val="center"/>
          </w:tcPr>
          <w:p>
            <w:pPr>
              <w:pStyle w:val="TableContents"/>
              <w:spacing w:before="0" w:after="0"/>
              <w:ind w:left="0" w:right="0" w:firstLine="30"/>
              <w:jc w:val="left"/>
              <w:rPr/>
            </w:pPr>
            <w:r>
              <w:rPr/>
              <w:t> </w:t>
            </w:r>
          </w:p>
        </w:tc>
        <w:tc>
          <w:tcPr>
            <w:tcW w:w="6709"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shd w:fill="CCEEFF" w:val="clear"/>
            <w:vAlign w:val="center"/>
          </w:tcPr>
          <w:p>
            <w:pPr>
              <w:pStyle w:val="TableContents"/>
              <w:spacing w:before="0" w:after="0"/>
              <w:jc w:val="right"/>
              <w:rPr>
                <w:rFonts w:ascii="inherit" w:hAnsi="inherit"/>
                <w:sz w:val="17"/>
              </w:rPr>
            </w:pPr>
            <w:r>
              <w:rPr>
                <w:rFonts w:ascii="inherit" w:hAnsi="inherit"/>
                <w:sz w:val="17"/>
              </w:rPr>
              <w:t>4,709</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7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shd w:fill="CCEEFF" w:val="clear"/>
            <w:vAlign w:val="center"/>
          </w:tcPr>
          <w:p>
            <w:pPr>
              <w:pStyle w:val="TableContents"/>
              <w:spacing w:before="0" w:after="0"/>
              <w:jc w:val="right"/>
              <w:rPr>
                <w:rFonts w:ascii="inherit" w:hAnsi="inherit"/>
                <w:sz w:val="17"/>
              </w:rPr>
            </w:pPr>
            <w:r>
              <w:rPr>
                <w:rFonts w:ascii="inherit" w:hAnsi="inherit"/>
                <w:sz w:val="17"/>
              </w:rPr>
              <w:t>22,159</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22"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shd w:fill="CCEEFF" w:val="clear"/>
            <w:vAlign w:val="center"/>
          </w:tcPr>
          <w:p>
            <w:pPr>
              <w:pStyle w:val="TableContents"/>
              <w:spacing w:before="0" w:after="0"/>
              <w:jc w:val="right"/>
              <w:rPr>
                <w:rFonts w:ascii="inherit" w:hAnsi="inherit"/>
                <w:sz w:val="17"/>
              </w:rPr>
            </w:pPr>
            <w:r>
              <w:rPr>
                <w:rFonts w:ascii="inherit" w:hAnsi="inherit"/>
                <w:sz w:val="17"/>
              </w:rPr>
              <w:t>(341</w:t>
            </w:r>
          </w:p>
        </w:tc>
        <w:tc>
          <w:tcPr>
            <w:tcW w:w="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66"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8" w:type="dxa"/>
            <w:tcBorders/>
            <w:shd w:fill="CCEEFF" w:val="clear"/>
            <w:vAlign w:val="center"/>
          </w:tcPr>
          <w:p>
            <w:pPr>
              <w:pStyle w:val="TableContents"/>
              <w:spacing w:before="0" w:after="0"/>
              <w:jc w:val="right"/>
              <w:rPr>
                <w:rFonts w:ascii="inherit" w:hAnsi="inherit"/>
                <w:sz w:val="17"/>
              </w:rPr>
            </w:pPr>
            <w:r>
              <w:rPr>
                <w:rFonts w:ascii="inherit" w:hAnsi="inherit"/>
                <w:sz w:val="17"/>
              </w:rPr>
              <w:t>26,527</w:t>
            </w:r>
          </w:p>
        </w:tc>
        <w:tc>
          <w:tcPr>
            <w:tcW w:w="8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30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37"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2059" w:type="dxa"/>
            <w:gridSpan w:val="3"/>
            <w:tcBorders/>
            <w:shd w:fill="auto" w:val="clear"/>
            <w:vAlign w:val="center"/>
          </w:tcPr>
          <w:p>
            <w:pPr>
              <w:pStyle w:val="TableContents"/>
              <w:spacing w:before="0" w:after="0"/>
              <w:ind w:left="0" w:right="0" w:firstLine="420"/>
              <w:rPr/>
            </w:pPr>
            <w:r>
              <w:rPr/>
              <w:t> </w:t>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15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1,045</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81"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1,063</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0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337</w:t>
            </w:r>
          </w:p>
        </w:tc>
        <w:tc>
          <w:tcPr>
            <w:tcW w:w="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2,445</w:t>
            </w:r>
          </w:p>
        </w:tc>
        <w:tc>
          <w:tcPr>
            <w:tcW w:w="80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loss arising during period</w:t>
            </w:r>
          </w:p>
        </w:tc>
        <w:tc>
          <w:tcPr>
            <w:tcW w:w="1155" w:type="dxa"/>
            <w:gridSpan w:val="2"/>
            <w:tcBorders/>
            <w:shd w:fill="auto" w:val="clear"/>
            <w:vAlign w:val="center"/>
          </w:tcPr>
          <w:p>
            <w:pPr>
              <w:pStyle w:val="TableContents"/>
              <w:spacing w:before="0" w:after="0"/>
              <w:jc w:val="right"/>
              <w:rPr/>
            </w:pPr>
            <w:r>
              <w:rPr/>
              <w:t>—</w:t>
            </w:r>
          </w:p>
        </w:tc>
        <w:tc>
          <w:tcPr>
            <w:tcW w:w="1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81"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748</w:t>
            </w:r>
          </w:p>
        </w:tc>
        <w:tc>
          <w:tcPr>
            <w:tcW w:w="15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06" w:type="dxa"/>
            <w:gridSpan w:val="2"/>
            <w:tcBorders/>
            <w:shd w:fill="auto" w:val="clear"/>
            <w:vAlign w:val="center"/>
          </w:tcPr>
          <w:p>
            <w:pPr>
              <w:pStyle w:val="TableContents"/>
              <w:spacing w:before="0" w:after="0"/>
              <w:jc w:val="right"/>
              <w:rPr/>
            </w:pPr>
            <w:r>
              <w:rPr/>
              <w:t>—</w:t>
            </w:r>
          </w:p>
        </w:tc>
        <w:tc>
          <w:tcPr>
            <w:tcW w:w="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5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748</w:t>
            </w:r>
          </w:p>
        </w:tc>
        <w:tc>
          <w:tcPr>
            <w:tcW w:w="805"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115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(366</w:t>
            </w:r>
          </w:p>
        </w:tc>
        <w:tc>
          <w:tcPr>
            <w:tcW w:w="151"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(634</w:t>
            </w:r>
          </w:p>
        </w:tc>
        <w:tc>
          <w:tcPr>
            <w:tcW w:w="156"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30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5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(1,000</w:t>
            </w:r>
          </w:p>
        </w:tc>
        <w:tc>
          <w:tcPr>
            <w:tcW w:w="80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115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679</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1,177</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0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337</w:t>
            </w:r>
          </w:p>
        </w:tc>
        <w:tc>
          <w:tcPr>
            <w:tcW w:w="2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5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2,193</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5,388</w:t>
            </w:r>
          </w:p>
        </w:tc>
        <w:tc>
          <w:tcPr>
            <w:tcW w:w="15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7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23,336</w:t>
            </w:r>
          </w:p>
        </w:tc>
        <w:tc>
          <w:tcPr>
            <w:tcW w:w="15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222"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202"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CCEEFF" w:val="clear"/>
            <w:vAlign w:val="center"/>
          </w:tcPr>
          <w:p>
            <w:pPr>
              <w:pStyle w:val="TableContents"/>
              <w:spacing w:before="0" w:after="0"/>
              <w:ind w:left="0" w:right="0" w:firstLine="30"/>
              <w:rPr/>
            </w:pPr>
            <w:r>
              <w:rPr/>
              <w:t> </w:t>
            </w:r>
          </w:p>
        </w:tc>
        <w:tc>
          <w:tcPr>
            <w:tcW w:w="166"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28,720</w:t>
            </w:r>
          </w:p>
        </w:tc>
        <w:tc>
          <w:tcPr>
            <w:tcW w:w="805"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306"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437"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1508" w:type="dxa"/>
            <w:gridSpan w:val="3"/>
            <w:tcBorders/>
            <w:shd w:fill="auto" w:val="clear"/>
            <w:vAlign w:val="center"/>
          </w:tcPr>
          <w:p>
            <w:pPr>
              <w:pStyle w:val="TableContents"/>
              <w:spacing w:before="0" w:after="0"/>
              <w:ind w:left="0" w:right="0" w:firstLine="30"/>
              <w:rPr/>
            </w:pPr>
            <w:r>
              <w:rPr/>
              <w:t> </w:t>
            </w:r>
          </w:p>
        </w:tc>
        <w:tc>
          <w:tcPr>
            <w:tcW w:w="133" w:type="dxa"/>
            <w:tcBorders/>
            <w:shd w:fill="auto" w:val="clear"/>
            <w:vAlign w:val="center"/>
          </w:tcPr>
          <w:p>
            <w:pPr>
              <w:pStyle w:val="TableContents"/>
              <w:spacing w:before="0" w:after="0"/>
              <w:ind w:left="0" w:right="0" w:firstLine="30"/>
              <w:rPr/>
            </w:pPr>
            <w:r>
              <w:rPr/>
              <w:t> </w:t>
            </w:r>
          </w:p>
        </w:tc>
        <w:tc>
          <w:tcPr>
            <w:tcW w:w="2059" w:type="dxa"/>
            <w:gridSpan w:val="3"/>
            <w:tcBorders/>
            <w:shd w:fill="auto" w:val="clear"/>
            <w:vAlign w:val="center"/>
          </w:tcPr>
          <w:p>
            <w:pPr>
              <w:pStyle w:val="TableContents"/>
              <w:spacing w:before="0" w:after="0"/>
              <w:ind w:left="0" w:right="0" w:firstLine="780"/>
              <w:rPr/>
            </w:pPr>
            <w:r>
              <w:rPr/>
              <w:t> </w:t>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155" w:type="dxa"/>
            <w:gridSpan w:val="2"/>
            <w:tcBorders/>
            <w:shd w:fill="CCEEFF" w:val="clear"/>
            <w:vAlign w:val="center"/>
          </w:tcPr>
          <w:p>
            <w:pPr>
              <w:pStyle w:val="TableContents"/>
              <w:spacing w:before="0" w:after="0"/>
              <w:jc w:val="right"/>
              <w:rPr/>
            </w:pPr>
            <w:r>
              <w:rPr/>
              <w:t>—</w:t>
            </w:r>
          </w:p>
        </w:tc>
        <w:tc>
          <w:tcPr>
            <w:tcW w:w="1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81" w:type="dxa"/>
            <w:gridSpan w:val="2"/>
            <w:tcBorders/>
            <w:shd w:fill="CCEEFF" w:val="clear"/>
            <w:vAlign w:val="center"/>
          </w:tcPr>
          <w:p>
            <w:pPr>
              <w:pStyle w:val="TableContents"/>
              <w:spacing w:before="0" w:after="0"/>
              <w:jc w:val="right"/>
              <w:rPr/>
            </w:pPr>
            <w:r>
              <w:rPr/>
              <w:t>—</w:t>
            </w:r>
          </w:p>
        </w:tc>
        <w:tc>
          <w:tcPr>
            <w:tcW w:w="15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06" w:type="dxa"/>
            <w:gridSpan w:val="2"/>
            <w:tcBorders/>
            <w:shd w:fill="CCEEFF" w:val="clear"/>
            <w:vAlign w:val="center"/>
          </w:tcPr>
          <w:p>
            <w:pPr>
              <w:pStyle w:val="TableContents"/>
              <w:spacing w:before="0" w:after="0"/>
              <w:jc w:val="right"/>
              <w:rPr/>
            </w:pPr>
            <w:r>
              <w:rPr/>
              <w:t>—</w:t>
            </w:r>
          </w:p>
        </w:tc>
        <w:tc>
          <w:tcPr>
            <w:tcW w:w="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54" w:type="dxa"/>
            <w:gridSpan w:val="2"/>
            <w:tcBorders/>
            <w:shd w:fill="CCEEFF" w:val="clear"/>
            <w:vAlign w:val="center"/>
          </w:tcPr>
          <w:p>
            <w:pPr>
              <w:pStyle w:val="TableContents"/>
              <w:spacing w:before="0" w:after="0"/>
              <w:jc w:val="right"/>
              <w:rPr/>
            </w:pPr>
            <w:r>
              <w:rPr/>
              <w:t>—</w:t>
            </w:r>
          </w:p>
        </w:tc>
        <w:tc>
          <w:tcPr>
            <w:tcW w:w="805"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gain (loss)</w:t>
            </w:r>
          </w:p>
        </w:tc>
        <w:tc>
          <w:tcPr>
            <w:tcW w:w="1155"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30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2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25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9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155"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1"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30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2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CCEEFF" w:val="clear"/>
            <w:vAlign w:val="center"/>
          </w:tcPr>
          <w:p>
            <w:pPr>
              <w:pStyle w:val="TableContents"/>
              <w:spacing w:before="0" w:after="0"/>
              <w:ind w:left="0" w:right="0" w:firstLine="30"/>
              <w:rPr/>
            </w:pPr>
            <w:r>
              <w:rPr/>
              <w:t> </w:t>
            </w:r>
          </w:p>
        </w:tc>
        <w:tc>
          <w:tcPr>
            <w:tcW w:w="125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9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 attributable to EZCORP, Inc.</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5,388</w:t>
            </w:r>
          </w:p>
        </w:tc>
        <w:tc>
          <w:tcPr>
            <w:tcW w:w="151"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17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23,336</w:t>
            </w:r>
          </w:p>
        </w:tc>
        <w:tc>
          <w:tcPr>
            <w:tcW w:w="15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3" w:type="dxa"/>
            <w:tcBorders/>
            <w:shd w:fill="auto" w:val="clear"/>
            <w:vAlign w:val="center"/>
          </w:tcPr>
          <w:p>
            <w:pPr>
              <w:pStyle w:val="TableContents"/>
              <w:spacing w:before="0" w:after="0"/>
              <w:ind w:left="0" w:right="0" w:firstLine="30"/>
              <w:rPr/>
            </w:pPr>
            <w:r>
              <w:rPr/>
              <w:t> </w:t>
            </w:r>
          </w:p>
        </w:tc>
        <w:tc>
          <w:tcPr>
            <w:tcW w:w="222"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202"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3" w:type="dxa"/>
            <w:tcBorders/>
            <w:shd w:fill="auto" w:val="clear"/>
            <w:vAlign w:val="center"/>
          </w:tcPr>
          <w:p>
            <w:pPr>
              <w:pStyle w:val="TableContents"/>
              <w:spacing w:before="0" w:after="0"/>
              <w:ind w:left="0" w:right="0" w:firstLine="30"/>
              <w:rPr/>
            </w:pPr>
            <w:r>
              <w:rPr/>
              <w:t> </w:t>
            </w:r>
          </w:p>
        </w:tc>
        <w:tc>
          <w:tcPr>
            <w:tcW w:w="166"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8"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28,720</w:t>
            </w:r>
          </w:p>
        </w:tc>
        <w:tc>
          <w:tcPr>
            <w:tcW w:w="805"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3351"/>
        <w:gridCol w:w="163"/>
        <w:gridCol w:w="1109"/>
        <w:gridCol w:w="148"/>
        <w:gridCol w:w="129"/>
        <w:gridCol w:w="163"/>
        <w:gridCol w:w="1151"/>
        <w:gridCol w:w="148"/>
        <w:gridCol w:w="129"/>
        <w:gridCol w:w="185"/>
        <w:gridCol w:w="1112"/>
        <w:gridCol w:w="170"/>
        <w:gridCol w:w="129"/>
        <w:gridCol w:w="163"/>
        <w:gridCol w:w="1151"/>
        <w:gridCol w:w="804"/>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51"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09"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85" w:type="dxa"/>
            <w:tcBorders/>
            <w:shd w:fill="auto" w:val="clear"/>
            <w:vAlign w:val="center"/>
          </w:tcPr>
          <w:p>
            <w:pPr>
              <w:pStyle w:val="TableContents"/>
              <w:spacing w:before="0" w:after="283"/>
              <w:rPr>
                <w:sz w:val="4"/>
                <w:szCs w:val="4"/>
              </w:rPr>
            </w:pPr>
            <w:r>
              <w:rPr>
                <w:sz w:val="4"/>
                <w:szCs w:val="4"/>
              </w:rPr>
            </w:r>
          </w:p>
        </w:tc>
        <w:tc>
          <w:tcPr>
            <w:tcW w:w="1112"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51" w:type="dxa"/>
            <w:tcBorders/>
            <w:shd w:fill="auto" w:val="clear"/>
            <w:vAlign w:val="center"/>
          </w:tcPr>
          <w:p>
            <w:pPr>
              <w:pStyle w:val="TableContents"/>
              <w:spacing w:before="0" w:after="0"/>
              <w:ind w:left="0" w:right="0" w:firstLine="30"/>
              <w:jc w:val="left"/>
              <w:rPr/>
            </w:pPr>
            <w:r>
              <w:rPr/>
              <w:t> </w:t>
            </w:r>
          </w:p>
        </w:tc>
        <w:tc>
          <w:tcPr>
            <w:tcW w:w="685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w:t>
            </w:r>
          </w:p>
        </w:tc>
      </w:tr>
      <w:tr>
        <w:trPr/>
        <w:tc>
          <w:tcPr>
            <w:tcW w:w="3351" w:type="dxa"/>
            <w:tcBorders/>
            <w:shd w:fill="auto" w:val="clear"/>
            <w:vAlign w:val="center"/>
          </w:tcPr>
          <w:p>
            <w:pPr>
              <w:pStyle w:val="TableContents"/>
              <w:spacing w:before="0" w:after="0"/>
              <w:ind w:left="0" w:right="0" w:firstLine="30"/>
              <w:jc w:val="left"/>
              <w:rPr/>
            </w:pPr>
            <w:r>
              <w:rPr/>
              <w:t> </w:t>
            </w:r>
          </w:p>
        </w:tc>
        <w:tc>
          <w:tcPr>
            <w:tcW w:w="6854"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2012</w:t>
            </w:r>
          </w:p>
        </w:tc>
      </w:tr>
      <w:tr>
        <w:trPr/>
        <w:tc>
          <w:tcPr>
            <w:tcW w:w="3351" w:type="dxa"/>
            <w:tcBorders/>
            <w:shd w:fill="auto" w:val="clear"/>
            <w:vAlign w:val="center"/>
          </w:tcPr>
          <w:p>
            <w:pPr>
              <w:pStyle w:val="TableContents"/>
              <w:spacing w:before="0" w:after="0"/>
              <w:ind w:left="0" w:right="0" w:firstLine="30"/>
              <w:jc w:val="left"/>
              <w:rPr/>
            </w:pPr>
            <w:r>
              <w:rPr/>
              <w:t> </w:t>
            </w:r>
          </w:p>
        </w:tc>
        <w:tc>
          <w:tcPr>
            <w:tcW w:w="142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9" w:type="dxa"/>
            <w:tcBorders/>
            <w:shd w:fill="auto" w:val="clear"/>
            <w:vAlign w:val="center"/>
          </w:tcPr>
          <w:p>
            <w:pPr>
              <w:pStyle w:val="TableContents"/>
              <w:spacing w:before="0" w:after="0"/>
              <w:ind w:left="0" w:right="0" w:firstLine="30"/>
              <w:rPr/>
            </w:pPr>
            <w:r>
              <w:rPr/>
              <w:t> </w:t>
            </w:r>
          </w:p>
        </w:tc>
        <w:tc>
          <w:tcPr>
            <w:tcW w:w="1462"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9" w:type="dxa"/>
            <w:tcBorders/>
            <w:shd w:fill="auto" w:val="clear"/>
            <w:vAlign w:val="center"/>
          </w:tcPr>
          <w:p>
            <w:pPr>
              <w:pStyle w:val="TableContents"/>
              <w:spacing w:before="0" w:after="0"/>
              <w:ind w:left="0" w:right="0" w:firstLine="30"/>
              <w:rPr/>
            </w:pPr>
            <w:r>
              <w:rPr/>
              <w:t> </w:t>
            </w:r>
          </w:p>
        </w:tc>
        <w:tc>
          <w:tcPr>
            <w:tcW w:w="146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9" w:type="dxa"/>
            <w:tcBorders/>
            <w:shd w:fill="auto" w:val="clear"/>
            <w:vAlign w:val="center"/>
          </w:tcPr>
          <w:p>
            <w:pPr>
              <w:pStyle w:val="TableContents"/>
              <w:spacing w:before="0" w:after="0"/>
              <w:ind w:left="0" w:right="0" w:firstLine="30"/>
              <w:rPr/>
            </w:pPr>
            <w:r>
              <w:rPr/>
              <w:t> </w:t>
            </w:r>
          </w:p>
        </w:tc>
        <w:tc>
          <w:tcPr>
            <w:tcW w:w="21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351" w:type="dxa"/>
            <w:tcBorders/>
            <w:shd w:fill="auto" w:val="clear"/>
            <w:vAlign w:val="center"/>
          </w:tcPr>
          <w:p>
            <w:pPr>
              <w:pStyle w:val="TableContents"/>
              <w:spacing w:before="0" w:after="0"/>
              <w:ind w:left="0" w:right="0" w:firstLine="30"/>
              <w:jc w:val="left"/>
              <w:rPr/>
            </w:pPr>
            <w:r>
              <w:rPr/>
              <w:t> </w:t>
            </w:r>
          </w:p>
        </w:tc>
        <w:tc>
          <w:tcPr>
            <w:tcW w:w="6854"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9" w:type="dxa"/>
            <w:tcBorders/>
            <w:shd w:fill="CCEEFF" w:val="clear"/>
            <w:vAlign w:val="center"/>
          </w:tcPr>
          <w:p>
            <w:pPr>
              <w:pStyle w:val="TableContents"/>
              <w:spacing w:before="0" w:after="0"/>
              <w:jc w:val="right"/>
              <w:rPr>
                <w:rFonts w:ascii="inherit" w:hAnsi="inherit"/>
                <w:sz w:val="17"/>
              </w:rPr>
            </w:pPr>
            <w:r>
              <w:rPr>
                <w:rFonts w:ascii="inherit" w:hAnsi="inherit"/>
                <w:sz w:val="17"/>
              </w:rPr>
              <w:t>(20,406</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125,811</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8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shd w:fill="CCEEFF" w:val="clear"/>
            <w:vAlign w:val="center"/>
          </w:tcPr>
          <w:p>
            <w:pPr>
              <w:pStyle w:val="TableContents"/>
              <w:spacing w:before="0" w:after="0"/>
              <w:jc w:val="right"/>
              <w:rPr>
                <w:rFonts w:ascii="inherit" w:hAnsi="inherit"/>
                <w:sz w:val="17"/>
              </w:rPr>
            </w:pPr>
            <w:r>
              <w:rPr>
                <w:rFonts w:ascii="inherit" w:hAnsi="inherit"/>
                <w:sz w:val="17"/>
              </w:rPr>
              <w:t>1,031</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6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shd w:fill="CCEEFF" w:val="clear"/>
            <w:vAlign w:val="center"/>
          </w:tcPr>
          <w:p>
            <w:pPr>
              <w:pStyle w:val="TableContents"/>
              <w:spacing w:before="0" w:after="0"/>
              <w:jc w:val="right"/>
              <w:rPr>
                <w:rFonts w:ascii="inherit" w:hAnsi="inherit"/>
                <w:sz w:val="17"/>
              </w:rPr>
            </w:pPr>
            <w:r>
              <w:rPr>
                <w:rFonts w:ascii="inherit" w:hAnsi="inherit"/>
                <w:sz w:val="17"/>
              </w:rPr>
              <w:t>106,436</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420"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467"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2118" w:type="dxa"/>
            <w:gridSpan w:val="3"/>
            <w:tcBorders/>
            <w:shd w:fill="auto" w:val="clear"/>
            <w:vAlign w:val="center"/>
          </w:tcPr>
          <w:p>
            <w:pPr>
              <w:pStyle w:val="TableContents"/>
              <w:spacing w:before="0" w:after="0"/>
              <w:ind w:left="0" w:right="0" w:firstLine="420"/>
              <w:rPr/>
            </w:pPr>
            <w:r>
              <w:rPr/>
              <w:t> </w:t>
            </w:r>
          </w:p>
        </w:tc>
      </w:tr>
      <w:tr>
        <w:trPr/>
        <w:tc>
          <w:tcPr>
            <w:tcW w:w="33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27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(3,551</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(102</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(7,234</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(10,887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loss arising during period</w:t>
            </w:r>
          </w:p>
        </w:tc>
        <w:tc>
          <w:tcPr>
            <w:tcW w:w="1272" w:type="dxa"/>
            <w:gridSpan w:val="2"/>
            <w:tcBorders/>
            <w:shd w:fill="auto" w:val="clear"/>
            <w:vAlign w:val="center"/>
          </w:tcPr>
          <w:p>
            <w:pPr>
              <w:pStyle w:val="TableContents"/>
              <w:spacing w:before="0" w:after="0"/>
              <w:jc w:val="right"/>
              <w:rPr/>
            </w:pPr>
            <w:r>
              <w:rPr/>
              <w:t>—</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(846</w:t>
            </w:r>
          </w:p>
        </w:tc>
        <w:tc>
          <w:tcPr>
            <w:tcW w:w="1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97" w:type="dxa"/>
            <w:gridSpan w:val="2"/>
            <w:tcBorders/>
            <w:shd w:fill="auto" w:val="clear"/>
            <w:vAlign w:val="center"/>
          </w:tcPr>
          <w:p>
            <w:pPr>
              <w:pStyle w:val="TableContents"/>
              <w:spacing w:before="0" w:after="0"/>
              <w:jc w:val="right"/>
              <w:rPr/>
            </w:pPr>
            <w:r>
              <w:rPr/>
              <w:t>—</w:t>
            </w:r>
          </w:p>
        </w:tc>
        <w:tc>
          <w:tcPr>
            <w:tcW w:w="1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31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(846</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3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benefit</w:t>
            </w:r>
          </w:p>
        </w:tc>
        <w:tc>
          <w:tcPr>
            <w:tcW w:w="127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1,242</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321</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1,563</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 net of tax</w:t>
            </w:r>
          </w:p>
        </w:tc>
        <w:tc>
          <w:tcPr>
            <w:tcW w:w="127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(2,309</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(627</w:t>
            </w:r>
          </w:p>
        </w:tc>
        <w:tc>
          <w:tcPr>
            <w:tcW w:w="1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(7,234</w:t>
            </w:r>
          </w:p>
        </w:tc>
        <w:tc>
          <w:tcPr>
            <w:tcW w:w="1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(10,170</w:t>
            </w:r>
          </w:p>
        </w:tc>
        <w:tc>
          <w:tcPr>
            <w:tcW w:w="80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9"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(22,715</w:t>
            </w:r>
          </w:p>
        </w:tc>
        <w:tc>
          <w:tcPr>
            <w:tcW w:w="148"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125,184</w:t>
            </w:r>
          </w:p>
        </w:tc>
        <w:tc>
          <w:tcPr>
            <w:tcW w:w="1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8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(6,203</w:t>
            </w:r>
          </w:p>
        </w:tc>
        <w:tc>
          <w:tcPr>
            <w:tcW w:w="170" w:type="dxa"/>
            <w:tcBorders>
              <w:bottom w:val="double" w:sz="6"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6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96,266</w:t>
            </w:r>
          </w:p>
        </w:tc>
        <w:tc>
          <w:tcPr>
            <w:tcW w:w="804"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420"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462"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1467" w:type="dxa"/>
            <w:gridSpan w:val="3"/>
            <w:tcBorders/>
            <w:shd w:fill="auto" w:val="clear"/>
            <w:vAlign w:val="center"/>
          </w:tcPr>
          <w:p>
            <w:pPr>
              <w:pStyle w:val="TableContents"/>
              <w:spacing w:before="0" w:after="0"/>
              <w:ind w:left="0" w:right="0" w:firstLine="30"/>
              <w:rPr/>
            </w:pPr>
            <w:r>
              <w:rPr/>
              <w:t> </w:t>
            </w:r>
          </w:p>
        </w:tc>
        <w:tc>
          <w:tcPr>
            <w:tcW w:w="129" w:type="dxa"/>
            <w:tcBorders/>
            <w:shd w:fill="auto" w:val="clear"/>
            <w:vAlign w:val="center"/>
          </w:tcPr>
          <w:p>
            <w:pPr>
              <w:pStyle w:val="TableContents"/>
              <w:spacing w:before="0" w:after="0"/>
              <w:ind w:left="0" w:right="0" w:firstLine="30"/>
              <w:rPr/>
            </w:pPr>
            <w:r>
              <w:rPr/>
              <w:t> </w:t>
            </w:r>
          </w:p>
        </w:tc>
        <w:tc>
          <w:tcPr>
            <w:tcW w:w="2118" w:type="dxa"/>
            <w:gridSpan w:val="3"/>
            <w:tcBorders/>
            <w:shd w:fill="auto" w:val="clear"/>
            <w:vAlign w:val="center"/>
          </w:tcPr>
          <w:p>
            <w:pPr>
              <w:pStyle w:val="TableContents"/>
              <w:spacing w:before="0" w:after="0"/>
              <w:ind w:left="0" w:right="0" w:firstLine="780"/>
              <w:rPr/>
            </w:pPr>
            <w:r>
              <w:rPr/>
              <w:t> </w:t>
            </w:r>
          </w:p>
        </w:tc>
      </w:tr>
      <w:tr>
        <w:trPr/>
        <w:tc>
          <w:tcPr>
            <w:tcW w:w="33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72"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pPr>
            <w:r>
              <w:rPr/>
              <w:t>—</w:t>
            </w:r>
          </w:p>
        </w:tc>
        <w:tc>
          <w:tcPr>
            <w:tcW w:w="1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1,300</w:t>
            </w:r>
          </w:p>
        </w:tc>
        <w:tc>
          <w:tcPr>
            <w:tcW w:w="1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1,300</w:t>
            </w:r>
          </w:p>
        </w:tc>
        <w:tc>
          <w:tcPr>
            <w:tcW w:w="804"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27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(2,293</w:t>
            </w:r>
          </w:p>
        </w:tc>
        <w:tc>
          <w:tcPr>
            <w:tcW w:w="17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(2,293</w:t>
            </w:r>
          </w:p>
        </w:tc>
        <w:tc>
          <w:tcPr>
            <w:tcW w:w="804" w:type="dxa"/>
            <w:tcBorders>
              <w:bottom w:val="single" w:sz="2" w:space="0" w:color="000000"/>
            </w:tcBorders>
            <w:shd w:fill="auto"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35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27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CCEEFF" w:val="clear"/>
            <w:vAlign w:val="center"/>
          </w:tcPr>
          <w:p>
            <w:pPr>
              <w:pStyle w:val="TableContents"/>
              <w:spacing w:before="0" w:after="0"/>
              <w:ind w:left="0" w:right="0" w:firstLine="30"/>
              <w:rPr/>
            </w:pPr>
            <w:r>
              <w:rPr/>
              <w:t> </w:t>
            </w:r>
          </w:p>
        </w:tc>
        <w:tc>
          <w:tcPr>
            <w:tcW w:w="1297"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(993</w:t>
            </w:r>
          </w:p>
        </w:tc>
        <w:tc>
          <w:tcPr>
            <w:tcW w:w="17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CCEEFF" w:val="clear"/>
            <w:vAlign w:val="center"/>
          </w:tcPr>
          <w:p>
            <w:pPr>
              <w:pStyle w:val="TableContents"/>
              <w:spacing w:before="0" w:after="0"/>
              <w:ind w:left="0" w:right="0" w:firstLine="30"/>
              <w:rPr/>
            </w:pPr>
            <w:r>
              <w:rPr/>
              <w:t> </w:t>
            </w:r>
          </w:p>
        </w:tc>
        <w:tc>
          <w:tcPr>
            <w:tcW w:w="131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(993</w:t>
            </w:r>
          </w:p>
        </w:tc>
        <w:tc>
          <w:tcPr>
            <w:tcW w:w="804"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5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(loss) attributable to EZCORP, Inc.</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9"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(22,715</w:t>
            </w:r>
          </w:p>
        </w:tc>
        <w:tc>
          <w:tcPr>
            <w:tcW w:w="148"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125,184</w:t>
            </w:r>
          </w:p>
        </w:tc>
        <w:tc>
          <w:tcPr>
            <w:tcW w:w="148"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9" w:type="dxa"/>
            <w:tcBorders/>
            <w:shd w:fill="auto" w:val="clear"/>
            <w:vAlign w:val="center"/>
          </w:tcPr>
          <w:p>
            <w:pPr>
              <w:pStyle w:val="TableContents"/>
              <w:spacing w:before="0" w:after="0"/>
              <w:ind w:left="0" w:right="0" w:firstLine="30"/>
              <w:rPr/>
            </w:pPr>
            <w:r>
              <w:rPr/>
              <w:t> </w:t>
            </w:r>
          </w:p>
        </w:tc>
        <w:tc>
          <w:tcPr>
            <w:tcW w:w="18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(5,210</w:t>
            </w:r>
          </w:p>
        </w:tc>
        <w:tc>
          <w:tcPr>
            <w:tcW w:w="170" w:type="dxa"/>
            <w:tcBorders>
              <w:bottom w:val="double" w:sz="6"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9" w:type="dxa"/>
            <w:tcBorders/>
            <w:shd w:fill="auto" w:val="clear"/>
            <w:vAlign w:val="center"/>
          </w:tcPr>
          <w:p>
            <w:pPr>
              <w:pStyle w:val="TableContents"/>
              <w:spacing w:before="0" w:after="0"/>
              <w:ind w:left="0" w:right="0" w:firstLine="30"/>
              <w:rPr/>
            </w:pPr>
            <w:r>
              <w:rPr/>
              <w:t> </w:t>
            </w:r>
          </w:p>
        </w:tc>
        <w:tc>
          <w:tcPr>
            <w:tcW w:w="163"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97,259</w:t>
            </w:r>
          </w:p>
        </w:tc>
        <w:tc>
          <w:tcPr>
            <w:tcW w:w="80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35</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454"/>
        <w:gridCol w:w="165"/>
        <w:gridCol w:w="1077"/>
        <w:gridCol w:w="150"/>
        <w:gridCol w:w="132"/>
        <w:gridCol w:w="169"/>
        <w:gridCol w:w="1100"/>
        <w:gridCol w:w="155"/>
        <w:gridCol w:w="132"/>
        <w:gridCol w:w="187"/>
        <w:gridCol w:w="1136"/>
        <w:gridCol w:w="172"/>
        <w:gridCol w:w="132"/>
        <w:gridCol w:w="165"/>
        <w:gridCol w:w="1077"/>
        <w:gridCol w:w="802"/>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454"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10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87" w:type="dxa"/>
            <w:tcBorders/>
            <w:shd w:fill="auto" w:val="clear"/>
            <w:vAlign w:val="center"/>
          </w:tcPr>
          <w:p>
            <w:pPr>
              <w:pStyle w:val="TableContents"/>
              <w:spacing w:before="0" w:after="283"/>
              <w:rPr>
                <w:sz w:val="4"/>
                <w:szCs w:val="4"/>
              </w:rPr>
            </w:pPr>
            <w:r>
              <w:rPr>
                <w:sz w:val="4"/>
                <w:szCs w:val="4"/>
              </w:rPr>
            </w:r>
          </w:p>
        </w:tc>
        <w:tc>
          <w:tcPr>
            <w:tcW w:w="113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32" w:type="dxa"/>
            <w:tcBorders/>
            <w:shd w:fill="auto" w:val="clear"/>
            <w:vAlign w:val="center"/>
          </w:tcPr>
          <w:p>
            <w:pPr>
              <w:pStyle w:val="TableContents"/>
              <w:spacing w:before="0" w:after="283"/>
              <w:rPr>
                <w:sz w:val="4"/>
                <w:szCs w:val="4"/>
              </w:rPr>
            </w:pPr>
            <w:r>
              <w:rPr>
                <w:sz w:val="4"/>
                <w:szCs w:val="4"/>
              </w:rPr>
            </w:r>
          </w:p>
        </w:tc>
        <w:tc>
          <w:tcPr>
            <w:tcW w:w="165"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80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454" w:type="dxa"/>
            <w:tcBorders/>
            <w:shd w:fill="auto" w:val="clear"/>
            <w:vAlign w:val="center"/>
          </w:tcPr>
          <w:p>
            <w:pPr>
              <w:pStyle w:val="TableContents"/>
              <w:spacing w:before="0" w:after="0"/>
              <w:ind w:left="0" w:right="0" w:firstLine="30"/>
              <w:jc w:val="left"/>
              <w:rPr/>
            </w:pPr>
            <w:r>
              <w:rPr/>
              <w:t> </w:t>
            </w:r>
          </w:p>
        </w:tc>
        <w:tc>
          <w:tcPr>
            <w:tcW w:w="675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w:t>
            </w:r>
          </w:p>
        </w:tc>
      </w:tr>
      <w:tr>
        <w:trPr/>
        <w:tc>
          <w:tcPr>
            <w:tcW w:w="3454" w:type="dxa"/>
            <w:tcBorders/>
            <w:shd w:fill="auto" w:val="clear"/>
            <w:vAlign w:val="center"/>
          </w:tcPr>
          <w:p>
            <w:pPr>
              <w:pStyle w:val="TableContents"/>
              <w:spacing w:before="0" w:after="0"/>
              <w:ind w:left="0" w:right="0" w:firstLine="30"/>
              <w:jc w:val="left"/>
              <w:rPr/>
            </w:pPr>
            <w:r>
              <w:rPr/>
              <w:t> </w:t>
            </w:r>
          </w:p>
        </w:tc>
        <w:tc>
          <w:tcPr>
            <w:tcW w:w="6751"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 2011</w:t>
            </w:r>
          </w:p>
        </w:tc>
      </w:tr>
      <w:tr>
        <w:trPr/>
        <w:tc>
          <w:tcPr>
            <w:tcW w:w="3454" w:type="dxa"/>
            <w:tcBorders/>
            <w:shd w:fill="auto" w:val="clear"/>
            <w:vAlign w:val="center"/>
          </w:tcPr>
          <w:p>
            <w:pPr>
              <w:pStyle w:val="TableContents"/>
              <w:spacing w:before="0" w:after="0"/>
              <w:ind w:left="0" w:right="0" w:firstLine="30"/>
              <w:jc w:val="left"/>
              <w:rPr/>
            </w:pPr>
            <w:r>
              <w:rPr/>
              <w:t> </w:t>
            </w:r>
          </w:p>
        </w:tc>
        <w:tc>
          <w:tcPr>
            <w:tcW w:w="139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32" w:type="dxa"/>
            <w:tcBorders/>
            <w:shd w:fill="auto" w:val="clear"/>
            <w:vAlign w:val="center"/>
          </w:tcPr>
          <w:p>
            <w:pPr>
              <w:pStyle w:val="TableContents"/>
              <w:spacing w:before="0" w:after="0"/>
              <w:ind w:left="0" w:right="0" w:firstLine="30"/>
              <w:rPr/>
            </w:pPr>
            <w:r>
              <w:rPr/>
              <w:t> </w:t>
            </w:r>
          </w:p>
        </w:tc>
        <w:tc>
          <w:tcPr>
            <w:tcW w:w="1424"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32" w:type="dxa"/>
            <w:tcBorders/>
            <w:shd w:fill="auto" w:val="clear"/>
            <w:vAlign w:val="center"/>
          </w:tcPr>
          <w:p>
            <w:pPr>
              <w:pStyle w:val="TableContents"/>
              <w:spacing w:before="0" w:after="0"/>
              <w:ind w:left="0" w:right="0" w:firstLine="30"/>
              <w:rPr/>
            </w:pPr>
            <w:r>
              <w:rPr/>
              <w:t> </w:t>
            </w:r>
          </w:p>
        </w:tc>
        <w:tc>
          <w:tcPr>
            <w:tcW w:w="149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32" w:type="dxa"/>
            <w:tcBorders/>
            <w:shd w:fill="auto" w:val="clear"/>
            <w:vAlign w:val="center"/>
          </w:tcPr>
          <w:p>
            <w:pPr>
              <w:pStyle w:val="TableContents"/>
              <w:spacing w:before="0" w:after="0"/>
              <w:ind w:left="0" w:right="0" w:firstLine="30"/>
              <w:rPr/>
            </w:pPr>
            <w:r>
              <w:rPr/>
              <w:t> </w:t>
            </w:r>
          </w:p>
        </w:tc>
        <w:tc>
          <w:tcPr>
            <w:tcW w:w="20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454" w:type="dxa"/>
            <w:tcBorders/>
            <w:shd w:fill="auto" w:val="clear"/>
            <w:vAlign w:val="center"/>
          </w:tcPr>
          <w:p>
            <w:pPr>
              <w:pStyle w:val="TableContents"/>
              <w:spacing w:before="0" w:after="0"/>
              <w:ind w:left="0" w:right="0" w:firstLine="30"/>
              <w:jc w:val="left"/>
              <w:rPr/>
            </w:pPr>
            <w:r>
              <w:rPr/>
              <w:t> </w:t>
            </w:r>
          </w:p>
        </w:tc>
        <w:tc>
          <w:tcPr>
            <w:tcW w:w="6751" w:type="dxa"/>
            <w:gridSpan w:val="15"/>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shd w:fill="CCEEFF" w:val="clear"/>
            <w:vAlign w:val="center"/>
          </w:tcPr>
          <w:p>
            <w:pPr>
              <w:pStyle w:val="TableContents"/>
              <w:spacing w:before="0" w:after="0"/>
              <w:jc w:val="right"/>
              <w:rPr>
                <w:rFonts w:ascii="inherit" w:hAnsi="inherit"/>
                <w:sz w:val="17"/>
              </w:rPr>
            </w:pPr>
            <w:r>
              <w:rPr>
                <w:rFonts w:ascii="inherit" w:hAnsi="inherit"/>
                <w:sz w:val="17"/>
              </w:rPr>
              <w:t>13,873</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shd w:fill="CCEEFF" w:val="clear"/>
            <w:vAlign w:val="center"/>
          </w:tcPr>
          <w:p>
            <w:pPr>
              <w:pStyle w:val="TableContents"/>
              <w:spacing w:before="0" w:after="0"/>
              <w:jc w:val="right"/>
              <w:rPr>
                <w:rFonts w:ascii="inherit" w:hAnsi="inherit"/>
                <w:sz w:val="17"/>
              </w:rPr>
            </w:pPr>
            <w:r>
              <w:rPr>
                <w:rFonts w:ascii="inherit" w:hAnsi="inherit"/>
                <w:sz w:val="17"/>
              </w:rPr>
              <w:t>74,085</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36" w:type="dxa"/>
            <w:tcBorders/>
            <w:shd w:fill="CCEEFF" w:val="clear"/>
            <w:vAlign w:val="center"/>
          </w:tcPr>
          <w:p>
            <w:pPr>
              <w:pStyle w:val="TableContents"/>
              <w:spacing w:before="0" w:after="0"/>
              <w:jc w:val="right"/>
              <w:rPr>
                <w:rFonts w:ascii="inherit" w:hAnsi="inherit"/>
                <w:sz w:val="17"/>
              </w:rPr>
            </w:pPr>
            <w:r>
              <w:rPr>
                <w:rFonts w:ascii="inherit" w:hAnsi="inherit"/>
                <w:sz w:val="17"/>
              </w:rPr>
              <w:t>(2,164</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6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shd w:fill="CCEEFF" w:val="clear"/>
            <w:vAlign w:val="center"/>
          </w:tcPr>
          <w:p>
            <w:pPr>
              <w:pStyle w:val="TableContents"/>
              <w:spacing w:before="0" w:after="0"/>
              <w:jc w:val="right"/>
              <w:rPr>
                <w:rFonts w:ascii="inherit" w:hAnsi="inherit"/>
                <w:sz w:val="17"/>
              </w:rPr>
            </w:pPr>
            <w:r>
              <w:rPr>
                <w:rFonts w:ascii="inherit" w:hAnsi="inherit"/>
                <w:sz w:val="17"/>
              </w:rPr>
              <w:t>85,794</w:t>
            </w:r>
          </w:p>
        </w:tc>
        <w:tc>
          <w:tcPr>
            <w:tcW w:w="8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(loss):</w:t>
            </w:r>
          </w:p>
        </w:tc>
        <w:tc>
          <w:tcPr>
            <w:tcW w:w="139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95"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044" w:type="dxa"/>
            <w:gridSpan w:val="3"/>
            <w:tcBorders/>
            <w:shd w:fill="auto" w:val="clear"/>
            <w:vAlign w:val="center"/>
          </w:tcPr>
          <w:p>
            <w:pPr>
              <w:pStyle w:val="TableContents"/>
              <w:spacing w:before="0" w:after="0"/>
              <w:ind w:left="0" w:right="0" w:firstLine="420"/>
              <w:rPr/>
            </w:pPr>
            <w:r>
              <w:rPr/>
              <w:t> </w:t>
            </w:r>
          </w:p>
        </w:tc>
      </w:tr>
      <w:tr>
        <w:trPr/>
        <w:tc>
          <w:tcPr>
            <w:tcW w:w="3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2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11,354</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1,736</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2,243</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15,333</w:t>
            </w:r>
          </w:p>
        </w:tc>
        <w:tc>
          <w:tcPr>
            <w:tcW w:w="802"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Unrealized holding gains arising during period</w:t>
            </w:r>
          </w:p>
        </w:tc>
        <w:tc>
          <w:tcPr>
            <w:tcW w:w="1242" w:type="dxa"/>
            <w:gridSpan w:val="2"/>
            <w:tcBorders/>
            <w:shd w:fill="auto" w:val="clear"/>
            <w:vAlign w:val="center"/>
          </w:tcPr>
          <w:p>
            <w:pPr>
              <w:pStyle w:val="TableContents"/>
              <w:spacing w:before="0" w:after="0"/>
              <w:jc w:val="right"/>
              <w:rPr/>
            </w:pPr>
            <w:r>
              <w:rPr/>
              <w:t>—</w:t>
            </w:r>
          </w:p>
        </w:tc>
        <w:tc>
          <w:tcPr>
            <w:tcW w:w="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w:t>
            </w:r>
          </w:p>
        </w:tc>
        <w:tc>
          <w:tcPr>
            <w:tcW w:w="15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3" w:type="dxa"/>
            <w:gridSpan w:val="2"/>
            <w:tcBorders/>
            <w:shd w:fill="auto" w:val="clear"/>
            <w:vAlign w:val="center"/>
          </w:tcPr>
          <w:p>
            <w:pPr>
              <w:pStyle w:val="TableContents"/>
              <w:spacing w:before="0" w:after="0"/>
              <w:jc w:val="right"/>
              <w:rPr/>
            </w:pPr>
            <w:r>
              <w:rPr/>
              <w:t>—</w:t>
            </w:r>
          </w:p>
        </w:tc>
        <w:tc>
          <w:tcPr>
            <w:tcW w:w="17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986</w:t>
            </w:r>
          </w:p>
        </w:tc>
        <w:tc>
          <w:tcPr>
            <w:tcW w:w="802"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tax provision</w:t>
            </w:r>
          </w:p>
        </w:tc>
        <w:tc>
          <w:tcPr>
            <w:tcW w:w="12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(3,974</w:t>
            </w:r>
          </w:p>
        </w:tc>
        <w:tc>
          <w:tcPr>
            <w:tcW w:w="150"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(953</w:t>
            </w:r>
          </w:p>
        </w:tc>
        <w:tc>
          <w:tcPr>
            <w:tcW w:w="15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2" w:type="dxa"/>
            <w:tcBorders/>
            <w:shd w:fill="CCEEFF"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(4,927</w:t>
            </w:r>
          </w:p>
        </w:tc>
        <w:tc>
          <w:tcPr>
            <w:tcW w:w="80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comprehensive income, net of tax</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7,380</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1,769</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2,243</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11,392</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21,253</w:t>
            </w:r>
          </w:p>
        </w:tc>
        <w:tc>
          <w:tcPr>
            <w:tcW w:w="15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75,854</w:t>
            </w:r>
          </w:p>
        </w:tc>
        <w:tc>
          <w:tcPr>
            <w:tcW w:w="15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8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6"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w:t>
            </w:r>
          </w:p>
        </w:tc>
        <w:tc>
          <w:tcPr>
            <w:tcW w:w="17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65"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97,186</w:t>
            </w:r>
          </w:p>
        </w:tc>
        <w:tc>
          <w:tcPr>
            <w:tcW w:w="802" w:type="dxa"/>
            <w:tcBorders>
              <w:bottom w:val="double" w:sz="6"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Attributable to redeemable noncontrolling interest:</w:t>
            </w:r>
          </w:p>
        </w:tc>
        <w:tc>
          <w:tcPr>
            <w:tcW w:w="1392"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24" w:type="dxa"/>
            <w:gridSpan w:val="3"/>
            <w:tcBorders/>
            <w:shd w:fill="auto" w:val="cle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1495" w:type="dxa"/>
            <w:gridSpan w:val="3"/>
            <w:tcBorders>
              <w:top w:val="double" w:sz="6" w:space="0" w:color="000000"/>
            </w:tcBorders>
            <w:shd w:fill="auto" w:val="clear"/>
            <w:tcMar>
              <w:top w:w="30" w:type="dxa"/>
            </w:tcMar>
            <w:vAlign w:val="center"/>
          </w:tcPr>
          <w:p>
            <w:pPr>
              <w:pStyle w:val="TableContents"/>
              <w:spacing w:before="0" w:after="0"/>
              <w:ind w:left="0" w:right="0" w:firstLine="30"/>
              <w:rPr/>
            </w:pPr>
            <w:r>
              <w:rPr/>
              <w:t> </w:t>
            </w:r>
          </w:p>
        </w:tc>
        <w:tc>
          <w:tcPr>
            <w:tcW w:w="132" w:type="dxa"/>
            <w:tcBorders/>
            <w:shd w:fill="auto" w:val="clear"/>
            <w:vAlign w:val="center"/>
          </w:tcPr>
          <w:p>
            <w:pPr>
              <w:pStyle w:val="TableContents"/>
              <w:spacing w:before="0" w:after="0"/>
              <w:ind w:left="0" w:right="0" w:firstLine="30"/>
              <w:rPr/>
            </w:pPr>
            <w:r>
              <w:rPr/>
              <w:t> </w:t>
            </w:r>
          </w:p>
        </w:tc>
        <w:tc>
          <w:tcPr>
            <w:tcW w:w="2044" w:type="dxa"/>
            <w:gridSpan w:val="3"/>
            <w:tcBorders/>
            <w:shd w:fill="auto" w:val="clear"/>
            <w:vAlign w:val="center"/>
          </w:tcPr>
          <w:p>
            <w:pPr>
              <w:pStyle w:val="TableContents"/>
              <w:spacing w:before="0" w:after="0"/>
              <w:ind w:left="0" w:right="0" w:firstLine="780"/>
              <w:rPr/>
            </w:pPr>
            <w:r>
              <w:rPr/>
              <w:t> </w:t>
            </w:r>
          </w:p>
        </w:tc>
      </w:tr>
      <w:tr>
        <w:trPr/>
        <w:tc>
          <w:tcPr>
            <w:tcW w:w="3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242" w:type="dxa"/>
            <w:gridSpan w:val="2"/>
            <w:tcBorders/>
            <w:shd w:fill="CCEEFF" w:val="clear"/>
            <w:vAlign w:val="center"/>
          </w:tcPr>
          <w:p>
            <w:pPr>
              <w:pStyle w:val="TableContents"/>
              <w:spacing w:before="0" w:after="0"/>
              <w:jc w:val="right"/>
              <w:rPr/>
            </w:pPr>
            <w:r>
              <w:rPr/>
              <w:t>—</w:t>
            </w:r>
          </w:p>
        </w:tc>
        <w:tc>
          <w:tcPr>
            <w:tcW w:w="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69" w:type="dxa"/>
            <w:gridSpan w:val="2"/>
            <w:tcBorders/>
            <w:shd w:fill="CCEEFF" w:val="clear"/>
            <w:vAlign w:val="center"/>
          </w:tcPr>
          <w:p>
            <w:pPr>
              <w:pStyle w:val="TableContents"/>
              <w:spacing w:before="0" w:after="0"/>
              <w:jc w:val="right"/>
              <w:rPr/>
            </w:pPr>
            <w:r>
              <w:rPr/>
              <w:t>—</w:t>
            </w:r>
          </w:p>
        </w:tc>
        <w:tc>
          <w:tcPr>
            <w:tcW w:w="15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3" w:type="dxa"/>
            <w:gridSpan w:val="2"/>
            <w:tcBorders/>
            <w:shd w:fill="CCEEFF" w:val="clear"/>
            <w:vAlign w:val="center"/>
          </w:tcPr>
          <w:p>
            <w:pPr>
              <w:pStyle w:val="TableContents"/>
              <w:spacing w:before="0" w:after="0"/>
              <w:jc w:val="right"/>
              <w:rPr/>
            </w:pPr>
            <w:r>
              <w:rPr/>
              <w:t>—</w:t>
            </w:r>
          </w:p>
        </w:tc>
        <w:tc>
          <w:tcPr>
            <w:tcW w:w="17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2" w:type="dxa"/>
            <w:gridSpan w:val="2"/>
            <w:tcBorders/>
            <w:shd w:fill="CCEEFF" w:val="clear"/>
            <w:vAlign w:val="center"/>
          </w:tcPr>
          <w:p>
            <w:pPr>
              <w:pStyle w:val="TableContents"/>
              <w:spacing w:before="0" w:after="0"/>
              <w:jc w:val="right"/>
              <w:rPr/>
            </w:pPr>
            <w:r>
              <w:rPr/>
              <w:t>—</w:t>
            </w:r>
          </w:p>
        </w:tc>
        <w:tc>
          <w:tcPr>
            <w:tcW w:w="802"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Foreign currency translation adjustments</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802"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4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w:t>
            </w:r>
          </w:p>
        </w:tc>
        <w:tc>
          <w:tcPr>
            <w:tcW w:w="12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0"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323"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7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CCEEFF" w:val="clear"/>
            <w:vAlign w:val="center"/>
          </w:tcPr>
          <w:p>
            <w:pPr>
              <w:pStyle w:val="TableContents"/>
              <w:spacing w:before="0" w:after="0"/>
              <w:ind w:left="0" w:right="0" w:firstLine="30"/>
              <w:rPr/>
            </w:pPr>
            <w:r>
              <w:rPr/>
              <w:t> </w:t>
            </w:r>
          </w:p>
        </w:tc>
        <w:tc>
          <w:tcPr>
            <w:tcW w:w="12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4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Comprehensive income attributable to EZCORP, Inc.</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21,253</w:t>
            </w:r>
          </w:p>
        </w:tc>
        <w:tc>
          <w:tcPr>
            <w:tcW w:w="150"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9"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00"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75,854</w:t>
            </w:r>
          </w:p>
        </w:tc>
        <w:tc>
          <w:tcPr>
            <w:tcW w:w="15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8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36"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79</w:t>
            </w:r>
          </w:p>
        </w:tc>
        <w:tc>
          <w:tcPr>
            <w:tcW w:w="17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2" w:type="dxa"/>
            <w:tcBorders/>
            <w:shd w:fill="auto" w:val="clear"/>
            <w:vAlign w:val="center"/>
          </w:tcPr>
          <w:p>
            <w:pPr>
              <w:pStyle w:val="TableContents"/>
              <w:spacing w:before="0" w:after="0"/>
              <w:ind w:left="0" w:right="0" w:firstLine="30"/>
              <w:rPr/>
            </w:pPr>
            <w:r>
              <w:rPr/>
              <w:t> </w:t>
            </w:r>
          </w:p>
        </w:tc>
        <w:tc>
          <w:tcPr>
            <w:tcW w:w="165"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97,186</w:t>
            </w:r>
          </w:p>
        </w:tc>
        <w:tc>
          <w:tcPr>
            <w:tcW w:w="802"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36</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Condensed Consolidating Statement of Cash Flows</w:t>
      </w:r>
    </w:p>
    <w:tbl>
      <w:tblPr>
        <w:tblW w:w="10205" w:type="dxa"/>
        <w:jc w:val="left"/>
        <w:tblInd w:w="0" w:type="dxa"/>
        <w:tblCellMar>
          <w:top w:w="0" w:type="dxa"/>
          <w:left w:w="0" w:type="dxa"/>
          <w:bottom w:w="0" w:type="dxa"/>
          <w:right w:w="0" w:type="dxa"/>
        </w:tblCellMar>
      </w:tblPr>
      <w:tblGrid>
        <w:gridCol w:w="3307"/>
        <w:gridCol w:w="159"/>
        <w:gridCol w:w="973"/>
        <w:gridCol w:w="144"/>
        <w:gridCol w:w="125"/>
        <w:gridCol w:w="159"/>
        <w:gridCol w:w="1017"/>
        <w:gridCol w:w="144"/>
        <w:gridCol w:w="125"/>
        <w:gridCol w:w="159"/>
        <w:gridCol w:w="1020"/>
        <w:gridCol w:w="146"/>
        <w:gridCol w:w="125"/>
        <w:gridCol w:w="159"/>
        <w:gridCol w:w="1075"/>
        <w:gridCol w:w="1368"/>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07"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973"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2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075"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07" w:type="dxa"/>
            <w:tcBorders/>
            <w:shd w:fill="auto" w:val="clear"/>
            <w:vAlign w:val="center"/>
          </w:tcPr>
          <w:p>
            <w:pPr>
              <w:pStyle w:val="TableContents"/>
              <w:spacing w:before="0" w:after="0"/>
              <w:ind w:left="0" w:right="0" w:firstLine="30"/>
              <w:jc w:val="left"/>
              <w:rPr/>
            </w:pPr>
            <w:r>
              <w:rPr/>
              <w:t> </w:t>
            </w:r>
          </w:p>
        </w:tc>
        <w:tc>
          <w:tcPr>
            <w:tcW w:w="689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2012</w:t>
            </w:r>
          </w:p>
        </w:tc>
      </w:tr>
      <w:tr>
        <w:trPr/>
        <w:tc>
          <w:tcPr>
            <w:tcW w:w="3307" w:type="dxa"/>
            <w:tcBorders/>
            <w:shd w:fill="auto" w:val="clear"/>
            <w:vAlign w:val="center"/>
          </w:tcPr>
          <w:p>
            <w:pPr>
              <w:pStyle w:val="TableContents"/>
              <w:spacing w:before="0" w:after="0"/>
              <w:ind w:left="0" w:right="0" w:firstLine="30"/>
              <w:jc w:val="left"/>
              <w:rPr/>
            </w:pPr>
            <w:r>
              <w:rPr/>
              <w:t> </w:t>
            </w:r>
          </w:p>
        </w:tc>
        <w:tc>
          <w:tcPr>
            <w:tcW w:w="6898"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07" w:type="dxa"/>
            <w:tcBorders/>
            <w:shd w:fill="auto" w:val="clear"/>
            <w:vAlign w:val="center"/>
          </w:tcPr>
          <w:p>
            <w:pPr>
              <w:pStyle w:val="TableContents"/>
              <w:spacing w:before="0" w:after="0"/>
              <w:ind w:left="0" w:right="0" w:firstLine="30"/>
              <w:jc w:val="left"/>
              <w:rPr/>
            </w:pPr>
            <w:r>
              <w:rPr/>
              <w:t> </w:t>
            </w:r>
          </w:p>
        </w:tc>
        <w:tc>
          <w:tcPr>
            <w:tcW w:w="12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5" w:type="dxa"/>
            <w:tcBorders/>
            <w:shd w:fill="auto" w:val="clear"/>
            <w:vAlign w:val="center"/>
          </w:tcPr>
          <w:p>
            <w:pPr>
              <w:pStyle w:val="TableContents"/>
              <w:spacing w:before="0" w:after="0"/>
              <w:ind w:left="0" w:right="0" w:firstLine="30"/>
              <w:rPr/>
            </w:pPr>
            <w:r>
              <w:rPr/>
              <w:t> </w:t>
            </w:r>
          </w:p>
        </w:tc>
        <w:tc>
          <w:tcPr>
            <w:tcW w:w="1320"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5" w:type="dxa"/>
            <w:tcBorders/>
            <w:shd w:fill="auto" w:val="clear"/>
            <w:vAlign w:val="center"/>
          </w:tcPr>
          <w:p>
            <w:pPr>
              <w:pStyle w:val="TableContents"/>
              <w:spacing w:before="0" w:after="0"/>
              <w:ind w:left="0" w:right="0" w:firstLine="30"/>
              <w:rPr/>
            </w:pPr>
            <w:r>
              <w:rPr/>
              <w:t> </w:t>
            </w:r>
          </w:p>
        </w:tc>
        <w:tc>
          <w:tcPr>
            <w:tcW w:w="1325"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5" w:type="dxa"/>
            <w:tcBorders/>
            <w:shd w:fill="auto" w:val="clear"/>
            <w:vAlign w:val="center"/>
          </w:tcPr>
          <w:p>
            <w:pPr>
              <w:pStyle w:val="TableContents"/>
              <w:spacing w:before="0" w:after="0"/>
              <w:ind w:left="0" w:right="0" w:firstLine="30"/>
              <w:rPr/>
            </w:pPr>
            <w:r>
              <w:rPr/>
              <w:t> </w:t>
            </w:r>
          </w:p>
        </w:tc>
        <w:tc>
          <w:tcPr>
            <w:tcW w:w="260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Activities:</w:t>
            </w:r>
          </w:p>
        </w:tc>
        <w:tc>
          <w:tcPr>
            <w:tcW w:w="1276"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20"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2602" w:type="dxa"/>
            <w:gridSpan w:val="3"/>
            <w:tcBorders/>
            <w:shd w:fill="CCEEFF" w:val="clear"/>
            <w:vAlign w:val="center"/>
          </w:tcPr>
          <w:p>
            <w:pPr>
              <w:pStyle w:val="TableContents"/>
              <w:spacing w:before="0" w:after="0"/>
              <w:ind w:left="0" w:right="0" w:firstLine="420"/>
              <w:rPr/>
            </w:pPr>
            <w:r>
              <w:rPr/>
              <w:t> </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(loss)</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auto" w:val="clear"/>
            <w:vAlign w:val="center"/>
          </w:tcPr>
          <w:p>
            <w:pPr>
              <w:pStyle w:val="TableContents"/>
              <w:spacing w:before="0" w:after="0"/>
              <w:jc w:val="right"/>
              <w:rPr>
                <w:rFonts w:ascii="inherit" w:hAnsi="inherit"/>
                <w:sz w:val="17"/>
              </w:rPr>
            </w:pPr>
            <w:r>
              <w:rPr>
                <w:rFonts w:ascii="inherit" w:hAnsi="inherit"/>
                <w:sz w:val="17"/>
              </w:rPr>
              <w:t>(20,406</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auto" w:val="clear"/>
            <w:vAlign w:val="center"/>
          </w:tcPr>
          <w:p>
            <w:pPr>
              <w:pStyle w:val="TableContents"/>
              <w:spacing w:before="0" w:after="0"/>
              <w:jc w:val="right"/>
              <w:rPr>
                <w:rFonts w:ascii="inherit" w:hAnsi="inherit"/>
                <w:sz w:val="17"/>
              </w:rPr>
            </w:pPr>
            <w:r>
              <w:rPr>
                <w:rFonts w:ascii="inherit" w:hAnsi="inherit"/>
                <w:sz w:val="17"/>
              </w:rPr>
              <w:t>125,811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auto" w:val="clear"/>
            <w:vAlign w:val="center"/>
          </w:tcPr>
          <w:p>
            <w:pPr>
              <w:pStyle w:val="TableContents"/>
              <w:spacing w:before="0" w:after="0"/>
              <w:jc w:val="right"/>
              <w:rPr>
                <w:rFonts w:ascii="inherit" w:hAnsi="inherit"/>
                <w:sz w:val="17"/>
              </w:rPr>
            </w:pPr>
            <w:r>
              <w:rPr>
                <w:rFonts w:ascii="inherit" w:hAnsi="inherit"/>
                <w:sz w:val="17"/>
              </w:rPr>
              <w:t>1,031</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59"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auto" w:val="clear"/>
            <w:vAlign w:val="center"/>
          </w:tcPr>
          <w:p>
            <w:pPr>
              <w:pStyle w:val="TableContents"/>
              <w:spacing w:before="0" w:after="0"/>
              <w:jc w:val="right"/>
              <w:rPr>
                <w:rFonts w:ascii="inherit" w:hAnsi="inherit"/>
                <w:sz w:val="17"/>
              </w:rPr>
            </w:pPr>
            <w:r>
              <w:rPr>
                <w:rFonts w:ascii="inherit" w:hAnsi="inherit"/>
                <w:sz w:val="17"/>
              </w:rPr>
              <w:t>106,436</w:t>
            </w:r>
          </w:p>
        </w:tc>
        <w:tc>
          <w:tcPr>
            <w:tcW w:w="136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net cash provided by operating activities:</w:t>
            </w:r>
          </w:p>
        </w:tc>
        <w:tc>
          <w:tcPr>
            <w:tcW w:w="1276"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20"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1325" w:type="dxa"/>
            <w:gridSpan w:val="3"/>
            <w:tcBorders/>
            <w:shd w:fill="CCEEFF" w:val="clear"/>
            <w:vAlign w:val="center"/>
          </w:tcPr>
          <w:p>
            <w:pPr>
              <w:pStyle w:val="TableContents"/>
              <w:spacing w:before="0" w:after="0"/>
              <w:ind w:left="0" w:right="0" w:firstLine="30"/>
              <w:rPr/>
            </w:pPr>
            <w:r>
              <w:rPr/>
              <w:t> </w:t>
            </w:r>
          </w:p>
        </w:tc>
        <w:tc>
          <w:tcPr>
            <w:tcW w:w="125" w:type="dxa"/>
            <w:tcBorders/>
            <w:shd w:fill="CCEEFF" w:val="clear"/>
            <w:vAlign w:val="center"/>
          </w:tcPr>
          <w:p>
            <w:pPr>
              <w:pStyle w:val="TableContents"/>
              <w:spacing w:before="0" w:after="0"/>
              <w:ind w:left="0" w:right="0" w:firstLine="30"/>
              <w:rPr/>
            </w:pPr>
            <w:r>
              <w:rPr/>
              <w:t> </w:t>
            </w:r>
          </w:p>
        </w:tc>
        <w:tc>
          <w:tcPr>
            <w:tcW w:w="2602" w:type="dxa"/>
            <w:gridSpan w:val="3"/>
            <w:tcBorders/>
            <w:shd w:fill="CCEEFF" w:val="clear"/>
            <w:vAlign w:val="center"/>
          </w:tcPr>
          <w:p>
            <w:pPr>
              <w:pStyle w:val="TableContents"/>
              <w:spacing w:before="0" w:after="0"/>
              <w:ind w:left="0" w:right="0" w:firstLine="780"/>
              <w:rPr/>
            </w:pPr>
            <w:r>
              <w:rPr/>
              <w:t> </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13,372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6,519</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19,891</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loss provisions</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7,609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4,527</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12,136</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563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(379</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(828</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(644</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(gain) loss on sale or disposal of assets</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267</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138</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compensation</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5,191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5,191</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investments in unconsolidated affiliates</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(6,725</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(6,210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136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net of business acquisitions:</w:t>
            </w:r>
          </w:p>
        </w:tc>
        <w:tc>
          <w:tcPr>
            <w:tcW w:w="127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20"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2602" w:type="dxa"/>
            <w:gridSpan w:val="3"/>
            <w:tcBorders/>
            <w:shd w:fill="auto" w:val="clear"/>
            <w:vAlign w:val="center"/>
          </w:tcPr>
          <w:p>
            <w:pPr>
              <w:pStyle w:val="TableContents"/>
              <w:spacing w:before="0" w:after="0"/>
              <w:ind w:left="0" w:right="0" w:firstLine="780"/>
              <w:rPr/>
            </w:pPr>
            <w:r>
              <w:rPr/>
              <w:t> </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2,651</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(1,501</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1,150</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761</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(874</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other current assets, and other assets, net</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(11,377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6,545</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(4,845</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accrued expenses</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(65,383</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(48,709</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101,992</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(12,100</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(582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(182</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722</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(1,582</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(1,582</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taxes receivable/payable</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(6,249</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(3,102</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981</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(8,370</w:t>
            </w:r>
          </w:p>
        </w:tc>
        <w:tc>
          <w:tcPr>
            <w:tcW w:w="1368"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operating activities</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CCEEFF" w:val="clear"/>
            <w:vAlign w:val="center"/>
          </w:tcPr>
          <w:p>
            <w:pPr>
              <w:pStyle w:val="TableContents"/>
              <w:spacing w:before="0" w:after="0"/>
              <w:jc w:val="right"/>
              <w:rPr>
                <w:rFonts w:ascii="inherit" w:hAnsi="inherit"/>
                <w:sz w:val="17"/>
              </w:rPr>
            </w:pPr>
            <w:r>
              <w:rPr>
                <w:rFonts w:ascii="inherit" w:hAnsi="inherit"/>
                <w:sz w:val="17"/>
              </w:rPr>
              <w:t>(99,795</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CCEEFF" w:val="clear"/>
            <w:vAlign w:val="center"/>
          </w:tcPr>
          <w:p>
            <w:pPr>
              <w:pStyle w:val="TableContents"/>
              <w:spacing w:before="0" w:after="0"/>
              <w:jc w:val="right"/>
              <w:rPr>
                <w:rFonts w:ascii="inherit" w:hAnsi="inherit"/>
                <w:sz w:val="17"/>
              </w:rPr>
            </w:pPr>
            <w:r>
              <w:rPr>
                <w:rFonts w:ascii="inherit" w:hAnsi="inherit"/>
                <w:sz w:val="17"/>
              </w:rPr>
              <w:t>85,557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CCEEFF" w:val="clear"/>
            <w:vAlign w:val="center"/>
          </w:tcPr>
          <w:p>
            <w:pPr>
              <w:pStyle w:val="TableContents"/>
              <w:spacing w:before="0" w:after="0"/>
              <w:jc w:val="right"/>
              <w:rPr>
                <w:rFonts w:ascii="inherit" w:hAnsi="inherit"/>
                <w:sz w:val="17"/>
              </w:rPr>
            </w:pPr>
            <w:r>
              <w:rPr>
                <w:rFonts w:ascii="inherit" w:hAnsi="inherit"/>
                <w:sz w:val="17"/>
              </w:rPr>
              <w:t>118,370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rFonts w:ascii="inherit" w:hAnsi="inherit"/>
                <w:sz w:val="17"/>
              </w:rPr>
            </w:pPr>
            <w:r>
              <w:rPr>
                <w:rFonts w:ascii="inherit" w:hAnsi="inherit"/>
                <w:sz w:val="17"/>
              </w:rPr>
              <w:t>104,132</w:t>
            </w:r>
          </w:p>
        </w:tc>
        <w:tc>
          <w:tcPr>
            <w:tcW w:w="13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27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20"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2602" w:type="dxa"/>
            <w:gridSpan w:val="3"/>
            <w:tcBorders/>
            <w:shd w:fill="auto" w:val="clear"/>
            <w:vAlign w:val="center"/>
          </w:tcPr>
          <w:p>
            <w:pPr>
              <w:pStyle w:val="TableContents"/>
              <w:spacing w:before="0" w:after="0"/>
              <w:ind w:left="0" w:right="0" w:firstLine="780"/>
              <w:rPr/>
            </w:pPr>
            <w:r>
              <w:rPr/>
              <w:t> </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(461,023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(110,660</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(571,683</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304,028</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78,826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382,854</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Recovery of pawn loan principal through sale of forfeited collateral</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159,913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19,768</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179,681</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Additions to property and equipment</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(21,427</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(11,766</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(33,193</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 net of cash acquired</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(62,504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(62,745</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(125,249</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Dividends from unconsolidated affiliates</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2,222</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3,338</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5,560</w:t>
            </w:r>
          </w:p>
        </w:tc>
        <w:tc>
          <w:tcPr>
            <w:tcW w:w="1368"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investing activities</w:t>
            </w:r>
          </w:p>
        </w:tc>
        <w:tc>
          <w:tcPr>
            <w:tcW w:w="15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2,222</w:t>
            </w:r>
          </w:p>
        </w:tc>
        <w:tc>
          <w:tcPr>
            <w:tcW w:w="144"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top w:val="single" w:sz="2" w:space="0" w:color="000000"/>
            </w:tcBorders>
            <w:shd w:fill="CCEEFF"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(77,675</w:t>
            </w:r>
          </w:p>
        </w:tc>
        <w:tc>
          <w:tcPr>
            <w:tcW w:w="144" w:type="dxa"/>
            <w:tcBorders>
              <w:top w:val="single" w:sz="2" w:space="0" w:color="000000"/>
            </w:tcBorders>
            <w:shd w:fill="CCEEFF"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CCEEFF" w:val="clear"/>
            <w:vAlign w:val="center"/>
          </w:tcPr>
          <w:p>
            <w:pPr>
              <w:pStyle w:val="TableContents"/>
              <w:spacing w:before="0" w:after="0"/>
              <w:jc w:val="right"/>
              <w:rPr>
                <w:rFonts w:ascii="inherit" w:hAnsi="inherit"/>
                <w:sz w:val="17"/>
              </w:rPr>
            </w:pPr>
            <w:r>
              <w:rPr>
                <w:rFonts w:ascii="inherit" w:hAnsi="inherit"/>
                <w:sz w:val="17"/>
              </w:rPr>
              <w:t>(86,577</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rFonts w:ascii="inherit" w:hAnsi="inherit"/>
                <w:sz w:val="17"/>
              </w:rPr>
            </w:pPr>
            <w:r>
              <w:rPr>
                <w:rFonts w:ascii="inherit" w:hAnsi="inherit"/>
                <w:sz w:val="17"/>
              </w:rPr>
              <w:t>(162,030</w:t>
            </w:r>
          </w:p>
        </w:tc>
        <w:tc>
          <w:tcPr>
            <w:tcW w:w="13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276"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20"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1325" w:type="dxa"/>
            <w:gridSpan w:val="3"/>
            <w:tcBorders/>
            <w:shd w:fill="auto" w:val="clear"/>
            <w:vAlign w:val="center"/>
          </w:tcPr>
          <w:p>
            <w:pPr>
              <w:pStyle w:val="TableContents"/>
              <w:spacing w:before="0" w:after="0"/>
              <w:ind w:left="0" w:right="0" w:firstLine="30"/>
              <w:rPr/>
            </w:pPr>
            <w:r>
              <w:rPr/>
              <w:t> </w:t>
            </w:r>
          </w:p>
        </w:tc>
        <w:tc>
          <w:tcPr>
            <w:tcW w:w="125" w:type="dxa"/>
            <w:tcBorders/>
            <w:shd w:fill="auto" w:val="clear"/>
            <w:vAlign w:val="center"/>
          </w:tcPr>
          <w:p>
            <w:pPr>
              <w:pStyle w:val="TableContents"/>
              <w:spacing w:before="0" w:after="0"/>
              <w:ind w:left="0" w:right="0" w:firstLine="30"/>
              <w:rPr/>
            </w:pPr>
            <w:r>
              <w:rPr/>
              <w:t> </w:t>
            </w:r>
          </w:p>
        </w:tc>
        <w:tc>
          <w:tcPr>
            <w:tcW w:w="2602" w:type="dxa"/>
            <w:gridSpan w:val="3"/>
            <w:tcBorders/>
            <w:shd w:fill="auto" w:val="clear"/>
            <w:vAlign w:val="center"/>
          </w:tcPr>
          <w:p>
            <w:pPr>
              <w:pStyle w:val="TableContents"/>
              <w:spacing w:before="0" w:after="0"/>
              <w:ind w:left="0" w:right="0" w:firstLine="780"/>
              <w:rPr/>
            </w:pPr>
            <w:r>
              <w:rPr/>
              <w:t> </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exercise of stock options</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647</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647</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1,582</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1,582</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Taxes paid related to net share settlement of equity awards</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(1,153</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 in restricted cash</w:t>
            </w:r>
          </w:p>
        </w:tc>
        <w:tc>
          <w:tcPr>
            <w:tcW w:w="1132"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(1,085</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revolving line of credit</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590,700</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4,109</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594,809</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revolving line of credit</w:t>
            </w:r>
          </w:p>
        </w:tc>
        <w:tc>
          <w:tcPr>
            <w:tcW w:w="113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(493,500</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shd w:fill="auto" w:val="clear"/>
            <w:vAlign w:val="center"/>
          </w:tcPr>
          <w:p>
            <w:pPr>
              <w:pStyle w:val="TableContents"/>
              <w:spacing w:before="0" w:after="0"/>
              <w:jc w:val="right"/>
              <w:rPr/>
            </w:pPr>
            <w:r>
              <w:rPr/>
              <w:t>—</w:t>
            </w:r>
          </w:p>
        </w:tc>
        <w:tc>
          <w:tcPr>
            <w:tcW w:w="1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(9,075</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(502,575</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bank borrowings</w:t>
            </w:r>
          </w:p>
        </w:tc>
        <w:tc>
          <w:tcPr>
            <w:tcW w:w="1132"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pPr>
            <w:r>
              <w:rPr/>
              <w:t>—</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343</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343</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bank borrowings and capital lease obligations</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(68</w:t>
            </w:r>
          </w:p>
        </w:tc>
        <w:tc>
          <w:tcPr>
            <w:tcW w:w="14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(8,096</w:t>
            </w:r>
          </w:p>
        </w:tc>
        <w:tc>
          <w:tcPr>
            <w:tcW w:w="1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(8,164</w:t>
            </w:r>
          </w:p>
        </w:tc>
        <w:tc>
          <w:tcPr>
            <w:tcW w:w="1368"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financing activities</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shd w:fill="CCEEFF" w:val="clear"/>
            <w:vAlign w:val="center"/>
          </w:tcPr>
          <w:p>
            <w:pPr>
              <w:pStyle w:val="TableContents"/>
              <w:spacing w:before="0" w:after="0"/>
              <w:jc w:val="right"/>
              <w:rPr>
                <w:rFonts w:ascii="inherit" w:hAnsi="inherit"/>
                <w:sz w:val="17"/>
              </w:rPr>
            </w:pPr>
            <w:r>
              <w:rPr>
                <w:rFonts w:ascii="inherit" w:hAnsi="inherit"/>
                <w:sz w:val="17"/>
              </w:rPr>
              <w:t>98,276</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CCEEFF" w:val="clear"/>
            <w:vAlign w:val="center"/>
          </w:tcPr>
          <w:p>
            <w:pPr>
              <w:pStyle w:val="TableContents"/>
              <w:spacing w:before="0" w:after="0"/>
              <w:jc w:val="right"/>
              <w:rPr>
                <w:rFonts w:ascii="inherit" w:hAnsi="inherit"/>
                <w:sz w:val="17"/>
              </w:rPr>
            </w:pPr>
            <w:r>
              <w:rPr>
                <w:rFonts w:ascii="inherit" w:hAnsi="inherit"/>
                <w:sz w:val="17"/>
              </w:rPr>
              <w:t>(68</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shd w:fill="CCEEFF" w:val="clear"/>
            <w:vAlign w:val="center"/>
          </w:tcPr>
          <w:p>
            <w:pPr>
              <w:pStyle w:val="TableContents"/>
              <w:spacing w:before="0" w:after="0"/>
              <w:jc w:val="right"/>
              <w:rPr>
                <w:rFonts w:ascii="inherit" w:hAnsi="inherit"/>
                <w:sz w:val="17"/>
              </w:rPr>
            </w:pPr>
            <w:r>
              <w:rPr>
                <w:rFonts w:ascii="inherit" w:hAnsi="inherit"/>
                <w:sz w:val="17"/>
              </w:rPr>
              <w:t>(13,804</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5" w:type="dxa"/>
            <w:tcBorders/>
            <w:shd w:fill="CCEEFF" w:val="clear"/>
            <w:vAlign w:val="center"/>
          </w:tcPr>
          <w:p>
            <w:pPr>
              <w:pStyle w:val="TableContents"/>
              <w:spacing w:before="0" w:after="0"/>
              <w:ind w:left="0" w:right="0" w:firstLine="30"/>
              <w:rPr/>
            </w:pPr>
            <w:r>
              <w:rPr/>
              <w:t> </w:t>
            </w:r>
          </w:p>
        </w:tc>
        <w:tc>
          <w:tcPr>
            <w:tcW w:w="15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shd w:fill="CCEEFF" w:val="clear"/>
            <w:vAlign w:val="center"/>
          </w:tcPr>
          <w:p>
            <w:pPr>
              <w:pStyle w:val="TableContents"/>
              <w:spacing w:before="0" w:after="0"/>
              <w:jc w:val="right"/>
              <w:rPr>
                <w:rFonts w:ascii="inherit" w:hAnsi="inherit"/>
                <w:sz w:val="17"/>
              </w:rPr>
            </w:pPr>
            <w:r>
              <w:rPr>
                <w:rFonts w:ascii="inherit" w:hAnsi="inherit"/>
                <w:sz w:val="17"/>
              </w:rPr>
              <w:t>84,404</w:t>
            </w:r>
          </w:p>
        </w:tc>
        <w:tc>
          <w:tcPr>
            <w:tcW w:w="13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299</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299</w:t>
            </w:r>
          </w:p>
        </w:tc>
        <w:tc>
          <w:tcPr>
            <w:tcW w:w="13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increase in cash and cash equivalents</w:t>
            </w:r>
          </w:p>
        </w:tc>
        <w:tc>
          <w:tcPr>
            <w:tcW w:w="113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703</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7,814</w:t>
            </w:r>
          </w:p>
        </w:tc>
        <w:tc>
          <w:tcPr>
            <w:tcW w:w="1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179"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18,288</w:t>
            </w:r>
          </w:p>
        </w:tc>
        <w:tc>
          <w:tcPr>
            <w:tcW w:w="146"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234"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26,805</w:t>
            </w:r>
          </w:p>
        </w:tc>
        <w:tc>
          <w:tcPr>
            <w:tcW w:w="1368"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1132"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20,860</w:t>
            </w:r>
          </w:p>
        </w:tc>
        <w:tc>
          <w:tcPr>
            <w:tcW w:w="14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17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3,109</w:t>
            </w:r>
          </w:p>
        </w:tc>
        <w:tc>
          <w:tcPr>
            <w:tcW w:w="1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auto" w:val="clear"/>
            <w:vAlign w:val="center"/>
          </w:tcPr>
          <w:p>
            <w:pPr>
              <w:pStyle w:val="TableContents"/>
              <w:spacing w:before="0" w:after="0"/>
              <w:ind w:left="0" w:right="0" w:firstLine="30"/>
              <w:rPr/>
            </w:pPr>
            <w:r>
              <w:rPr/>
              <w:t> </w:t>
            </w:r>
          </w:p>
        </w:tc>
        <w:tc>
          <w:tcPr>
            <w:tcW w:w="123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23,969</w:t>
            </w:r>
          </w:p>
        </w:tc>
        <w:tc>
          <w:tcPr>
            <w:tcW w:w="136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0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7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703</w:t>
            </w:r>
          </w:p>
        </w:tc>
        <w:tc>
          <w:tcPr>
            <w:tcW w:w="1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28,674</w:t>
            </w:r>
          </w:p>
        </w:tc>
        <w:tc>
          <w:tcPr>
            <w:tcW w:w="14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2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21,397</w:t>
            </w:r>
          </w:p>
        </w:tc>
        <w:tc>
          <w:tcPr>
            <w:tcW w:w="1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5" w:type="dxa"/>
            <w:tcBorders/>
            <w:shd w:fill="CCEEFF" w:val="clear"/>
            <w:vAlign w:val="center"/>
          </w:tcPr>
          <w:p>
            <w:pPr>
              <w:pStyle w:val="TableContents"/>
              <w:spacing w:before="0" w:after="0"/>
              <w:ind w:left="0" w:right="0" w:firstLine="30"/>
              <w:rPr/>
            </w:pPr>
            <w:r>
              <w:rPr/>
              <w:t> </w:t>
            </w:r>
          </w:p>
        </w:tc>
        <w:tc>
          <w:tcPr>
            <w:tcW w:w="15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7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50,774</w:t>
            </w:r>
          </w:p>
        </w:tc>
        <w:tc>
          <w:tcPr>
            <w:tcW w:w="1368"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37</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3363"/>
        <w:gridCol w:w="160"/>
        <w:gridCol w:w="924"/>
        <w:gridCol w:w="145"/>
        <w:gridCol w:w="126"/>
        <w:gridCol w:w="160"/>
        <w:gridCol w:w="982"/>
        <w:gridCol w:w="145"/>
        <w:gridCol w:w="126"/>
        <w:gridCol w:w="167"/>
        <w:gridCol w:w="1017"/>
        <w:gridCol w:w="152"/>
        <w:gridCol w:w="126"/>
        <w:gridCol w:w="160"/>
        <w:gridCol w:w="1084"/>
        <w:gridCol w:w="1368"/>
      </w:tblGrid>
      <w:tr>
        <w:trPr/>
        <w:tc>
          <w:tcPr>
            <w:tcW w:w="10205" w:type="dxa"/>
            <w:gridSpan w:val="16"/>
            <w:tcBorders/>
            <w:shd w:fill="auto" w:val="clear"/>
            <w:vAlign w:val="center"/>
          </w:tcPr>
          <w:p>
            <w:pPr>
              <w:pStyle w:val="TableContents"/>
              <w:spacing w:before="0" w:after="283"/>
              <w:rPr>
                <w:sz w:val="4"/>
                <w:szCs w:val="4"/>
              </w:rPr>
            </w:pPr>
            <w:r>
              <w:rPr>
                <w:sz w:val="4"/>
                <w:szCs w:val="4"/>
              </w:rPr>
            </w:r>
          </w:p>
        </w:tc>
      </w:tr>
      <w:tr>
        <w:trPr/>
        <w:tc>
          <w:tcPr>
            <w:tcW w:w="3363"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24"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982"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1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36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363" w:type="dxa"/>
            <w:tcBorders/>
            <w:shd w:fill="auto" w:val="clear"/>
            <w:vAlign w:val="center"/>
          </w:tcPr>
          <w:p>
            <w:pPr>
              <w:pStyle w:val="TableContents"/>
              <w:spacing w:before="0" w:after="0"/>
              <w:ind w:left="0" w:right="0" w:firstLine="30"/>
              <w:jc w:val="left"/>
              <w:rPr/>
            </w:pPr>
            <w:r>
              <w:rPr/>
              <w:t> </w:t>
            </w:r>
          </w:p>
        </w:tc>
        <w:tc>
          <w:tcPr>
            <w:tcW w:w="684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Nine Months Ended June 30, 2011</w:t>
            </w:r>
          </w:p>
        </w:tc>
      </w:tr>
      <w:tr>
        <w:trPr/>
        <w:tc>
          <w:tcPr>
            <w:tcW w:w="3363" w:type="dxa"/>
            <w:tcBorders/>
            <w:shd w:fill="auto" w:val="clear"/>
            <w:vAlign w:val="center"/>
          </w:tcPr>
          <w:p>
            <w:pPr>
              <w:pStyle w:val="TableContents"/>
              <w:spacing w:before="0" w:after="0"/>
              <w:ind w:left="0" w:right="0" w:firstLine="30"/>
              <w:jc w:val="left"/>
              <w:rPr/>
            </w:pPr>
            <w:r>
              <w:rPr/>
              <w:t> </w:t>
            </w:r>
          </w:p>
        </w:tc>
        <w:tc>
          <w:tcPr>
            <w:tcW w:w="6842"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363" w:type="dxa"/>
            <w:tcBorders/>
            <w:shd w:fill="auto" w:val="clear"/>
            <w:vAlign w:val="center"/>
          </w:tcPr>
          <w:p>
            <w:pPr>
              <w:pStyle w:val="TableContents"/>
              <w:spacing w:before="0" w:after="0"/>
              <w:ind w:left="0" w:right="0" w:firstLine="30"/>
              <w:jc w:val="left"/>
              <w:rPr/>
            </w:pPr>
            <w:r>
              <w:rPr/>
              <w:t> </w:t>
            </w:r>
          </w:p>
        </w:tc>
        <w:tc>
          <w:tcPr>
            <w:tcW w:w="122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Parent</w:t>
            </w:r>
          </w:p>
        </w:tc>
        <w:tc>
          <w:tcPr>
            <w:tcW w:w="126" w:type="dxa"/>
            <w:tcBorders/>
            <w:shd w:fill="auto" w:val="clear"/>
            <w:vAlign w:val="center"/>
          </w:tcPr>
          <w:p>
            <w:pPr>
              <w:pStyle w:val="TableContents"/>
              <w:spacing w:before="0" w:after="0"/>
              <w:ind w:left="0" w:right="0" w:firstLine="30"/>
              <w:rPr/>
            </w:pPr>
            <w:r>
              <w:rPr/>
              <w:t> </w:t>
            </w:r>
          </w:p>
        </w:tc>
        <w:tc>
          <w:tcPr>
            <w:tcW w:w="1287"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Subsidiary</w:t>
            </w:r>
          </w:p>
          <w:p>
            <w:pPr>
              <w:pStyle w:val="TableContents"/>
              <w:spacing w:before="0" w:after="0"/>
              <w:ind w:left="0" w:right="0" w:firstLine="30"/>
              <w:jc w:val="center"/>
              <w:rPr>
                <w:rFonts w:ascii="inherit" w:hAnsi="inherit"/>
                <w:sz w:val="13"/>
              </w:rPr>
            </w:pPr>
            <w:r>
              <w:rPr>
                <w:rFonts w:ascii="inherit" w:hAnsi="inherit"/>
                <w:sz w:val="13"/>
              </w:rPr>
              <w:t>Guarantors</w:t>
            </w:r>
          </w:p>
        </w:tc>
        <w:tc>
          <w:tcPr>
            <w:tcW w:w="126" w:type="dxa"/>
            <w:tcBorders/>
            <w:shd w:fill="auto" w:val="clear"/>
            <w:vAlign w:val="center"/>
          </w:tcPr>
          <w:p>
            <w:pPr>
              <w:pStyle w:val="TableContents"/>
              <w:spacing w:before="0" w:after="0"/>
              <w:ind w:left="0" w:right="0" w:firstLine="30"/>
              <w:rPr/>
            </w:pPr>
            <w:r>
              <w:rPr/>
              <w:t> </w:t>
            </w:r>
          </w:p>
        </w:tc>
        <w:tc>
          <w:tcPr>
            <w:tcW w:w="1336"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sz w:val="13"/>
              </w:rPr>
            </w:pPr>
            <w:r>
              <w:rPr>
                <w:rFonts w:ascii="inherit" w:hAnsi="inherit"/>
                <w:sz w:val="13"/>
              </w:rPr>
              <w:t>Other</w:t>
            </w:r>
          </w:p>
          <w:p>
            <w:pPr>
              <w:pStyle w:val="TableContents"/>
              <w:spacing w:before="0" w:after="0"/>
              <w:ind w:left="0" w:right="0" w:firstLine="30"/>
              <w:jc w:val="center"/>
              <w:rPr>
                <w:rFonts w:ascii="inherit" w:hAnsi="inherit"/>
                <w:sz w:val="13"/>
              </w:rPr>
            </w:pPr>
            <w:r>
              <w:rPr>
                <w:rFonts w:ascii="inherit" w:hAnsi="inherit"/>
                <w:sz w:val="13"/>
              </w:rPr>
              <w:t>Subsidiaries</w:t>
            </w:r>
          </w:p>
        </w:tc>
        <w:tc>
          <w:tcPr>
            <w:tcW w:w="126" w:type="dxa"/>
            <w:tcBorders/>
            <w:shd w:fill="auto" w:val="clear"/>
            <w:vAlign w:val="center"/>
          </w:tcPr>
          <w:p>
            <w:pPr>
              <w:pStyle w:val="TableContents"/>
              <w:spacing w:before="0" w:after="0"/>
              <w:ind w:left="0" w:right="0" w:firstLine="30"/>
              <w:rPr/>
            </w:pPr>
            <w:r>
              <w:rPr/>
              <w:t> </w:t>
            </w:r>
          </w:p>
        </w:tc>
        <w:tc>
          <w:tcPr>
            <w:tcW w:w="261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Consolidated</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Activities:</w:t>
            </w:r>
          </w:p>
        </w:tc>
        <w:tc>
          <w:tcPr>
            <w:tcW w:w="1229"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87"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336"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2612" w:type="dxa"/>
            <w:gridSpan w:val="3"/>
            <w:tcBorders/>
            <w:shd w:fill="CCEEFF" w:val="clear"/>
            <w:vAlign w:val="center"/>
          </w:tcPr>
          <w:p>
            <w:pPr>
              <w:pStyle w:val="TableContents"/>
              <w:spacing w:before="0" w:after="0"/>
              <w:ind w:left="0" w:right="0" w:firstLine="420"/>
              <w:rPr/>
            </w:pPr>
            <w:r>
              <w:rPr/>
              <w:t> </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shd w:fill="auto" w:val="clear"/>
            <w:vAlign w:val="center"/>
          </w:tcPr>
          <w:p>
            <w:pPr>
              <w:pStyle w:val="TableContents"/>
              <w:spacing w:before="0" w:after="0"/>
              <w:jc w:val="right"/>
              <w:rPr>
                <w:rFonts w:ascii="inherit" w:hAnsi="inherit"/>
                <w:sz w:val="17"/>
              </w:rPr>
            </w:pPr>
            <w:r>
              <w:rPr>
                <w:rFonts w:ascii="inherit" w:hAnsi="inherit"/>
                <w:sz w:val="17"/>
              </w:rPr>
              <w:t>13,873</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shd w:fill="auto" w:val="clear"/>
            <w:vAlign w:val="center"/>
          </w:tcPr>
          <w:p>
            <w:pPr>
              <w:pStyle w:val="TableContents"/>
              <w:spacing w:before="0" w:after="0"/>
              <w:jc w:val="right"/>
              <w:rPr>
                <w:rFonts w:ascii="inherit" w:hAnsi="inherit"/>
                <w:sz w:val="17"/>
              </w:rPr>
            </w:pPr>
            <w:r>
              <w:rPr>
                <w:rFonts w:ascii="inherit" w:hAnsi="inherit"/>
                <w:sz w:val="17"/>
              </w:rPr>
              <w:t>74,085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auto" w:val="clear"/>
            <w:vAlign w:val="center"/>
          </w:tcPr>
          <w:p>
            <w:pPr>
              <w:pStyle w:val="TableContents"/>
              <w:spacing w:before="0" w:after="0"/>
              <w:jc w:val="right"/>
              <w:rPr>
                <w:rFonts w:ascii="inherit" w:hAnsi="inherit"/>
                <w:sz w:val="17"/>
              </w:rPr>
            </w:pPr>
            <w:r>
              <w:rPr>
                <w:rFonts w:ascii="inherit" w:hAnsi="inherit"/>
                <w:sz w:val="17"/>
              </w:rPr>
              <w:t>(2,164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85,794</w:t>
            </w:r>
          </w:p>
        </w:tc>
        <w:tc>
          <w:tcPr>
            <w:tcW w:w="136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Adjustments to reconcile net income to net cash provided by operating activities:</w:t>
            </w:r>
          </w:p>
        </w:tc>
        <w:tc>
          <w:tcPr>
            <w:tcW w:w="1229"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287"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1336" w:type="dxa"/>
            <w:gridSpan w:val="3"/>
            <w:tcBorders/>
            <w:shd w:fill="CCEEFF" w:val="clear"/>
            <w:vAlign w:val="center"/>
          </w:tcPr>
          <w:p>
            <w:pPr>
              <w:pStyle w:val="TableContents"/>
              <w:spacing w:before="0" w:after="0"/>
              <w:ind w:left="0" w:right="0" w:firstLine="30"/>
              <w:rPr/>
            </w:pPr>
            <w:r>
              <w:rPr/>
              <w:t> </w:t>
            </w:r>
          </w:p>
        </w:tc>
        <w:tc>
          <w:tcPr>
            <w:tcW w:w="126" w:type="dxa"/>
            <w:tcBorders/>
            <w:shd w:fill="CCEEFF" w:val="clear"/>
            <w:vAlign w:val="center"/>
          </w:tcPr>
          <w:p>
            <w:pPr>
              <w:pStyle w:val="TableContents"/>
              <w:spacing w:before="0" w:after="0"/>
              <w:ind w:left="0" w:right="0" w:firstLine="30"/>
              <w:rPr/>
            </w:pPr>
            <w:r>
              <w:rPr/>
              <w:t> </w:t>
            </w:r>
          </w:p>
        </w:tc>
        <w:tc>
          <w:tcPr>
            <w:tcW w:w="2612" w:type="dxa"/>
            <w:gridSpan w:val="3"/>
            <w:tcBorders/>
            <w:shd w:fill="CCEEFF" w:val="clear"/>
            <w:vAlign w:val="center"/>
          </w:tcPr>
          <w:p>
            <w:pPr>
              <w:pStyle w:val="TableContents"/>
              <w:spacing w:before="0" w:after="0"/>
              <w:ind w:left="0" w:right="0" w:firstLine="780"/>
              <w:rPr/>
            </w:pPr>
            <w:r>
              <w:rPr/>
              <w:t> </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084"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10,782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2,542</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13,324</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loss provisions</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9,296</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11,255</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income taxes</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8,341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8,571</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(gain) loss on sale or disposal of assets</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130</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Stock compensation</w:t>
            </w:r>
          </w:p>
        </w:tc>
        <w:tc>
          <w:tcPr>
            <w:tcW w:w="1084"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11,536</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11,536</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Income from investments in unconsolidated affiliates</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(6,797</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(5,360</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136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Changes in operating assets and liabilities, net of business acquisitions:</w:t>
            </w:r>
          </w:p>
        </w:tc>
        <w:tc>
          <w:tcPr>
            <w:tcW w:w="1229"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87"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36"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2612" w:type="dxa"/>
            <w:gridSpan w:val="3"/>
            <w:tcBorders/>
            <w:shd w:fill="auto" w:val="clear"/>
            <w:vAlign w:val="center"/>
          </w:tcPr>
          <w:p>
            <w:pPr>
              <w:pStyle w:val="TableContents"/>
              <w:spacing w:before="0" w:after="0"/>
              <w:ind w:left="0" w:right="0" w:firstLine="780"/>
              <w:rPr/>
            </w:pPr>
            <w:r>
              <w:rPr/>
              <w:t> </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Service charges and fees receivable, net</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(545</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(439</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(984</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084"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(292</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(914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(1,206</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Prepaid expenses, other current assets, and other assets, net</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(2,115</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713</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(3,443</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(4,845</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Accounts payable and accrued expenses</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(12,558</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(4,157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19,783</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3,068</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Customer layaway deposits</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(404</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242</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(162</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Deferred gains and other long-term liabilities</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(446</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64</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(275</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(3,166</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(3,166</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taxes receivable/payable</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1,100</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(3,195</w:t>
            </w:r>
          </w:p>
        </w:tc>
        <w:tc>
          <w:tcPr>
            <w:tcW w:w="145"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(1,358</w:t>
            </w:r>
          </w:p>
        </w:tc>
        <w:tc>
          <w:tcPr>
            <w:tcW w:w="1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(3,453</w:t>
            </w:r>
          </w:p>
        </w:tc>
        <w:tc>
          <w:tcPr>
            <w:tcW w:w="1368" w:type="dxa"/>
            <w:tcBorders>
              <w:bottom w:val="single" w:sz="2" w:space="0" w:color="000000"/>
            </w:tcBorders>
            <w:shd w:fill="auto"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operating activities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shd w:fill="CCEEFF" w:val="clear"/>
            <w:vAlign w:val="center"/>
          </w:tcPr>
          <w:p>
            <w:pPr>
              <w:pStyle w:val="TableContents"/>
              <w:spacing w:before="0" w:after="0"/>
              <w:jc w:val="right"/>
              <w:rPr>
                <w:rFonts w:ascii="inherit" w:hAnsi="inherit"/>
                <w:sz w:val="17"/>
              </w:rPr>
            </w:pPr>
            <w:r>
              <w:rPr>
                <w:rFonts w:ascii="inherit" w:hAnsi="inherit"/>
                <w:sz w:val="17"/>
              </w:rPr>
              <w:t>(1,768</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shd w:fill="CCEEFF" w:val="clear"/>
            <w:vAlign w:val="center"/>
          </w:tcPr>
          <w:p>
            <w:pPr>
              <w:pStyle w:val="TableContents"/>
              <w:spacing w:before="0" w:after="0"/>
              <w:jc w:val="right"/>
              <w:rPr>
                <w:rFonts w:ascii="inherit" w:hAnsi="inherit"/>
                <w:sz w:val="17"/>
              </w:rPr>
            </w:pPr>
            <w:r>
              <w:rPr>
                <w:rFonts w:ascii="inherit" w:hAnsi="inherit"/>
                <w:sz w:val="17"/>
              </w:rPr>
              <w:t>92,675</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CCEEFF" w:val="clear"/>
            <w:vAlign w:val="center"/>
          </w:tcPr>
          <w:p>
            <w:pPr>
              <w:pStyle w:val="TableContents"/>
              <w:spacing w:before="0" w:after="0"/>
              <w:jc w:val="right"/>
              <w:rPr>
                <w:rFonts w:ascii="inherit" w:hAnsi="inherit"/>
                <w:sz w:val="17"/>
              </w:rPr>
            </w:pPr>
            <w:r>
              <w:rPr>
                <w:rFonts w:ascii="inherit" w:hAnsi="inherit"/>
                <w:sz w:val="17"/>
              </w:rPr>
              <w:t>16,391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shd w:fill="CCEEFF" w:val="clear"/>
            <w:vAlign w:val="center"/>
          </w:tcPr>
          <w:p>
            <w:pPr>
              <w:pStyle w:val="TableContents"/>
              <w:spacing w:before="0" w:after="0"/>
              <w:jc w:val="right"/>
              <w:rPr>
                <w:rFonts w:ascii="inherit" w:hAnsi="inherit"/>
                <w:sz w:val="17"/>
              </w:rPr>
            </w:pPr>
            <w:r>
              <w:rPr>
                <w:rFonts w:ascii="inherit" w:hAnsi="inherit"/>
                <w:sz w:val="17"/>
              </w:rPr>
              <w:t>107,298</w:t>
            </w:r>
          </w:p>
        </w:tc>
        <w:tc>
          <w:tcPr>
            <w:tcW w:w="13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Investing Activities:</w:t>
            </w:r>
          </w:p>
        </w:tc>
        <w:tc>
          <w:tcPr>
            <w:tcW w:w="1229"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87"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36"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2612" w:type="dxa"/>
            <w:gridSpan w:val="3"/>
            <w:tcBorders/>
            <w:shd w:fill="auto" w:val="clear"/>
            <w:vAlign w:val="center"/>
          </w:tcPr>
          <w:p>
            <w:pPr>
              <w:pStyle w:val="TableContents"/>
              <w:spacing w:before="0" w:after="0"/>
              <w:ind w:left="0" w:right="0" w:firstLine="780"/>
              <w:rPr/>
            </w:pPr>
            <w:r>
              <w:rPr/>
              <w:t> </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Loans made</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(397,416</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(68,721</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(466,137</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Loans repaid</w:t>
            </w:r>
          </w:p>
        </w:tc>
        <w:tc>
          <w:tcPr>
            <w:tcW w:w="1084"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251,111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45,905</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297,016</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Recovery of pawn loan principal through sale of forfeited collateral</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134,668</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15,286</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149,954</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Additions to property and equipment</w:t>
            </w:r>
          </w:p>
        </w:tc>
        <w:tc>
          <w:tcPr>
            <w:tcW w:w="1084"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(17,457</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(6,867</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(24,324</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Acquisitions, net of cash acquired</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(64,823</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(64,823</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Dividends from unconsolidated affiliates</w:t>
            </w:r>
          </w:p>
        </w:tc>
        <w:tc>
          <w:tcPr>
            <w:tcW w:w="108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4,116</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3,158</w:t>
            </w:r>
          </w:p>
        </w:tc>
        <w:tc>
          <w:tcPr>
            <w:tcW w:w="14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7,274</w:t>
            </w:r>
          </w:p>
        </w:tc>
        <w:tc>
          <w:tcPr>
            <w:tcW w:w="1368" w:type="dxa"/>
            <w:tcBorders>
              <w:bottom w:val="single" w:sz="2" w:space="0" w:color="000000"/>
            </w:tcBorders>
            <w:shd w:fill="auto" w:val="clear"/>
            <w:tcMar>
              <w:bottom w:w="28" w:type="dxa"/>
            </w:tcMar>
            <w:vAlign w:val="center"/>
          </w:tcPr>
          <w:p>
            <w:pPr>
              <w:pStyle w:val="TableContents"/>
              <w:spacing w:before="0" w:after="0"/>
              <w:ind w:left="0" w:right="0" w:firstLine="126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cash provided by (used in) investing activities</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shd w:fill="CCEEFF" w:val="clear"/>
            <w:vAlign w:val="center"/>
          </w:tcPr>
          <w:p>
            <w:pPr>
              <w:pStyle w:val="TableContents"/>
              <w:spacing w:before="0" w:after="0"/>
              <w:jc w:val="right"/>
              <w:rPr>
                <w:rFonts w:ascii="inherit" w:hAnsi="inherit"/>
                <w:sz w:val="17"/>
              </w:rPr>
            </w:pPr>
            <w:r>
              <w:rPr>
                <w:rFonts w:ascii="inherit" w:hAnsi="inherit"/>
                <w:sz w:val="17"/>
              </w:rPr>
              <w:t>4,116</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shd w:fill="CCEEFF" w:val="clear"/>
            <w:vAlign w:val="center"/>
          </w:tcPr>
          <w:p>
            <w:pPr>
              <w:pStyle w:val="TableContents"/>
              <w:spacing w:before="0" w:after="0"/>
              <w:jc w:val="right"/>
              <w:rPr>
                <w:rFonts w:ascii="inherit" w:hAnsi="inherit"/>
                <w:sz w:val="17"/>
              </w:rPr>
            </w:pPr>
            <w:r>
              <w:rPr>
                <w:rFonts w:ascii="inherit" w:hAnsi="inherit"/>
                <w:sz w:val="17"/>
              </w:rPr>
              <w:t>(90,759</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6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CCEEFF" w:val="clear"/>
            <w:vAlign w:val="center"/>
          </w:tcPr>
          <w:p>
            <w:pPr>
              <w:pStyle w:val="TableContents"/>
              <w:spacing w:before="0" w:after="0"/>
              <w:jc w:val="right"/>
              <w:rPr>
                <w:rFonts w:ascii="inherit" w:hAnsi="inherit"/>
                <w:sz w:val="17"/>
              </w:rPr>
            </w:pPr>
            <w:r>
              <w:rPr>
                <w:rFonts w:ascii="inherit" w:hAnsi="inherit"/>
                <w:sz w:val="17"/>
              </w:rPr>
              <w:t>(14,397</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6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shd w:fill="CCEEFF" w:val="clear"/>
            <w:vAlign w:val="center"/>
          </w:tcPr>
          <w:p>
            <w:pPr>
              <w:pStyle w:val="TableContents"/>
              <w:spacing w:before="0" w:after="0"/>
              <w:jc w:val="right"/>
              <w:rPr>
                <w:rFonts w:ascii="inherit" w:hAnsi="inherit"/>
                <w:sz w:val="17"/>
              </w:rPr>
            </w:pPr>
            <w:r>
              <w:rPr>
                <w:rFonts w:ascii="inherit" w:hAnsi="inherit"/>
                <w:sz w:val="17"/>
              </w:rPr>
              <w:t>(101,040</w:t>
            </w:r>
          </w:p>
        </w:tc>
        <w:tc>
          <w:tcPr>
            <w:tcW w:w="136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Financing Activities:</w:t>
            </w:r>
          </w:p>
        </w:tc>
        <w:tc>
          <w:tcPr>
            <w:tcW w:w="1229"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287"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1336" w:type="dxa"/>
            <w:gridSpan w:val="3"/>
            <w:tcBorders/>
            <w:shd w:fill="auto" w:val="clear"/>
            <w:vAlign w:val="center"/>
          </w:tcPr>
          <w:p>
            <w:pPr>
              <w:pStyle w:val="TableContents"/>
              <w:spacing w:before="0" w:after="0"/>
              <w:ind w:left="0" w:right="0" w:firstLine="30"/>
              <w:rPr/>
            </w:pPr>
            <w:r>
              <w:rPr/>
              <w:t> </w:t>
            </w:r>
          </w:p>
        </w:tc>
        <w:tc>
          <w:tcPr>
            <w:tcW w:w="126" w:type="dxa"/>
            <w:tcBorders/>
            <w:shd w:fill="auto" w:val="clear"/>
            <w:vAlign w:val="center"/>
          </w:tcPr>
          <w:p>
            <w:pPr>
              <w:pStyle w:val="TableContents"/>
              <w:spacing w:before="0" w:after="0"/>
              <w:ind w:left="0" w:right="0" w:firstLine="30"/>
              <w:rPr/>
            </w:pPr>
            <w:r>
              <w:rPr/>
              <w:t> </w:t>
            </w:r>
          </w:p>
        </w:tc>
        <w:tc>
          <w:tcPr>
            <w:tcW w:w="2612" w:type="dxa"/>
            <w:gridSpan w:val="3"/>
            <w:tcBorders/>
            <w:shd w:fill="auto" w:val="clear"/>
            <w:vAlign w:val="center"/>
          </w:tcPr>
          <w:p>
            <w:pPr>
              <w:pStyle w:val="TableContents"/>
              <w:spacing w:before="0" w:after="0"/>
              <w:ind w:left="0" w:right="0" w:firstLine="780"/>
              <w:rPr/>
            </w:pPr>
            <w:r>
              <w:rPr/>
              <w:t> </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from exercise of stock options</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395</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395</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Excess tax benefit from stock compensation</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3,166</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3,166</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Debt issuance cost</w:t>
            </w:r>
          </w:p>
        </w:tc>
        <w:tc>
          <w:tcPr>
            <w:tcW w:w="1084"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(2,397</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(2,397</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Taxes paid related to net share settlement of equity awards</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(7,409</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(7,409</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Proceeds on revolving line of credit</w:t>
            </w:r>
          </w:p>
        </w:tc>
        <w:tc>
          <w:tcPr>
            <w:tcW w:w="108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70,000</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shd w:fill="CCEEFF" w:val="clear"/>
            <w:vAlign w:val="center"/>
          </w:tcPr>
          <w:p>
            <w:pPr>
              <w:pStyle w:val="TableContents"/>
              <w:spacing w:before="0" w:after="0"/>
              <w:jc w:val="right"/>
              <w:rPr/>
            </w:pPr>
            <w:r>
              <w:rPr/>
              <w:t>—</w:t>
            </w:r>
          </w:p>
        </w:tc>
        <w:tc>
          <w:tcPr>
            <w:tcW w:w="1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shd w:fill="CCEEFF" w:val="clear"/>
            <w:vAlign w:val="center"/>
          </w:tcPr>
          <w:p>
            <w:pPr>
              <w:pStyle w:val="TableContents"/>
              <w:spacing w:before="0" w:after="0"/>
              <w:jc w:val="right"/>
              <w:rPr/>
            </w:pPr>
            <w:r>
              <w:rPr/>
              <w:t>—</w:t>
            </w:r>
          </w:p>
        </w:tc>
        <w:tc>
          <w:tcPr>
            <w:tcW w:w="1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70,000</w:t>
            </w:r>
          </w:p>
        </w:tc>
        <w:tc>
          <w:tcPr>
            <w:tcW w:w="136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Payments on revolving line of credit</w:t>
            </w:r>
          </w:p>
        </w:tc>
        <w:tc>
          <w:tcPr>
            <w:tcW w:w="10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(43,500</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(43,500</w:t>
            </w:r>
          </w:p>
        </w:tc>
        <w:tc>
          <w:tcPr>
            <w:tcW w:w="136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Payments on bank borrowings</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(25,000</w:t>
            </w:r>
          </w:p>
        </w:tc>
        <w:tc>
          <w:tcPr>
            <w:tcW w:w="1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w:t>
            </w:r>
          </w:p>
        </w:tc>
        <w:tc>
          <w:tcPr>
            <w:tcW w:w="145"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(25,004</w:t>
            </w:r>
          </w:p>
        </w:tc>
        <w:tc>
          <w:tcPr>
            <w:tcW w:w="1368" w:type="dxa"/>
            <w:tcBorders>
              <w:bottom w:val="single" w:sz="2" w:space="0" w:color="000000"/>
            </w:tcBorders>
            <w:shd w:fill="CCEEFF" w:val="clear"/>
            <w:tcMar>
              <w:bottom w:w="30" w:type="dxa"/>
            </w:tcMar>
            <w:vAlign w:val="center"/>
          </w:tcPr>
          <w:p>
            <w:pPr>
              <w:pStyle w:val="TableContents"/>
              <w:spacing w:before="0" w:after="0"/>
              <w:ind w:left="0" w:right="0" w:firstLine="1260"/>
              <w:jc w:val="left"/>
              <w:rPr>
                <w:rFonts w:ascii="inherit" w:hAnsi="inherit"/>
                <w:sz w:val="17"/>
              </w:rPr>
            </w:pPr>
            <w:r>
              <w:rPr>
                <w:rFonts w:ascii="inherit" w:hAnsi="inherit"/>
                <w:sz w:val="17"/>
              </w:rPr>
              <w:t>)</w:t>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cash used in financing activities</w:t>
            </w:r>
          </w:p>
        </w:tc>
        <w:tc>
          <w:tcPr>
            <w:tcW w:w="160" w:type="dxa"/>
            <w:tcBorders>
              <w:top w:val="single" w:sz="2" w:space="0" w:color="000000"/>
            </w:tcBorders>
            <w:shd w:fill="auto" w:val="clear"/>
            <w:tcMar>
              <w:top w:w="30" w:type="dxa"/>
            </w:tcM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top w:val="single" w:sz="2" w:space="0" w:color="000000"/>
            </w:tcBorders>
            <w:shd w:fill="auto" w:val="clear"/>
            <w:tcMar>
              <w:top w:w="30" w:type="dxa"/>
            </w:tcMar>
            <w:vAlign w:val="center"/>
          </w:tcPr>
          <w:p>
            <w:pPr>
              <w:pStyle w:val="TableContents"/>
              <w:spacing w:before="0" w:after="0"/>
              <w:jc w:val="right"/>
              <w:rPr>
                <w:rFonts w:ascii="inherit" w:hAnsi="inherit"/>
                <w:sz w:val="17"/>
              </w:rPr>
            </w:pPr>
            <w:r>
              <w:rPr>
                <w:rFonts w:ascii="inherit" w:hAnsi="inherit"/>
                <w:sz w:val="17"/>
              </w:rPr>
              <w:t>(2,348</w:t>
            </w:r>
          </w:p>
        </w:tc>
        <w:tc>
          <w:tcPr>
            <w:tcW w:w="145" w:type="dxa"/>
            <w:tcBorders>
              <w:top w:val="single" w:sz="2" w:space="0" w:color="000000"/>
            </w:tcBorders>
            <w:shd w:fill="auto" w:val="clear"/>
            <w:tcMar>
              <w:top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shd w:fill="auto" w:val="clear"/>
            <w:vAlign w:val="center"/>
          </w:tcPr>
          <w:p>
            <w:pPr>
              <w:pStyle w:val="TableContents"/>
              <w:spacing w:before="0" w:after="0"/>
              <w:jc w:val="right"/>
              <w:rPr>
                <w:rFonts w:ascii="inherit" w:hAnsi="inherit"/>
                <w:sz w:val="17"/>
              </w:rPr>
            </w:pPr>
            <w:r>
              <w:rPr>
                <w:rFonts w:ascii="inherit" w:hAnsi="inherit"/>
                <w:sz w:val="17"/>
              </w:rPr>
              <w:t>(2,401</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6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shd w:fill="auto" w:val="clear"/>
            <w:vAlign w:val="center"/>
          </w:tcPr>
          <w:p>
            <w:pPr>
              <w:pStyle w:val="TableContents"/>
              <w:spacing w:before="0" w:after="0"/>
              <w:jc w:val="right"/>
              <w:rPr/>
            </w:pPr>
            <w:r>
              <w:rPr/>
              <w:t>—</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shd w:fill="auto" w:val="clear"/>
            <w:vAlign w:val="center"/>
          </w:tcPr>
          <w:p>
            <w:pPr>
              <w:pStyle w:val="TableContents"/>
              <w:spacing w:before="0" w:after="0"/>
              <w:jc w:val="right"/>
              <w:rPr>
                <w:rFonts w:ascii="inherit" w:hAnsi="inherit"/>
                <w:sz w:val="17"/>
              </w:rPr>
            </w:pPr>
            <w:r>
              <w:rPr>
                <w:rFonts w:ascii="inherit" w:hAnsi="inherit"/>
                <w:sz w:val="17"/>
              </w:rPr>
              <w:t>(4,749</w:t>
            </w:r>
          </w:p>
        </w:tc>
        <w:tc>
          <w:tcPr>
            <w:tcW w:w="1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Effect of exchange rate changes on cash and cash equivalents</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129</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129</w:t>
            </w:r>
          </w:p>
        </w:tc>
        <w:tc>
          <w:tcPr>
            <w:tcW w:w="13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(decrease) increase in cash and cash equivalents</w:t>
            </w:r>
          </w:p>
        </w:tc>
        <w:tc>
          <w:tcPr>
            <w:tcW w:w="1084" w:type="dxa"/>
            <w:gridSpan w:val="2"/>
            <w:tcBorders/>
            <w:shd w:fill="auto" w:val="clear"/>
            <w:vAlign w:val="center"/>
          </w:tcPr>
          <w:p>
            <w:pPr>
              <w:pStyle w:val="TableContents"/>
              <w:spacing w:before="0" w:after="0"/>
              <w:jc w:val="right"/>
              <w:rPr/>
            </w:pPr>
            <w:r>
              <w:rPr/>
              <w:t>—</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142"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(485</w:t>
            </w:r>
          </w:p>
        </w:tc>
        <w:tc>
          <w:tcPr>
            <w:tcW w:w="1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26" w:type="dxa"/>
            <w:tcBorders/>
            <w:shd w:fill="auto" w:val="clear"/>
            <w:vAlign w:val="center"/>
          </w:tcPr>
          <w:p>
            <w:pPr>
              <w:pStyle w:val="TableContents"/>
              <w:spacing w:before="0" w:after="0"/>
              <w:ind w:left="0" w:right="0" w:firstLine="30"/>
              <w:rPr/>
            </w:pPr>
            <w:r>
              <w:rPr/>
              <w:t> </w:t>
            </w:r>
          </w:p>
        </w:tc>
        <w:tc>
          <w:tcPr>
            <w:tcW w:w="118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2,123</w:t>
            </w:r>
          </w:p>
        </w:tc>
        <w:tc>
          <w:tcPr>
            <w:tcW w:w="1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244"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1,638</w:t>
            </w:r>
          </w:p>
        </w:tc>
        <w:tc>
          <w:tcPr>
            <w:tcW w:w="136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beginning of period</w:t>
            </w:r>
          </w:p>
        </w:tc>
        <w:tc>
          <w:tcPr>
            <w:tcW w:w="1084"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42"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23,862</w:t>
            </w:r>
          </w:p>
        </w:tc>
        <w:tc>
          <w:tcPr>
            <w:tcW w:w="145"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18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1,992</w:t>
            </w:r>
          </w:p>
        </w:tc>
        <w:tc>
          <w:tcPr>
            <w:tcW w:w="1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CCEEFF" w:val="clear"/>
            <w:vAlign w:val="center"/>
          </w:tcPr>
          <w:p>
            <w:pPr>
              <w:pStyle w:val="TableContents"/>
              <w:spacing w:before="0" w:after="0"/>
              <w:ind w:left="0" w:right="0" w:firstLine="30"/>
              <w:rPr/>
            </w:pPr>
            <w:r>
              <w:rPr/>
              <w:t> </w:t>
            </w:r>
          </w:p>
        </w:tc>
        <w:tc>
          <w:tcPr>
            <w:tcW w:w="1244"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25,854</w:t>
            </w:r>
          </w:p>
        </w:tc>
        <w:tc>
          <w:tcPr>
            <w:tcW w:w="1368"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36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Cash and cash equivalents at end of period</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24"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23,377</w:t>
            </w:r>
          </w:p>
        </w:tc>
        <w:tc>
          <w:tcPr>
            <w:tcW w:w="145"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1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4,115</w:t>
            </w:r>
          </w:p>
        </w:tc>
        <w:tc>
          <w:tcPr>
            <w:tcW w:w="15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26" w:type="dxa"/>
            <w:tcBorders/>
            <w:shd w:fill="auto" w:val="clear"/>
            <w:vAlign w:val="center"/>
          </w:tcPr>
          <w:p>
            <w:pPr>
              <w:pStyle w:val="TableContents"/>
              <w:spacing w:before="0" w:after="0"/>
              <w:ind w:left="0" w:right="0" w:firstLine="30"/>
              <w:rPr/>
            </w:pPr>
            <w:r>
              <w:rPr/>
              <w:t> </w:t>
            </w:r>
          </w:p>
        </w:tc>
        <w:tc>
          <w:tcPr>
            <w:tcW w:w="160"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0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27,492</w:t>
            </w:r>
          </w:p>
        </w:tc>
        <w:tc>
          <w:tcPr>
            <w:tcW w:w="1368"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30" w:name="sA275FC686793109C2525A41247F71BCB"/>
      <w:bookmarkStart w:id="31" w:name="sA275FC686793109C2525A41247F71BCB"/>
      <w:bookmarkEnd w:id="31"/>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38</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Note O. Supplemental Consolidated Financial Information</w:t>
      </w:r>
    </w:p>
    <w:p>
      <w:pPr>
        <w:pStyle w:val="TextBody"/>
        <w:spacing w:lineRule="auto" w:line="288" w:before="0" w:after="0"/>
        <w:rPr>
          <w:rFonts w:ascii="inherit" w:hAnsi="inherit"/>
          <w:sz w:val="17"/>
          <w:u w:val="single"/>
        </w:rPr>
      </w:pPr>
      <w:r>
        <w:rPr>
          <w:rFonts w:ascii="inherit" w:hAnsi="inherit"/>
          <w:sz w:val="17"/>
          <w:u w:val="single"/>
        </w:rPr>
        <w:t>Supplemental Consolidated Statements of Financial Position Information:</w:t>
      </w:r>
    </w:p>
    <w:p>
      <w:pPr>
        <w:pStyle w:val="TextBody"/>
        <w:spacing w:lineRule="auto" w:line="288" w:before="0" w:after="0"/>
        <w:rPr>
          <w:rFonts w:ascii="inherit" w:hAnsi="inherit"/>
          <w:sz w:val="17"/>
        </w:rPr>
      </w:pPr>
      <w:r>
        <w:rPr>
          <w:rFonts w:ascii="inherit" w:hAnsi="inherit"/>
          <w:sz w:val="17"/>
        </w:rPr>
        <w:t>The following table provides information on amounts included in pawn service charges receivable, net, consumer loan fees, net, inventories, net and property and equipment, net: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571"/>
        <w:gridCol w:w="173"/>
        <w:gridCol w:w="1212"/>
        <w:gridCol w:w="159"/>
        <w:gridCol w:w="140"/>
        <w:gridCol w:w="173"/>
        <w:gridCol w:w="1212"/>
        <w:gridCol w:w="159"/>
        <w:gridCol w:w="140"/>
        <w:gridCol w:w="173"/>
        <w:gridCol w:w="1212"/>
        <w:gridCol w:w="88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4571"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212" w:type="dxa"/>
            <w:tcBorders/>
            <w:shd w:fill="auto" w:val="clear"/>
            <w:vAlign w:val="center"/>
          </w:tcPr>
          <w:p>
            <w:pPr>
              <w:pStyle w:val="TableContents"/>
              <w:spacing w:before="0" w:after="283"/>
              <w:rPr>
                <w:sz w:val="4"/>
                <w:szCs w:val="4"/>
              </w:rPr>
            </w:pPr>
            <w:r>
              <w:rPr>
                <w:sz w:val="4"/>
                <w:szCs w:val="4"/>
              </w:rPr>
            </w:r>
          </w:p>
        </w:tc>
        <w:tc>
          <w:tcPr>
            <w:tcW w:w="88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571" w:type="dxa"/>
            <w:tcBorders/>
            <w:shd w:fill="auto" w:val="clear"/>
            <w:vAlign w:val="center"/>
          </w:tcPr>
          <w:p>
            <w:pPr>
              <w:pStyle w:val="TableContents"/>
              <w:spacing w:before="0" w:after="0"/>
              <w:ind w:left="0" w:right="0" w:firstLine="30"/>
              <w:jc w:val="left"/>
              <w:rPr/>
            </w:pPr>
            <w:r>
              <w:rPr/>
              <w:t> </w:t>
            </w:r>
          </w:p>
        </w:tc>
        <w:tc>
          <w:tcPr>
            <w:tcW w:w="322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4571" w:type="dxa"/>
            <w:tcBorders/>
            <w:shd w:fill="auto" w:val="clear"/>
            <w:vAlign w:val="center"/>
          </w:tcPr>
          <w:p>
            <w:pPr>
              <w:pStyle w:val="TableContents"/>
              <w:spacing w:before="0" w:after="0"/>
              <w:ind w:left="0" w:right="0" w:firstLine="30"/>
              <w:jc w:val="left"/>
              <w:rPr/>
            </w:pPr>
            <w:r>
              <w:rPr/>
              <w:t> </w:t>
            </w:r>
          </w:p>
        </w:tc>
        <w:tc>
          <w:tcPr>
            <w:tcW w:w="1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4571" w:type="dxa"/>
            <w:tcBorders/>
            <w:shd w:fill="auto" w:val="clear"/>
            <w:vAlign w:val="center"/>
          </w:tcPr>
          <w:p>
            <w:pPr>
              <w:pStyle w:val="TableContents"/>
              <w:spacing w:before="0" w:after="0"/>
              <w:ind w:left="0" w:right="0" w:firstLine="30"/>
              <w:jc w:val="left"/>
              <w:rPr/>
            </w:pPr>
            <w:r>
              <w:rPr/>
              <w:t> </w:t>
            </w:r>
          </w:p>
        </w:tc>
        <w:tc>
          <w:tcPr>
            <w:tcW w:w="5634" w:type="dxa"/>
            <w:gridSpan w:val="11"/>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pawn service charges receivable</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37,127</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34,739</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37,175</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pawn service charges receivable</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(11,035</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(10,367</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(10,720</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 receivable,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26,092</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24,372</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26,455</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consumer loan fees receivable</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30,097</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7,381</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7,346</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Allowance for uncollectible consumer loan fees receivable</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(4,368</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(497</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(571</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 receivable,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25,729</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6,884</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6,775</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shd w:fill="auto" w:val="cle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gross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100,970</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87,066</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99,854</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Inventory reserves</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(6,549</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(8,035</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(9,481</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Inventory,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94,421</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79,031</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90,373</w:t>
            </w:r>
          </w:p>
        </w:tc>
        <w:tc>
          <w:tcPr>
            <w:tcW w:w="881"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1544" w:type="dxa"/>
            <w:gridSpan w:val="3"/>
            <w:tcBorders/>
            <w:shd w:fill="auto" w:val="clear"/>
            <w:vAlign w:val="center"/>
          </w:tcPr>
          <w:p>
            <w:pPr>
              <w:pStyle w:val="TableContents"/>
              <w:spacing w:before="0" w:after="0"/>
              <w:ind w:left="0" w:right="0" w:firstLine="30"/>
              <w:rPr/>
            </w:pPr>
            <w:r>
              <w:rPr/>
              <w:t> </w:t>
            </w:r>
          </w:p>
        </w:tc>
        <w:tc>
          <w:tcPr>
            <w:tcW w:w="140" w:type="dxa"/>
            <w:tcBorders/>
            <w:shd w:fill="auto" w:val="clear"/>
            <w:vAlign w:val="center"/>
          </w:tcPr>
          <w:p>
            <w:pPr>
              <w:pStyle w:val="TableContents"/>
              <w:spacing w:before="0" w:after="0"/>
              <w:ind w:left="0" w:right="0" w:firstLine="30"/>
              <w:rPr/>
            </w:pPr>
            <w:r>
              <w:rPr/>
              <w:t> </w:t>
            </w:r>
          </w:p>
        </w:tc>
        <w:tc>
          <w:tcPr>
            <w:tcW w:w="2266" w:type="dxa"/>
            <w:gridSpan w:val="3"/>
            <w:tcBorders>
              <w:top w:val="double" w:sz="6" w:space="0" w:color="000000"/>
            </w:tcBorders>
            <w:shd w:fill="auto" w:val="clear"/>
            <w:tcMar>
              <w:top w:w="30" w:type="dxa"/>
            </w:tcMar>
            <w:vAlign w:val="center"/>
          </w:tcPr>
          <w:p>
            <w:pPr>
              <w:pStyle w:val="TableContents"/>
              <w:spacing w:before="0" w:after="0"/>
              <w:ind w:left="0" w:right="0" w:firstLine="420"/>
              <w:rPr/>
            </w:pPr>
            <w:r>
              <w:rPr/>
              <w:t> </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gross</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245,487</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200,728</w:t>
            </w:r>
          </w:p>
        </w:tc>
        <w:tc>
          <w:tcPr>
            <w:tcW w:w="15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shd w:fill="CCEEFF" w:val="clear"/>
            <w:vAlign w:val="center"/>
          </w:tcPr>
          <w:p>
            <w:pPr>
              <w:pStyle w:val="TableContents"/>
              <w:spacing w:before="0" w:after="0"/>
              <w:jc w:val="right"/>
              <w:rPr>
                <w:rFonts w:ascii="inherit" w:hAnsi="inherit"/>
                <w:sz w:val="17"/>
              </w:rPr>
            </w:pPr>
            <w:r>
              <w:rPr>
                <w:rFonts w:ascii="inherit" w:hAnsi="inherit"/>
                <w:sz w:val="17"/>
              </w:rPr>
              <w:t>207,392</w:t>
            </w:r>
          </w:p>
        </w:tc>
        <w:tc>
          <w:tcPr>
            <w:tcW w:w="88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457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Accumulated depreciation</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(145,291</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(125,679</w:t>
            </w:r>
          </w:p>
        </w:tc>
        <w:tc>
          <w:tcPr>
            <w:tcW w:w="159"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0" w:type="dxa"/>
            <w:tcBorders/>
            <w:shd w:fill="auto" w:val="clear"/>
            <w:vAlign w:val="center"/>
          </w:tcPr>
          <w:p>
            <w:pPr>
              <w:pStyle w:val="TableContents"/>
              <w:spacing w:before="0" w:after="0"/>
              <w:ind w:left="0" w:right="0" w:firstLine="30"/>
              <w:rPr/>
            </w:pPr>
            <w:r>
              <w:rPr/>
              <w:t> </w:t>
            </w:r>
          </w:p>
        </w:tc>
        <w:tc>
          <w:tcPr>
            <w:tcW w:w="138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(128,894</w:t>
            </w:r>
          </w:p>
        </w:tc>
        <w:tc>
          <w:tcPr>
            <w:tcW w:w="881" w:type="dxa"/>
            <w:tcBorders>
              <w:bottom w:val="single" w:sz="2" w:space="0" w:color="000000"/>
            </w:tcBorders>
            <w:shd w:fill="auto" w:val="clear"/>
            <w:tcMar>
              <w:bottom w:w="30" w:type="dxa"/>
            </w:tcM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57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Property and equipment, net</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100,196</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75,049</w:t>
            </w:r>
          </w:p>
        </w:tc>
        <w:tc>
          <w:tcPr>
            <w:tcW w:w="15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0" w:type="dxa"/>
            <w:tcBorders/>
            <w:shd w:fill="CCEEFF" w:val="clear"/>
            <w:vAlign w:val="center"/>
          </w:tcPr>
          <w:p>
            <w:pPr>
              <w:pStyle w:val="TableContents"/>
              <w:spacing w:before="0" w:after="0"/>
              <w:ind w:left="0" w:right="0" w:firstLine="30"/>
              <w:rPr/>
            </w:pPr>
            <w:r>
              <w:rPr/>
              <w:t> </w:t>
            </w:r>
          </w:p>
        </w:tc>
        <w:tc>
          <w:tcPr>
            <w:tcW w:w="17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78,498</w:t>
            </w:r>
          </w:p>
        </w:tc>
        <w:tc>
          <w:tcPr>
            <w:tcW w:w="881"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Property and equipment at June 30, 2012 includes approximately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of equipment leased under a capital lease. Amortization of equipment under capital leases is included with depreciation expense and was immaterial for the three and nine-month periods ended June 30, 2012. Future minimum lease payments related to capital leases are </w:t>
      </w:r>
      <w:r>
        <w:rPr>
          <w:rFonts w:ascii="inherit" w:hAnsi="inherit"/>
          <w:strike w:val="false"/>
          <w:dstrike w:val="false"/>
          <w:color w:val="000000"/>
          <w:sz w:val="17"/>
          <w:u w:val="none"/>
          <w:effect w:val="none"/>
        </w:rPr>
        <w:t>$0.5 million</w:t>
      </w:r>
      <w:r>
        <w:rPr>
          <w:rFonts w:ascii="inherit" w:hAnsi="inherit"/>
          <w:sz w:val="17"/>
        </w:rPr>
        <w:t xml:space="preserve">, </w:t>
      </w:r>
      <w:r>
        <w:rPr>
          <w:rFonts w:ascii="inherit" w:hAnsi="inherit"/>
          <w:strike w:val="false"/>
          <w:dstrike w:val="false"/>
          <w:color w:val="000000"/>
          <w:sz w:val="17"/>
          <w:u w:val="none"/>
          <w:effect w:val="none"/>
        </w:rPr>
        <w:t>$0.5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due within one, two and three years respectively, for a total of </w:t>
      </w:r>
      <w:r>
        <w:rPr>
          <w:rFonts w:ascii="inherit" w:hAnsi="inherit"/>
          <w:strike w:val="false"/>
          <w:dstrike w:val="false"/>
          <w:color w:val="000000"/>
          <w:sz w:val="17"/>
          <w:u w:val="none"/>
          <w:effect w:val="none"/>
        </w:rPr>
        <w:t>$1.3 million</w:t>
      </w:r>
      <w:r>
        <w:rPr>
          <w:rFonts w:ascii="inherit" w:hAnsi="inherit"/>
          <w:sz w:val="17"/>
        </w:rPr>
        <w:t xml:space="preserve">, of this amount </w:t>
      </w:r>
      <w:r>
        <w:rPr>
          <w:rFonts w:ascii="inherit" w:hAnsi="inherit"/>
          <w:strike w:val="false"/>
          <w:dstrike w:val="false"/>
          <w:color w:val="000000"/>
          <w:sz w:val="17"/>
          <w:u w:val="none"/>
          <w:effect w:val="none"/>
        </w:rPr>
        <w:t>$0.2 million</w:t>
      </w:r>
      <w:r>
        <w:rPr>
          <w:sz w:val="17"/>
        </w:rPr>
        <w:t xml:space="preserve"> </w:t>
      </w:r>
      <w:r>
        <w:rPr>
          <w:rFonts w:ascii="inherit" w:hAnsi="inherit"/>
          <w:sz w:val="17"/>
        </w:rPr>
        <w:t xml:space="preserve">represents interest, and the present value of net minimum lease payments as of June 30, 2012 was </w:t>
      </w:r>
      <w:r>
        <w:rPr>
          <w:rFonts w:ascii="inherit" w:hAnsi="inherit"/>
          <w:strike w:val="false"/>
          <w:dstrike w:val="false"/>
          <w:color w:val="000000"/>
          <w:sz w:val="17"/>
          <w:u w:val="none"/>
          <w:effect w:val="none"/>
        </w:rPr>
        <w:t>$1.1 million</w:t>
      </w:r>
      <w:r>
        <w:rPr>
          <w:rFonts w:ascii="inherit" w:hAnsi="inherit"/>
          <w:sz w:val="17"/>
        </w:rPr>
        <w:t>.</w:t>
      </w:r>
    </w:p>
    <w:p>
      <w:pPr>
        <w:pStyle w:val="TextBody"/>
        <w:spacing w:lineRule="auto" w:line="288" w:before="0" w:after="0"/>
        <w:rPr>
          <w:rFonts w:ascii="inherit" w:hAnsi="inherit"/>
          <w:sz w:val="17"/>
          <w:u w:val="single"/>
        </w:rPr>
      </w:pPr>
      <w:r>
        <w:rPr>
          <w:rFonts w:ascii="inherit" w:hAnsi="inherit"/>
          <w:sz w:val="17"/>
          <w:u w:val="single"/>
        </w:rPr>
        <w:t>Other Supplemental Information:</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154"/>
        <w:gridCol w:w="175"/>
        <w:gridCol w:w="1201"/>
        <w:gridCol w:w="95"/>
        <w:gridCol w:w="146"/>
        <w:gridCol w:w="175"/>
        <w:gridCol w:w="1201"/>
        <w:gridCol w:w="95"/>
        <w:gridCol w:w="146"/>
        <w:gridCol w:w="175"/>
        <w:gridCol w:w="1201"/>
        <w:gridCol w:w="441"/>
      </w:tblGrid>
      <w:tr>
        <w:trPr/>
        <w:tc>
          <w:tcPr>
            <w:tcW w:w="10205" w:type="dxa"/>
            <w:gridSpan w:val="12"/>
            <w:tcBorders/>
            <w:shd w:fill="auto" w:val="clear"/>
            <w:vAlign w:val="center"/>
          </w:tcPr>
          <w:p>
            <w:pPr>
              <w:pStyle w:val="TableContents"/>
              <w:spacing w:before="0" w:after="283"/>
              <w:rPr>
                <w:sz w:val="4"/>
                <w:szCs w:val="4"/>
              </w:rPr>
            </w:pPr>
            <w:r>
              <w:rPr>
                <w:sz w:val="4"/>
                <w:szCs w:val="4"/>
              </w:rPr>
            </w:r>
          </w:p>
        </w:tc>
      </w:tr>
      <w:tr>
        <w:trPr/>
        <w:tc>
          <w:tcPr>
            <w:tcW w:w="515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9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201" w:type="dxa"/>
            <w:tcBorders/>
            <w:shd w:fill="auto" w:val="clear"/>
            <w:vAlign w:val="center"/>
          </w:tcPr>
          <w:p>
            <w:pPr>
              <w:pStyle w:val="TableContents"/>
              <w:spacing w:before="0" w:after="283"/>
              <w:rPr>
                <w:sz w:val="4"/>
                <w:szCs w:val="4"/>
              </w:rPr>
            </w:pPr>
            <w:r>
              <w:rPr>
                <w:sz w:val="4"/>
                <w:szCs w:val="4"/>
              </w:rPr>
            </w:r>
          </w:p>
        </w:tc>
        <w:tc>
          <w:tcPr>
            <w:tcW w:w="441"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4" w:type="dxa"/>
            <w:tcBorders/>
            <w:shd w:fill="auto" w:val="clear"/>
            <w:vAlign w:val="center"/>
          </w:tcPr>
          <w:p>
            <w:pPr>
              <w:pStyle w:val="TableContents"/>
              <w:spacing w:before="0" w:after="0"/>
              <w:ind w:left="0" w:right="0" w:firstLine="30"/>
              <w:jc w:val="left"/>
              <w:rPr/>
            </w:pPr>
            <w:r>
              <w:rPr/>
              <w:t> </w:t>
            </w:r>
          </w:p>
        </w:tc>
        <w:tc>
          <w:tcPr>
            <w:tcW w:w="30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June 30,</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September 30,</w:t>
            </w:r>
          </w:p>
        </w:tc>
      </w:tr>
      <w:tr>
        <w:trPr/>
        <w:tc>
          <w:tcPr>
            <w:tcW w:w="5154" w:type="dxa"/>
            <w:tcBorders/>
            <w:shd w:fill="auto" w:val="clear"/>
            <w:vAlign w:val="center"/>
          </w:tcPr>
          <w:p>
            <w:pPr>
              <w:pStyle w:val="TableContents"/>
              <w:spacing w:before="0" w:after="0"/>
              <w:ind w:left="0" w:right="0" w:firstLine="30"/>
              <w:jc w:val="left"/>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2012</w:t>
            </w:r>
          </w:p>
        </w:tc>
        <w:tc>
          <w:tcPr>
            <w:tcW w:w="146" w:type="dxa"/>
            <w:tcBorders/>
            <w:shd w:fill="auto" w:val="clear"/>
            <w:vAlign w:val="center"/>
          </w:tcPr>
          <w:p>
            <w:pPr>
              <w:pStyle w:val="TableContents"/>
              <w:spacing w:before="0" w:after="0"/>
              <w:ind w:left="0" w:right="0" w:firstLine="30"/>
              <w:rPr/>
            </w:pPr>
            <w:r>
              <w:rPr/>
              <w:t> </w:t>
            </w:r>
          </w:p>
        </w:tc>
        <w:tc>
          <w:tcPr>
            <w:tcW w:w="147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sz w:val="13"/>
              </w:rPr>
            </w:pPr>
            <w:r>
              <w:rPr>
                <w:rFonts w:ascii="inherit" w:hAnsi="inherit"/>
                <w:sz w:val="13"/>
              </w:rPr>
              <w:t>2011</w:t>
            </w:r>
          </w:p>
        </w:tc>
      </w:tr>
      <w:tr>
        <w:trPr/>
        <w:tc>
          <w:tcPr>
            <w:tcW w:w="5154" w:type="dxa"/>
            <w:tcBorders/>
            <w:shd w:fill="auto" w:val="clear"/>
            <w:vAlign w:val="center"/>
          </w:tcPr>
          <w:p>
            <w:pPr>
              <w:pStyle w:val="TableContents"/>
              <w:spacing w:before="0" w:after="0"/>
              <w:ind w:left="0" w:right="0" w:firstLine="30"/>
              <w:jc w:val="left"/>
              <w:rPr/>
            </w:pPr>
            <w:r>
              <w:rPr/>
              <w:t> </w:t>
            </w:r>
          </w:p>
        </w:tc>
        <w:tc>
          <w:tcPr>
            <w:tcW w:w="5051" w:type="dxa"/>
            <w:gridSpan w:val="11"/>
            <w:tcBorders>
              <w:top w:val="single" w:sz="2" w:space="0" w:color="000000"/>
            </w:tcBorders>
            <w:shd w:fill="auto" w:val="clear"/>
            <w:tcMar>
              <w:top w:w="30" w:type="dxa"/>
            </w:tcM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loans:</w:t>
            </w:r>
          </w:p>
        </w:tc>
        <w:tc>
          <w:tcPr>
            <w:tcW w:w="1471"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471" w:type="dxa"/>
            <w:gridSpan w:val="3"/>
            <w:tcBorders/>
            <w:shd w:fill="auto" w:val="clear"/>
            <w:vAlign w:val="center"/>
          </w:tcPr>
          <w:p>
            <w:pPr>
              <w:pStyle w:val="TableContents"/>
              <w:spacing w:before="0" w:after="0"/>
              <w:ind w:left="0" w:right="0" w:firstLine="30"/>
              <w:rPr/>
            </w:pPr>
            <w:r>
              <w:rPr/>
              <w:t> </w:t>
            </w:r>
          </w:p>
        </w:tc>
        <w:tc>
          <w:tcPr>
            <w:tcW w:w="146" w:type="dxa"/>
            <w:tcBorders/>
            <w:shd w:fill="auto" w:val="clear"/>
            <w:vAlign w:val="center"/>
          </w:tcPr>
          <w:p>
            <w:pPr>
              <w:pStyle w:val="TableContents"/>
              <w:spacing w:before="0" w:after="0"/>
              <w:ind w:left="0" w:right="0" w:firstLine="30"/>
              <w:rPr/>
            </w:pPr>
            <w:r>
              <w:rPr/>
              <w:t> </w:t>
            </w:r>
          </w:p>
        </w:tc>
        <w:tc>
          <w:tcPr>
            <w:tcW w:w="1817" w:type="dxa"/>
            <w:gridSpan w:val="3"/>
            <w:tcBorders/>
            <w:shd w:fill="auto" w:val="clear"/>
            <w:vAlign w:val="center"/>
          </w:tcPr>
          <w:p>
            <w:pPr>
              <w:pStyle w:val="TableContents"/>
              <w:spacing w:before="0" w:after="0"/>
              <w:ind w:left="0" w:right="0" w:firstLine="420"/>
              <w:rPr/>
            </w:pPr>
            <w:r>
              <w:rPr/>
              <w:t> </w:t>
            </w:r>
          </w:p>
        </w:tc>
      </w:tr>
      <w:tr>
        <w:trPr/>
        <w:tc>
          <w:tcPr>
            <w:tcW w:w="515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Expected LOC losses</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1,775</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1,664</w:t>
            </w:r>
          </w:p>
        </w:tc>
        <w:tc>
          <w:tcPr>
            <w:tcW w:w="9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CCEEFF" w:val="clear"/>
            <w:vAlign w:val="center"/>
          </w:tcPr>
          <w:p>
            <w:pPr>
              <w:pStyle w:val="TableContents"/>
              <w:spacing w:before="0" w:after="0"/>
              <w:ind w:left="0" w:right="0" w:firstLine="30"/>
              <w:rPr/>
            </w:pPr>
            <w:r>
              <w:rPr/>
              <w:t> </w:t>
            </w:r>
          </w:p>
        </w:tc>
        <w:tc>
          <w:tcPr>
            <w:tcW w:w="175"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CCEEFF" w:val="clear"/>
            <w:vAlign w:val="center"/>
          </w:tcPr>
          <w:p>
            <w:pPr>
              <w:pStyle w:val="TableContents"/>
              <w:spacing w:before="0" w:after="0"/>
              <w:jc w:val="right"/>
              <w:rPr>
                <w:rFonts w:ascii="inherit" w:hAnsi="inherit"/>
                <w:sz w:val="17"/>
              </w:rPr>
            </w:pPr>
            <w:r>
              <w:rPr>
                <w:rFonts w:ascii="inherit" w:hAnsi="inherit"/>
                <w:sz w:val="17"/>
              </w:rPr>
              <w:t>1,795</w:t>
            </w:r>
          </w:p>
        </w:tc>
        <w:tc>
          <w:tcPr>
            <w:tcW w:w="441"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15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Maximum exposure for LOC losses</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24,842</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29,589</w:t>
            </w:r>
          </w:p>
        </w:tc>
        <w:tc>
          <w:tcPr>
            <w:tcW w:w="9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6" w:type="dxa"/>
            <w:tcBorders/>
            <w:shd w:fill="auto" w:val="clear"/>
            <w:vAlign w:val="center"/>
          </w:tcPr>
          <w:p>
            <w:pPr>
              <w:pStyle w:val="TableContents"/>
              <w:spacing w:before="0" w:after="0"/>
              <w:ind w:left="0" w:right="0" w:firstLine="30"/>
              <w:rPr/>
            </w:pPr>
            <w:r>
              <w:rPr/>
              <w:t> </w:t>
            </w:r>
          </w:p>
        </w:tc>
        <w:tc>
          <w:tcPr>
            <w:tcW w:w="175"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01" w:type="dxa"/>
            <w:tcBorders/>
            <w:shd w:fill="auto" w:val="clear"/>
            <w:vAlign w:val="center"/>
          </w:tcPr>
          <w:p>
            <w:pPr>
              <w:pStyle w:val="TableContents"/>
              <w:spacing w:before="0" w:after="0"/>
              <w:jc w:val="right"/>
              <w:rPr>
                <w:rFonts w:ascii="inherit" w:hAnsi="inherit"/>
                <w:sz w:val="17"/>
              </w:rPr>
            </w:pPr>
            <w:r>
              <w:rPr>
                <w:rFonts w:ascii="inherit" w:hAnsi="inherit"/>
                <w:sz w:val="17"/>
              </w:rPr>
              <w:t>30,268</w:t>
            </w:r>
          </w:p>
        </w:tc>
        <w:tc>
          <w:tcPr>
            <w:tcW w:w="441" w:type="dxa"/>
            <w:tcBorders/>
            <w:shd w:fill="auto"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bookmarkStart w:id="32" w:name="sA840E91AD79F965E3DBFA412481BDD1F"/>
      <w:bookmarkStart w:id="33" w:name="sA840E91AD79F965E3DBFA412481BDD1F"/>
      <w:bookmarkEnd w:id="33"/>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39</w:t>
      </w:r>
      <w:r>
        <w:br w:type="page"/>
      </w:r>
    </w:p>
    <w:p>
      <w:pPr>
        <w:pStyle w:val="TextBody"/>
        <w:spacing w:lineRule="auto" w:line="288" w:before="0" w:after="0"/>
        <w:rPr/>
      </w:pPr>
      <w:hyperlink w:anchor="s1D4031A326A2D05AEEF6A412554D06A6">
        <w:bookmarkStart w:id="34" w:name="sAD1ACC0DFD7F20255B75A41247D0F34C"/>
        <w:bookmarkEnd w:id="3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2. Management's Discussion and Analysis of Financial Condition and Results of Operations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left"/>
        <w:rPr>
          <w:rFonts w:ascii="inherit" w:hAnsi="inherit"/>
          <w:sz w:val="17"/>
        </w:rPr>
      </w:pPr>
      <w:r>
        <w:rPr>
          <w:rFonts w:ascii="inherit" w:hAnsi="inherit"/>
          <w:sz w:val="17"/>
        </w:rPr>
        <w:t>The discussion in this section contains forward-looking statements that are based on our current expectations. Actual results could differ materially from those expressed or implied by the forward-looking statements due to a number of risks, uncertainties and other factors, including those identified in “Part II, Item 1A — Risk Factors” of this report and "Part I, Item 1A—Risk Factors" of our Annual Report on FOrm 10-K for the year ended September 30, 2011.</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35" w:name="s52F9B9F8F61A3E6B2D47A41247EF69C4"/>
      <w:bookmarkEnd w:id="35"/>
      <w:r>
        <w:rPr>
          <w:rFonts w:ascii="inherit" w:hAnsi="inherit"/>
          <w:b/>
          <w:i/>
          <w:sz w:val="17"/>
        </w:rPr>
        <w:t>Overview</w:t>
      </w:r>
    </w:p>
    <w:p>
      <w:pPr>
        <w:pStyle w:val="TextBody"/>
        <w:spacing w:lineRule="auto" w:line="288" w:before="0" w:after="0"/>
        <w:rPr>
          <w:sz w:val="17"/>
        </w:rPr>
      </w:pPr>
      <w:r>
        <w:rPr>
          <w:rFonts w:ascii="inherit" w:hAnsi="inherit"/>
          <w:sz w:val="17"/>
        </w:rPr>
        <w:t xml:space="preserve">We are a leading provider of instant cash solutions. We provide collateralized, non-recourse loans, commonly known as pawn loans, and a variety of short-term consumer loans including payday loans, installment loans and auto title loans, and in Texas only, fee-based credit services to customers seeking loans. The acquisition of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interest in Crediamigo marks our initial entry into the unsecured lending market in Mexico. Crediamigo has approximately </w:t>
      </w:r>
      <w:r>
        <w:rPr>
          <w:rFonts w:ascii="inherit" w:hAnsi="inherit"/>
          <w:strike w:val="false"/>
          <w:dstrike w:val="false"/>
          <w:color w:val="000000"/>
          <w:sz w:val="17"/>
          <w:u w:val="none"/>
          <w:effect w:val="none"/>
        </w:rPr>
        <w:t>170</w:t>
      </w:r>
      <w:r>
        <w:rPr>
          <w:sz w:val="17"/>
        </w:rPr>
        <w:t xml:space="preserve"> </w:t>
      </w:r>
      <w:r>
        <w:rPr>
          <w:rFonts w:ascii="inherit" w:hAnsi="inherit"/>
          <w:sz w:val="17"/>
        </w:rPr>
        <w:t>payroll withholding agreements with Mexican employers, primarily federal, state and local governments and agencies, and provides long-term consumer loans to the agencies’ employees. In the current quarter, we acquired a 72% interest in Cash Genie, which offers short-term consumer loans online in the United Kingdom.</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2012</w:t>
      </w:r>
      <w:r>
        <w:rPr>
          <w:rFonts w:ascii="inherit" w:hAnsi="inherit"/>
          <w:sz w:val="17"/>
        </w:rPr>
        <w:t xml:space="preserve">, we operated a total of </w:t>
      </w:r>
      <w:r>
        <w:rPr>
          <w:rFonts w:ascii="inherit" w:hAnsi="inherit"/>
          <w:strike w:val="false"/>
          <w:dstrike w:val="false"/>
          <w:color w:val="000000"/>
          <w:sz w:val="17"/>
          <w:u w:val="none"/>
          <w:effect w:val="none"/>
        </w:rPr>
        <w:t>1,250</w:t>
      </w:r>
      <w:r>
        <w:rPr>
          <w:sz w:val="17"/>
        </w:rPr>
        <w:t xml:space="preserve"> </w:t>
      </w:r>
      <w:r>
        <w:rPr>
          <w:rFonts w:ascii="inherit" w:hAnsi="inherit"/>
          <w:sz w:val="17"/>
        </w:rPr>
        <w:t xml:space="preserve">locations, consisting of </w:t>
      </w:r>
      <w:r>
        <w:rPr>
          <w:rFonts w:ascii="inherit" w:hAnsi="inherit"/>
          <w:strike w:val="false"/>
          <w:dstrike w:val="false"/>
          <w:color w:val="000000"/>
          <w:sz w:val="17"/>
          <w:u w:val="none"/>
          <w:effect w:val="none"/>
        </w:rPr>
        <w:t>464</w:t>
      </w:r>
      <w:r>
        <w:rPr>
          <w:sz w:val="17"/>
        </w:rPr>
        <w:t xml:space="preserve"> </w:t>
      </w:r>
      <w:r>
        <w:rPr>
          <w:rFonts w:ascii="inherit" w:hAnsi="inherit"/>
          <w:sz w:val="17"/>
        </w:rPr>
        <w:t xml:space="preserve">U.S. pawn stores (operating primarily as EZPAWN or Value Pawn) and </w:t>
      </w:r>
      <w:r>
        <w:rPr>
          <w:rFonts w:ascii="inherit" w:hAnsi="inherit"/>
          <w:strike w:val="false"/>
          <w:dstrike w:val="false"/>
          <w:color w:val="000000"/>
          <w:sz w:val="17"/>
          <w:u w:val="none"/>
          <w:effect w:val="none"/>
        </w:rPr>
        <w:t>seven</w:t>
      </w:r>
      <w:r>
        <w:rPr>
          <w:sz w:val="17"/>
        </w:rPr>
        <w:t xml:space="preserve"> </w:t>
      </w:r>
      <w:r>
        <w:rPr>
          <w:rFonts w:ascii="inherit" w:hAnsi="inherit"/>
          <w:sz w:val="17"/>
        </w:rPr>
        <w:t xml:space="preserve">retail stores (operating as Cash Converters), </w:t>
      </w:r>
      <w:r>
        <w:rPr>
          <w:rFonts w:ascii="inherit" w:hAnsi="inherit"/>
          <w:strike w:val="false"/>
          <w:dstrike w:val="false"/>
          <w:color w:val="000000"/>
          <w:sz w:val="17"/>
          <w:u w:val="none"/>
          <w:effect w:val="none"/>
        </w:rPr>
        <w:t>223</w:t>
      </w:r>
      <w:r>
        <w:rPr>
          <w:sz w:val="17"/>
        </w:rPr>
        <w:t xml:space="preserve"> </w:t>
      </w:r>
      <w:r>
        <w:rPr>
          <w:rFonts w:ascii="inherit" w:hAnsi="inherit"/>
          <w:sz w:val="17"/>
        </w:rPr>
        <w:t xml:space="preserve">pawn stores in Mexico (operating as Empeño Fácil or Empeñe su Oro), </w:t>
      </w:r>
      <w:r>
        <w:rPr>
          <w:rFonts w:ascii="inherit" w:hAnsi="inherit"/>
          <w:strike w:val="false"/>
          <w:dstrike w:val="false"/>
          <w:color w:val="000000"/>
          <w:sz w:val="17"/>
          <w:u w:val="none"/>
          <w:effect w:val="none"/>
        </w:rPr>
        <w:t>443</w:t>
      </w:r>
      <w:r>
        <w:rPr>
          <w:sz w:val="17"/>
        </w:rPr>
        <w:t xml:space="preserve"> </w:t>
      </w:r>
      <w:r>
        <w:rPr>
          <w:rFonts w:ascii="inherit" w:hAnsi="inherit"/>
          <w:sz w:val="17"/>
        </w:rPr>
        <w:t xml:space="preserve">U.S. financial services stores (operating primarily as EZMONEY), </w:t>
      </w:r>
      <w:r>
        <w:rPr>
          <w:rFonts w:ascii="inherit" w:hAnsi="inherit"/>
          <w:strike w:val="false"/>
          <w:dstrike w:val="false"/>
          <w:color w:val="000000"/>
          <w:sz w:val="17"/>
          <w:u w:val="none"/>
          <w:effect w:val="none"/>
        </w:rPr>
        <w:t>32</w:t>
      </w:r>
      <w:r>
        <w:rPr>
          <w:sz w:val="17"/>
        </w:rPr>
        <w:t xml:space="preserve"> </w:t>
      </w:r>
      <w:r>
        <w:rPr>
          <w:rFonts w:ascii="inherit" w:hAnsi="inherit"/>
          <w:sz w:val="17"/>
        </w:rPr>
        <w:t xml:space="preserve">financial services stores in Canada (operating as CASHMAX ), </w:t>
      </w:r>
      <w:r>
        <w:rPr>
          <w:rFonts w:ascii="inherit" w:hAnsi="inherit"/>
          <w:strike w:val="false"/>
          <w:dstrike w:val="false"/>
          <w:color w:val="000000"/>
          <w:sz w:val="17"/>
          <w:u w:val="none"/>
          <w:effect w:val="none"/>
        </w:rPr>
        <w:t>36</w:t>
      </w:r>
      <w:r>
        <w:rPr>
          <w:sz w:val="17"/>
        </w:rPr>
        <w:t xml:space="preserve"> </w:t>
      </w:r>
      <w:r>
        <w:rPr>
          <w:rFonts w:ascii="inherit" w:hAnsi="inherit"/>
          <w:sz w:val="17"/>
        </w:rPr>
        <w:t xml:space="preserve">financial and retail services stores in Canada (operating as Cash Converters) and </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Crediamigo locations in Mexico. In addition, we are the franchisor for </w:t>
      </w:r>
      <w:r>
        <w:rPr>
          <w:rFonts w:ascii="inherit" w:hAnsi="inherit"/>
          <w:strike w:val="false"/>
          <w:dstrike w:val="false"/>
          <w:color w:val="000000"/>
          <w:sz w:val="17"/>
          <w:u w:val="none"/>
          <w:effect w:val="none"/>
        </w:rPr>
        <w:t>12</w:t>
      </w:r>
      <w:r>
        <w:rPr>
          <w:sz w:val="17"/>
        </w:rPr>
        <w:t xml:space="preserve"> </w:t>
      </w:r>
      <w:r>
        <w:rPr>
          <w:rFonts w:ascii="inherit" w:hAnsi="inherit"/>
          <w:sz w:val="17"/>
        </w:rPr>
        <w:t xml:space="preserve">franchised Cash Converters stores in Canada. We also own almost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of Albemarle &amp; Bond Holdings, PLC, one of the U.K.’s largest pawnbroking businesses with over </w:t>
      </w:r>
      <w:r>
        <w:rPr>
          <w:rFonts w:ascii="inherit" w:hAnsi="inherit"/>
          <w:strike w:val="false"/>
          <w:dstrike w:val="false"/>
          <w:color w:val="000000"/>
          <w:sz w:val="17"/>
          <w:u w:val="none"/>
          <w:effect w:val="none"/>
        </w:rPr>
        <w:t>150</w:t>
      </w:r>
      <w:r>
        <w:rPr>
          <w:sz w:val="17"/>
        </w:rPr>
        <w:t xml:space="preserve"> </w:t>
      </w:r>
      <w:r>
        <w:rPr>
          <w:rFonts w:ascii="inherit" w:hAnsi="inherit"/>
          <w:sz w:val="17"/>
        </w:rPr>
        <w:t xml:space="preserve">stores, and almost </w:t>
      </w:r>
      <w:r>
        <w:rPr>
          <w:rFonts w:ascii="inherit" w:hAnsi="inherit"/>
          <w:strike w:val="false"/>
          <w:dstrike w:val="false"/>
          <w:color w:val="000000"/>
          <w:sz w:val="17"/>
          <w:u w:val="none"/>
          <w:effect w:val="none"/>
        </w:rPr>
        <w:t>33%</w:t>
      </w:r>
      <w:r>
        <w:rPr>
          <w:sz w:val="17"/>
        </w:rPr>
        <w:t xml:space="preserve"> </w:t>
      </w:r>
      <w:r>
        <w:rPr>
          <w:rFonts w:ascii="inherit" w:hAnsi="inherit"/>
          <w:sz w:val="17"/>
        </w:rPr>
        <w:t>of Cash Converters International Limited, which franchises and operates a worldwide network of over 600 locations that buy and sell second-hand merchandise and offer financial services.</w:t>
      </w:r>
    </w:p>
    <w:p>
      <w:pPr>
        <w:pStyle w:val="TextBody"/>
        <w:spacing w:lineRule="auto" w:line="288" w:before="0" w:after="0"/>
        <w:rPr>
          <w:rFonts w:ascii="inherit" w:hAnsi="inherit"/>
          <w:sz w:val="17"/>
        </w:rPr>
      </w:pPr>
      <w:r>
        <w:rPr>
          <w:rFonts w:ascii="inherit" w:hAnsi="inherit"/>
          <w:sz w:val="17"/>
        </w:rPr>
        <w:t>Our business consists of three reportable segments: The U.S. &amp; Canada segment, which includes all business activities in the United States and Canada; Latin America segment, which includes our Empeño Fácil Pawn operations and Crediamigo financial services operations in Mexico; and Other International segment, which currently includes the Cash Genie online business in the U.K. and our equity interests in the net income of Albemarle &amp; Bond and Cash Converters International.</w:t>
      </w:r>
    </w:p>
    <w:p>
      <w:pPr>
        <w:pStyle w:val="TextBody"/>
        <w:spacing w:lineRule="auto" w:line="288" w:before="0" w:after="0"/>
        <w:rPr>
          <w:rFonts w:ascii="inherit" w:hAnsi="inherit"/>
          <w:sz w:val="17"/>
        </w:rPr>
      </w:pPr>
      <w:r>
        <w:rPr>
          <w:rFonts w:ascii="inherit" w:hAnsi="inherit"/>
          <w:sz w:val="17"/>
        </w:rPr>
        <w:t>The following tables present stores by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77"/>
        <w:gridCol w:w="1053"/>
        <w:gridCol w:w="189"/>
        <w:gridCol w:w="134"/>
        <w:gridCol w:w="1084"/>
        <w:gridCol w:w="199"/>
        <w:gridCol w:w="134"/>
        <w:gridCol w:w="1448"/>
        <w:gridCol w:w="146"/>
        <w:gridCol w:w="134"/>
        <w:gridCol w:w="1385"/>
        <w:gridCol w:w="222"/>
        <w:gridCol w:w="134"/>
        <w:gridCol w:w="927"/>
        <w:gridCol w:w="539"/>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7" w:type="dxa"/>
            <w:tcBorders/>
            <w:shd w:fill="auto" w:val="clear"/>
            <w:vAlign w:val="center"/>
          </w:tcPr>
          <w:p>
            <w:pPr>
              <w:pStyle w:val="TableContents"/>
              <w:spacing w:before="0" w:after="283"/>
              <w:rPr>
                <w:sz w:val="4"/>
                <w:szCs w:val="4"/>
              </w:rPr>
            </w:pPr>
            <w:r>
              <w:rPr>
                <w:sz w:val="4"/>
                <w:szCs w:val="4"/>
              </w:rPr>
            </w:r>
          </w:p>
        </w:tc>
        <w:tc>
          <w:tcPr>
            <w:tcW w:w="1053"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8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448"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539"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7" w:type="dxa"/>
            <w:tcBorders/>
            <w:shd w:fill="auto" w:val="clear"/>
            <w:vAlign w:val="center"/>
          </w:tcPr>
          <w:p>
            <w:pPr>
              <w:pStyle w:val="TableContents"/>
              <w:spacing w:before="0" w:after="0"/>
              <w:ind w:left="0" w:right="0" w:firstLine="30"/>
              <w:jc w:val="left"/>
              <w:rPr/>
            </w:pPr>
            <w:r>
              <w:rPr/>
              <w:t> </w:t>
            </w:r>
          </w:p>
        </w:tc>
        <w:tc>
          <w:tcPr>
            <w:tcW w:w="7728"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2012</w:t>
            </w:r>
          </w:p>
        </w:tc>
      </w:tr>
      <w:tr>
        <w:trPr/>
        <w:tc>
          <w:tcPr>
            <w:tcW w:w="2477" w:type="dxa"/>
            <w:tcBorders/>
            <w:shd w:fill="auto" w:val="clear"/>
            <w:vAlign w:val="center"/>
          </w:tcPr>
          <w:p>
            <w:pPr>
              <w:pStyle w:val="TableContents"/>
              <w:spacing w:before="0" w:after="0"/>
              <w:ind w:left="0" w:right="0" w:firstLine="30"/>
              <w:jc w:val="left"/>
              <w:rPr/>
            </w:pPr>
            <w:r>
              <w:rPr/>
              <w:t> </w:t>
            </w:r>
          </w:p>
        </w:tc>
        <w:tc>
          <w:tcPr>
            <w:tcW w:w="6128"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4" w:type="dxa"/>
            <w:tcBorders/>
            <w:shd w:fill="auto" w:val="clear"/>
            <w:vAlign w:val="center"/>
          </w:tcPr>
          <w:p>
            <w:pPr>
              <w:pStyle w:val="TableContents"/>
              <w:spacing w:before="0" w:after="0"/>
              <w:ind w:left="0" w:right="0" w:firstLine="30"/>
              <w:rPr/>
            </w:pPr>
            <w:r>
              <w:rPr/>
              <w:t> </w:t>
            </w:r>
          </w:p>
        </w:tc>
        <w:tc>
          <w:tcPr>
            <w:tcW w:w="1466" w:type="dxa"/>
            <w:gridSpan w:val="2"/>
            <w:tcBorders/>
            <w:shd w:fill="auto" w:val="clear"/>
            <w:vAlign w:val="center"/>
          </w:tcPr>
          <w:p>
            <w:pPr>
              <w:pStyle w:val="TableContents"/>
              <w:spacing w:before="0" w:after="0"/>
              <w:ind w:left="0" w:right="0" w:firstLine="30"/>
              <w:jc w:val="left"/>
              <w:rPr/>
            </w:pPr>
            <w:r>
              <w:rPr/>
              <w:t> </w:t>
            </w:r>
          </w:p>
        </w:tc>
      </w:tr>
      <w:tr>
        <w:trPr/>
        <w:tc>
          <w:tcPr>
            <w:tcW w:w="2477" w:type="dxa"/>
            <w:tcBorders/>
            <w:shd w:fill="auto" w:val="clear"/>
            <w:vAlign w:val="center"/>
          </w:tcPr>
          <w:p>
            <w:pPr>
              <w:pStyle w:val="TableContents"/>
              <w:spacing w:before="0" w:after="0"/>
              <w:ind w:left="0" w:right="0" w:firstLine="30"/>
              <w:jc w:val="left"/>
              <w:rPr/>
            </w:pPr>
            <w:r>
              <w:rPr/>
              <w:t> </w:t>
            </w:r>
          </w:p>
        </w:tc>
        <w:tc>
          <w:tcPr>
            <w:tcW w:w="124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4" w:type="dxa"/>
            <w:tcBorders/>
            <w:shd w:fill="auto" w:val="clear"/>
            <w:vAlign w:val="center"/>
          </w:tcPr>
          <w:p>
            <w:pPr>
              <w:pStyle w:val="TableContents"/>
              <w:spacing w:before="0" w:after="0"/>
              <w:ind w:left="0" w:right="0" w:firstLine="30"/>
              <w:rPr/>
            </w:pPr>
            <w:r>
              <w:rPr/>
              <w:t> </w:t>
            </w:r>
          </w:p>
        </w:tc>
        <w:tc>
          <w:tcPr>
            <w:tcW w:w="1283"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4" w:type="dxa"/>
            <w:tcBorders/>
            <w:shd w:fill="auto" w:val="clear"/>
            <w:vAlign w:val="center"/>
          </w:tcPr>
          <w:p>
            <w:pPr>
              <w:pStyle w:val="TableContents"/>
              <w:spacing w:before="0" w:after="0"/>
              <w:ind w:left="0" w:right="0" w:firstLine="30"/>
              <w:rPr/>
            </w:pPr>
            <w:r>
              <w:rPr/>
              <w:t> </w:t>
            </w:r>
          </w:p>
        </w:tc>
        <w:tc>
          <w:tcPr>
            <w:tcW w:w="1594"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4" w:type="dxa"/>
            <w:tcBorders/>
            <w:shd w:fill="auto" w:val="clear"/>
            <w:vAlign w:val="center"/>
          </w:tcPr>
          <w:p>
            <w:pPr>
              <w:pStyle w:val="TableContents"/>
              <w:spacing w:before="0" w:after="0"/>
              <w:ind w:left="0" w:right="0" w:firstLine="30"/>
              <w:rPr/>
            </w:pPr>
            <w:r>
              <w:rPr/>
              <w:t> </w:t>
            </w:r>
          </w:p>
        </w:tc>
        <w:tc>
          <w:tcPr>
            <w:tcW w:w="160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4" w:type="dxa"/>
            <w:tcBorders/>
            <w:shd w:fill="auto" w:val="clear"/>
            <w:vAlign w:val="center"/>
          </w:tcPr>
          <w:p>
            <w:pPr>
              <w:pStyle w:val="TableContents"/>
              <w:spacing w:before="0" w:after="0"/>
              <w:ind w:left="0" w:right="0" w:firstLine="30"/>
              <w:rPr/>
            </w:pPr>
            <w:r>
              <w:rPr/>
              <w:t> </w:t>
            </w:r>
          </w:p>
        </w:tc>
        <w:tc>
          <w:tcPr>
            <w:tcW w:w="1466"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2"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283"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594"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607" w:type="dxa"/>
            <w:gridSpan w:val="2"/>
            <w:tcBorders/>
            <w:shd w:fill="CCEEFF" w:val="clear"/>
            <w:vAlign w:val="center"/>
          </w:tcPr>
          <w:p>
            <w:pPr>
              <w:pStyle w:val="TableContents"/>
              <w:spacing w:before="0" w:after="0"/>
              <w:ind w:left="0" w:right="0" w:firstLine="30"/>
              <w:rPr/>
            </w:pPr>
            <w:r>
              <w:rPr/>
              <w:t> </w:t>
            </w:r>
          </w:p>
        </w:tc>
        <w:tc>
          <w:tcPr>
            <w:tcW w:w="134" w:type="dxa"/>
            <w:tcBorders/>
            <w:shd w:fill="CCEEFF" w:val="clear"/>
            <w:vAlign w:val="center"/>
          </w:tcPr>
          <w:p>
            <w:pPr>
              <w:pStyle w:val="TableContents"/>
              <w:spacing w:before="0" w:after="0"/>
              <w:ind w:left="0" w:right="0" w:firstLine="30"/>
              <w:rPr/>
            </w:pPr>
            <w:r>
              <w:rPr/>
              <w:t> </w:t>
            </w:r>
          </w:p>
        </w:tc>
        <w:tc>
          <w:tcPr>
            <w:tcW w:w="1466" w:type="dxa"/>
            <w:gridSpan w:val="2"/>
            <w:tcBorders/>
            <w:shd w:fill="CCEEFF" w:val="clear"/>
            <w:vAlign w:val="center"/>
          </w:tcPr>
          <w:p>
            <w:pPr>
              <w:pStyle w:val="TableContents"/>
              <w:spacing w:before="0" w:after="0"/>
              <w:ind w:left="0" w:right="0" w:firstLine="420"/>
              <w:rPr/>
            </w:pPr>
            <w:r>
              <w:rPr/>
              <w:t> </w:t>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3" w:type="dxa"/>
            <w:tcBorders/>
            <w:shd w:fill="auto" w:val="clear"/>
            <w:vAlign w:val="center"/>
          </w:tcPr>
          <w:p>
            <w:pPr>
              <w:pStyle w:val="TableContents"/>
              <w:spacing w:before="0" w:after="0"/>
              <w:jc w:val="right"/>
              <w:rPr>
                <w:rFonts w:ascii="inherit" w:hAnsi="inherit"/>
                <w:sz w:val="17"/>
              </w:rPr>
            </w:pPr>
            <w:r>
              <w:rPr>
                <w:rFonts w:ascii="inherit" w:hAnsi="inherit"/>
                <w:sz w:val="17"/>
              </w:rPr>
              <w:t>970</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84" w:type="dxa"/>
            <w:tcBorders/>
            <w:shd w:fill="auto" w:val="clear"/>
            <w:vAlign w:val="center"/>
          </w:tcPr>
          <w:p>
            <w:pPr>
              <w:pStyle w:val="TableContents"/>
              <w:spacing w:before="0" w:after="0"/>
              <w:jc w:val="right"/>
              <w:rPr>
                <w:rFonts w:ascii="inherit" w:hAnsi="inherit"/>
                <w:sz w:val="17"/>
              </w:rPr>
            </w:pPr>
            <w:r>
              <w:rPr>
                <w:rFonts w:ascii="inherit" w:hAnsi="inherit"/>
                <w:sz w:val="17"/>
              </w:rPr>
              <w:t>250</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right"/>
              <w:rPr>
                <w:rFonts w:ascii="inherit" w:hAnsi="inherit"/>
                <w:sz w:val="17"/>
              </w:rPr>
            </w:pPr>
            <w:r>
              <w:rPr>
                <w:rFonts w:ascii="inherit" w:hAnsi="inherit"/>
                <w:sz w:val="17"/>
              </w:rPr>
              <w:t>1,220</w:t>
            </w:r>
          </w:p>
        </w:tc>
        <w:tc>
          <w:tcPr>
            <w:tcW w:w="2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3" w:type="dxa"/>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084" w:type="dxa"/>
            <w:tcBorders/>
            <w:shd w:fill="CCEEFF" w:val="clear"/>
            <w:vAlign w:val="center"/>
          </w:tcPr>
          <w:p>
            <w:pPr>
              <w:pStyle w:val="TableContents"/>
              <w:spacing w:before="0" w:after="0"/>
              <w:jc w:val="right"/>
              <w:rPr>
                <w:rFonts w:ascii="inherit" w:hAnsi="inherit"/>
                <w:sz w:val="17"/>
              </w:rPr>
            </w:pPr>
            <w:r>
              <w:rPr>
                <w:rFonts w:ascii="inherit" w:hAnsi="inherit"/>
                <w:sz w:val="17"/>
              </w:rPr>
              <w:t>19</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448"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85" w:type="dxa"/>
            <w:tcBorders/>
            <w:shd w:fill="CCEEFF" w:val="clear"/>
            <w:vAlign w:val="center"/>
          </w:tcPr>
          <w:p>
            <w:pPr>
              <w:pStyle w:val="TableContents"/>
              <w:spacing w:before="0" w:after="0"/>
              <w:jc w:val="right"/>
              <w:rPr>
                <w:rFonts w:ascii="inherit" w:hAnsi="inherit"/>
                <w:sz w:val="17"/>
              </w:rPr>
            </w:pPr>
            <w:r>
              <w:rPr>
                <w:rFonts w:ascii="inherit" w:hAnsi="inherit"/>
                <w:sz w:val="17"/>
              </w:rPr>
              <w:t>23</w:t>
            </w:r>
          </w:p>
        </w:tc>
        <w:tc>
          <w:tcPr>
            <w:tcW w:w="22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927" w:type="dxa"/>
            <w:tcBorders/>
            <w:shd w:fill="CCEEFF" w:val="clear"/>
            <w:vAlign w:val="center"/>
          </w:tcPr>
          <w:p>
            <w:pPr>
              <w:pStyle w:val="TableContents"/>
              <w:spacing w:before="0" w:after="0"/>
              <w:jc w:val="right"/>
              <w:rPr/>
            </w:pPr>
            <w:r>
              <w:rPr/>
              <w:t>—</w:t>
            </w:r>
          </w:p>
        </w:tc>
        <w:tc>
          <w:tcPr>
            <w:tcW w:w="539"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3"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84" w:type="dxa"/>
            <w:tcBorders/>
            <w:shd w:fill="auto" w:val="clear"/>
            <w:vAlign w:val="center"/>
          </w:tcPr>
          <w:p>
            <w:pPr>
              <w:pStyle w:val="TableContents"/>
              <w:spacing w:before="0" w:after="0"/>
              <w:jc w:val="right"/>
              <w:rPr/>
            </w:pPr>
            <w:r>
              <w:rPr/>
              <w:t>—</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shd w:fill="auto" w:val="clear"/>
            <w:vAlign w:val="center"/>
          </w:tcPr>
          <w:p>
            <w:pPr>
              <w:pStyle w:val="TableContents"/>
              <w:spacing w:before="0" w:after="0"/>
              <w:jc w:val="right"/>
              <w:rPr>
                <w:rFonts w:ascii="inherit" w:hAnsi="inherit"/>
                <w:sz w:val="17"/>
              </w:rPr>
            </w:pPr>
            <w:r>
              <w:rPr>
                <w:rFonts w:ascii="inherit" w:hAnsi="inherit"/>
                <w:sz w:val="17"/>
              </w:rPr>
              <w:t>9</w:t>
            </w:r>
          </w:p>
        </w:tc>
        <w:tc>
          <w:tcPr>
            <w:tcW w:w="22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shd w:fill="auto" w:val="clear"/>
            <w:vAlign w:val="center"/>
          </w:tcPr>
          <w:p>
            <w:pPr>
              <w:pStyle w:val="TableContents"/>
              <w:spacing w:before="0" w:after="0"/>
              <w:jc w:val="right"/>
              <w:rPr/>
            </w:pPr>
            <w:r>
              <w:rPr/>
              <w:t>—</w:t>
            </w:r>
          </w:p>
        </w:tc>
        <w:tc>
          <w:tcPr>
            <w:tcW w:w="539"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3"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08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1448"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CCEEFF" w:val="clear"/>
            <w:vAlign w:val="center"/>
          </w:tcPr>
          <w:p>
            <w:pPr>
              <w:pStyle w:val="TableContents"/>
              <w:spacing w:before="0" w:after="0"/>
              <w:ind w:left="0" w:right="0" w:firstLine="30"/>
              <w:rPr/>
            </w:pPr>
            <w:r>
              <w:rPr/>
              <w:t> </w:t>
            </w:r>
          </w:p>
        </w:tc>
        <w:tc>
          <w:tcPr>
            <w:tcW w:w="1385"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222"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4" w:type="dxa"/>
            <w:tcBorders/>
            <w:shd w:fill="CCEEFF" w:val="clear"/>
            <w:vAlign w:val="center"/>
          </w:tcPr>
          <w:p>
            <w:pPr>
              <w:pStyle w:val="TableContents"/>
              <w:spacing w:before="0" w:after="0"/>
              <w:ind w:left="0" w:right="0" w:firstLine="30"/>
              <w:rPr/>
            </w:pPr>
            <w:r>
              <w:rPr/>
              <w:t> </w:t>
            </w:r>
          </w:p>
        </w:tc>
        <w:tc>
          <w:tcPr>
            <w:tcW w:w="927"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539" w:type="dxa"/>
            <w:tcBorders>
              <w:bottom w:val="single" w:sz="2" w:space="0" w:color="000000"/>
            </w:tcBorders>
            <w:shd w:fill="CCEEFF"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3"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1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08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448"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1385"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22"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4" w:type="dxa"/>
            <w:tcBorders/>
            <w:shd w:fill="auto" w:val="clear"/>
            <w:vAlign w:val="center"/>
          </w:tcPr>
          <w:p>
            <w:pPr>
              <w:pStyle w:val="TableContents"/>
              <w:spacing w:before="0" w:after="0"/>
              <w:ind w:left="0" w:right="0" w:firstLine="30"/>
              <w:rPr/>
            </w:pPr>
            <w:r>
              <w:rPr/>
              <w:t> </w:t>
            </w:r>
          </w:p>
        </w:tc>
        <w:tc>
          <w:tcPr>
            <w:tcW w:w="92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39"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tbl>
      <w:tblPr>
        <w:tblW w:w="10205" w:type="dxa"/>
        <w:jc w:val="left"/>
        <w:tblInd w:w="0" w:type="dxa"/>
        <w:tblCellMar>
          <w:top w:w="0" w:type="dxa"/>
          <w:left w:w="0" w:type="dxa"/>
          <w:bottom w:w="0" w:type="dxa"/>
          <w:right w:w="0" w:type="dxa"/>
        </w:tblCellMar>
      </w:tblPr>
      <w:tblGrid>
        <w:gridCol w:w="2470"/>
        <w:gridCol w:w="1051"/>
        <w:gridCol w:w="189"/>
        <w:gridCol w:w="135"/>
        <w:gridCol w:w="1082"/>
        <w:gridCol w:w="199"/>
        <w:gridCol w:w="135"/>
        <w:gridCol w:w="1450"/>
        <w:gridCol w:w="146"/>
        <w:gridCol w:w="135"/>
        <w:gridCol w:w="1387"/>
        <w:gridCol w:w="223"/>
        <w:gridCol w:w="135"/>
        <w:gridCol w:w="894"/>
        <w:gridCol w:w="574"/>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82"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2012</w:t>
            </w:r>
          </w:p>
        </w:tc>
      </w:tr>
      <w:tr>
        <w:trPr/>
        <w:tc>
          <w:tcPr>
            <w:tcW w:w="2470" w:type="dxa"/>
            <w:tcBorders/>
            <w:shd w:fill="auto" w:val="clear"/>
            <w:vAlign w:val="center"/>
          </w:tcPr>
          <w:p>
            <w:pPr>
              <w:pStyle w:val="TableContents"/>
              <w:spacing w:before="0" w:after="0"/>
              <w:ind w:left="0" w:right="0" w:firstLine="30"/>
              <w:jc w:val="left"/>
              <w:rPr/>
            </w:pPr>
            <w:r>
              <w:rPr/>
              <w:t> </w:t>
            </w:r>
          </w:p>
        </w:tc>
        <w:tc>
          <w:tcPr>
            <w:tcW w:w="6132"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8"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1"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8"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1"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8"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933</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178</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1,111</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57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12</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082" w:type="dxa"/>
            <w:tcBorders/>
            <w:shd w:fill="CCEEFF" w:val="clear"/>
            <w:vAlign w:val="center"/>
          </w:tcPr>
          <w:p>
            <w:pPr>
              <w:pStyle w:val="TableContents"/>
              <w:spacing w:before="0" w:after="0"/>
              <w:jc w:val="right"/>
              <w:rPr>
                <w:rFonts w:ascii="inherit" w:hAnsi="inherit"/>
                <w:sz w:val="17"/>
              </w:rPr>
            </w:pPr>
            <w:r>
              <w:rPr>
                <w:rFonts w:ascii="inherit" w:hAnsi="inherit"/>
                <w:sz w:val="17"/>
              </w:rPr>
              <w:t>46</w:t>
            </w:r>
          </w:p>
        </w:tc>
        <w:tc>
          <w:tcPr>
            <w:tcW w:w="1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58</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49</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shd w:fill="auto" w:val="clear"/>
            <w:vAlign w:val="center"/>
          </w:tcPr>
          <w:p>
            <w:pPr>
              <w:pStyle w:val="TableContents"/>
              <w:spacing w:before="0" w:after="0"/>
              <w:jc w:val="right"/>
              <w:rPr>
                <w:rFonts w:ascii="inherit" w:hAnsi="inherit"/>
                <w:sz w:val="17"/>
              </w:rPr>
            </w:pPr>
            <w:r>
              <w:rPr>
                <w:rFonts w:ascii="inherit" w:hAnsi="inherit"/>
                <w:sz w:val="17"/>
              </w:rPr>
              <w:t>45</w:t>
            </w:r>
          </w:p>
        </w:tc>
        <w:tc>
          <w:tcPr>
            <w:tcW w:w="1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94</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1"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18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082"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199"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450" w:type="dxa"/>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146"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223" w:type="dxa"/>
            <w:tcBorders>
              <w:bottom w:val="single" w:sz="2" w:space="0" w:color="000000"/>
            </w:tcBorders>
            <w:shd w:fill="CCEEFF"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w:t>
            </w:r>
          </w:p>
        </w:tc>
        <w:tc>
          <w:tcPr>
            <w:tcW w:w="574" w:type="dxa"/>
            <w:tcBorders>
              <w:bottom w:val="single" w:sz="2" w:space="0" w:color="000000"/>
            </w:tcBorders>
            <w:shd w:fill="CCEEFF" w:val="clear"/>
            <w:tcMar>
              <w:bottom w:w="30" w:type="dxa"/>
            </w:tcM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1"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982</w:t>
            </w:r>
          </w:p>
        </w:tc>
        <w:tc>
          <w:tcPr>
            <w:tcW w:w="18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08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268</w:t>
            </w:r>
          </w:p>
        </w:tc>
        <w:tc>
          <w:tcPr>
            <w:tcW w:w="199"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bottom w:val="double" w:sz="6" w:space="0" w:color="000000"/>
            </w:tcBorders>
            <w:shd w:fill="auto" w:val="clear"/>
            <w:tcMar>
              <w:bottom w:w="30" w:type="dxa"/>
            </w:tcMar>
            <w:vAlign w:val="center"/>
          </w:tcPr>
          <w:p>
            <w:pPr>
              <w:pStyle w:val="TableContents"/>
              <w:spacing w:before="0" w:after="0"/>
              <w:jc w:val="right"/>
              <w:rPr/>
            </w:pPr>
            <w:r>
              <w:rPr/>
              <w:t>—</w:t>
            </w:r>
          </w:p>
        </w:tc>
        <w:tc>
          <w:tcPr>
            <w:tcW w:w="146"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1,250</w:t>
            </w:r>
          </w:p>
        </w:tc>
        <w:tc>
          <w:tcPr>
            <w:tcW w:w="223"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74" w:type="dxa"/>
            <w:tcBorders>
              <w:bottom w:val="double" w:sz="6" w:space="0" w:color="000000"/>
            </w:tcBorders>
            <w:shd w:fill="auto"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40</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tbl>
      <w:tblPr>
        <w:tblW w:w="10205" w:type="dxa"/>
        <w:jc w:val="left"/>
        <w:tblInd w:w="0" w:type="dxa"/>
        <w:tblCellMar>
          <w:top w:w="0" w:type="dxa"/>
          <w:left w:w="0" w:type="dxa"/>
          <w:bottom w:w="0" w:type="dxa"/>
          <w:right w:w="0" w:type="dxa"/>
        </w:tblCellMar>
      </w:tblPr>
      <w:tblGrid>
        <w:gridCol w:w="2470"/>
        <w:gridCol w:w="1051"/>
        <w:gridCol w:w="189"/>
        <w:gridCol w:w="135"/>
        <w:gridCol w:w="1180"/>
        <w:gridCol w:w="102"/>
        <w:gridCol w:w="135"/>
        <w:gridCol w:w="1450"/>
        <w:gridCol w:w="146"/>
        <w:gridCol w:w="135"/>
        <w:gridCol w:w="1387"/>
        <w:gridCol w:w="223"/>
        <w:gridCol w:w="135"/>
        <w:gridCol w:w="894"/>
        <w:gridCol w:w="57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 2011</w:t>
            </w:r>
          </w:p>
        </w:tc>
      </w:tr>
      <w:tr>
        <w:trPr/>
        <w:tc>
          <w:tcPr>
            <w:tcW w:w="2470" w:type="dxa"/>
            <w:tcBorders/>
            <w:shd w:fill="auto" w:val="clear"/>
            <w:vAlign w:val="center"/>
          </w:tcPr>
          <w:p>
            <w:pPr>
              <w:pStyle w:val="TableContents"/>
              <w:spacing w:before="0" w:after="0"/>
              <w:ind w:left="0" w:right="0" w:firstLine="30"/>
              <w:jc w:val="left"/>
              <w:rPr/>
            </w:pPr>
            <w:r>
              <w:rPr/>
              <w:t> </w:t>
            </w:r>
          </w:p>
        </w:tc>
        <w:tc>
          <w:tcPr>
            <w:tcW w:w="613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7"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910</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147</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1,057</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180" w:type="dxa"/>
            <w:tcBorders/>
            <w:shd w:fill="CCEEFF" w:val="clear"/>
            <w:vAlign w:val="center"/>
          </w:tcPr>
          <w:p>
            <w:pPr>
              <w:pStyle w:val="TableContents"/>
              <w:spacing w:before="0" w:after="0"/>
              <w:jc w:val="right"/>
              <w:rPr>
                <w:rFonts w:ascii="inherit" w:hAnsi="inherit"/>
                <w:sz w:val="17"/>
              </w:rPr>
            </w:pPr>
            <w:r>
              <w:rPr>
                <w:rFonts w:ascii="inherit" w:hAnsi="inherit"/>
                <w:sz w:val="17"/>
              </w:rPr>
              <w:t>8</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9</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23</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180" w:type="dxa"/>
            <w:tcBorders/>
            <w:shd w:fill="CCEEFF" w:val="clear"/>
            <w:vAlign w:val="center"/>
          </w:tcPr>
          <w:p>
            <w:pPr>
              <w:pStyle w:val="TableContents"/>
              <w:spacing w:before="0" w:after="0"/>
              <w:jc w:val="right"/>
              <w:rPr/>
            </w:pPr>
            <w:r>
              <w:rPr/>
              <w:t>—</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928</w:t>
            </w:r>
          </w:p>
        </w:tc>
        <w:tc>
          <w:tcPr>
            <w:tcW w:w="1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155</w:t>
            </w:r>
          </w:p>
        </w:tc>
        <w:tc>
          <w:tcPr>
            <w:tcW w:w="10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1,083</w:t>
            </w:r>
          </w:p>
        </w:tc>
        <w:tc>
          <w:tcPr>
            <w:tcW w:w="2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7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70"/>
        <w:gridCol w:w="1051"/>
        <w:gridCol w:w="189"/>
        <w:gridCol w:w="135"/>
        <w:gridCol w:w="1180"/>
        <w:gridCol w:w="102"/>
        <w:gridCol w:w="135"/>
        <w:gridCol w:w="1450"/>
        <w:gridCol w:w="146"/>
        <w:gridCol w:w="135"/>
        <w:gridCol w:w="1387"/>
        <w:gridCol w:w="223"/>
        <w:gridCol w:w="135"/>
        <w:gridCol w:w="894"/>
        <w:gridCol w:w="573"/>
      </w:tblGrid>
      <w:tr>
        <w:trPr/>
        <w:tc>
          <w:tcPr>
            <w:tcW w:w="10205" w:type="dxa"/>
            <w:gridSpan w:val="15"/>
            <w:tcBorders/>
            <w:shd w:fill="auto" w:val="clear"/>
            <w:vAlign w:val="center"/>
          </w:tcPr>
          <w:p>
            <w:pPr>
              <w:pStyle w:val="TableContents"/>
              <w:spacing w:before="0" w:after="283"/>
              <w:rPr>
                <w:sz w:val="4"/>
                <w:szCs w:val="4"/>
              </w:rPr>
            </w:pPr>
            <w:r>
              <w:rPr>
                <w:sz w:val="4"/>
                <w:szCs w:val="4"/>
              </w:rPr>
            </w:r>
          </w:p>
        </w:tc>
      </w:tr>
      <w:tr>
        <w:trPr/>
        <w:tc>
          <w:tcPr>
            <w:tcW w:w="2470" w:type="dxa"/>
            <w:tcBorders/>
            <w:shd w:fill="auto" w:val="clear"/>
            <w:vAlign w:val="center"/>
          </w:tcPr>
          <w:p>
            <w:pPr>
              <w:pStyle w:val="TableContents"/>
              <w:spacing w:before="0" w:after="283"/>
              <w:rPr>
                <w:sz w:val="4"/>
                <w:szCs w:val="4"/>
              </w:rPr>
            </w:pPr>
            <w:r>
              <w:rPr>
                <w:sz w:val="4"/>
                <w:szCs w:val="4"/>
              </w:rPr>
            </w:r>
          </w:p>
        </w:tc>
        <w:tc>
          <w:tcPr>
            <w:tcW w:w="1051" w:type="dxa"/>
            <w:tcBorders/>
            <w:shd w:fill="auto" w:val="clear"/>
            <w:vAlign w:val="center"/>
          </w:tcPr>
          <w:p>
            <w:pPr>
              <w:pStyle w:val="TableContents"/>
              <w:spacing w:before="0" w:after="283"/>
              <w:rPr>
                <w:sz w:val="4"/>
                <w:szCs w:val="4"/>
              </w:rPr>
            </w:pPr>
            <w:r>
              <w:rPr>
                <w:sz w:val="4"/>
                <w:szCs w:val="4"/>
              </w:rPr>
            </w:r>
          </w:p>
        </w:tc>
        <w:tc>
          <w:tcPr>
            <w:tcW w:w="18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4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87"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57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470" w:type="dxa"/>
            <w:tcBorders/>
            <w:shd w:fill="auto" w:val="clear"/>
            <w:vAlign w:val="center"/>
          </w:tcPr>
          <w:p>
            <w:pPr>
              <w:pStyle w:val="TableContents"/>
              <w:spacing w:before="0" w:after="0"/>
              <w:ind w:left="0" w:right="0" w:firstLine="30"/>
              <w:jc w:val="left"/>
              <w:rPr/>
            </w:pPr>
            <w:r>
              <w:rPr/>
              <w:t> </w:t>
            </w:r>
          </w:p>
        </w:tc>
        <w:tc>
          <w:tcPr>
            <w:tcW w:w="7735" w:type="dxa"/>
            <w:gridSpan w:val="14"/>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 2011</w:t>
            </w:r>
          </w:p>
        </w:tc>
      </w:tr>
      <w:tr>
        <w:trPr/>
        <w:tc>
          <w:tcPr>
            <w:tcW w:w="2470" w:type="dxa"/>
            <w:tcBorders/>
            <w:shd w:fill="auto" w:val="clear"/>
            <w:vAlign w:val="center"/>
          </w:tcPr>
          <w:p>
            <w:pPr>
              <w:pStyle w:val="TableContents"/>
              <w:spacing w:before="0" w:after="0"/>
              <w:ind w:left="0" w:right="0" w:firstLine="30"/>
              <w:jc w:val="left"/>
              <w:rPr/>
            </w:pPr>
            <w:r>
              <w:rPr/>
              <w:t> </w:t>
            </w:r>
          </w:p>
        </w:tc>
        <w:tc>
          <w:tcPr>
            <w:tcW w:w="6133" w:type="dxa"/>
            <w:gridSpan w:val="11"/>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Company-owned Stores</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shd w:fill="auto" w:val="clear"/>
            <w:vAlign w:val="center"/>
          </w:tcPr>
          <w:p>
            <w:pPr>
              <w:pStyle w:val="TableContents"/>
              <w:spacing w:before="0" w:after="0"/>
              <w:ind w:left="0" w:right="0" w:firstLine="30"/>
              <w:jc w:val="left"/>
              <w:rPr/>
            </w:pPr>
            <w:r>
              <w:rPr/>
              <w:t> </w:t>
            </w:r>
          </w:p>
        </w:tc>
      </w:tr>
      <w:tr>
        <w:trPr/>
        <w:tc>
          <w:tcPr>
            <w:tcW w:w="2470" w:type="dxa"/>
            <w:tcBorders/>
            <w:shd w:fill="auto" w:val="clear"/>
            <w:vAlign w:val="center"/>
          </w:tcPr>
          <w:p>
            <w:pPr>
              <w:pStyle w:val="TableContents"/>
              <w:spacing w:before="0" w:after="0"/>
              <w:ind w:left="0" w:right="0" w:firstLine="30"/>
              <w:jc w:val="left"/>
              <w:rPr/>
            </w:pPr>
            <w:r>
              <w:rPr/>
              <w:t> </w:t>
            </w:r>
          </w:p>
        </w:tc>
        <w:tc>
          <w:tcPr>
            <w:tcW w:w="1240"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U.S. &amp;</w:t>
            </w:r>
          </w:p>
          <w:p>
            <w:pPr>
              <w:pStyle w:val="TableContents"/>
              <w:spacing w:before="0" w:after="0"/>
              <w:ind w:left="0" w:right="0" w:firstLine="30"/>
              <w:jc w:val="center"/>
              <w:rPr>
                <w:rFonts w:ascii="inherit" w:hAnsi="inherit"/>
                <w:b/>
                <w:sz w:val="13"/>
              </w:rPr>
            </w:pPr>
            <w:r>
              <w:rPr>
                <w:rFonts w:ascii="inherit" w:hAnsi="inherit"/>
                <w:b/>
                <w:sz w:val="13"/>
              </w:rPr>
              <w:t>Canada</w:t>
            </w:r>
          </w:p>
        </w:tc>
        <w:tc>
          <w:tcPr>
            <w:tcW w:w="135" w:type="dxa"/>
            <w:tcBorders/>
            <w:shd w:fill="auto" w:val="clear"/>
            <w:vAlign w:val="center"/>
          </w:tcPr>
          <w:p>
            <w:pPr>
              <w:pStyle w:val="TableContents"/>
              <w:spacing w:before="0" w:after="0"/>
              <w:ind w:left="0" w:right="0" w:firstLine="30"/>
              <w:rPr/>
            </w:pPr>
            <w:r>
              <w:rPr/>
              <w:t> </w:t>
            </w:r>
          </w:p>
        </w:tc>
        <w:tc>
          <w:tcPr>
            <w:tcW w:w="1282"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Latin</w:t>
            </w:r>
          </w:p>
          <w:p>
            <w:pPr>
              <w:pStyle w:val="TableContents"/>
              <w:spacing w:before="0" w:after="0"/>
              <w:ind w:left="0" w:right="0" w:firstLine="30"/>
              <w:jc w:val="center"/>
              <w:rPr>
                <w:rFonts w:ascii="inherit" w:hAnsi="inherit"/>
                <w:b/>
                <w:sz w:val="13"/>
              </w:rPr>
            </w:pPr>
            <w:r>
              <w:rPr>
                <w:rFonts w:ascii="inherit" w:hAnsi="inherit"/>
                <w:b/>
                <w:sz w:val="13"/>
              </w:rPr>
              <w:t>America</w:t>
            </w:r>
          </w:p>
        </w:tc>
        <w:tc>
          <w:tcPr>
            <w:tcW w:w="135" w:type="dxa"/>
            <w:tcBorders/>
            <w:shd w:fill="auto" w:val="clear"/>
            <w:vAlign w:val="center"/>
          </w:tcPr>
          <w:p>
            <w:pPr>
              <w:pStyle w:val="TableContents"/>
              <w:spacing w:before="0" w:after="0"/>
              <w:ind w:left="0" w:right="0" w:firstLine="30"/>
              <w:rPr/>
            </w:pPr>
            <w:r>
              <w:rPr/>
              <w:t> </w:t>
            </w:r>
          </w:p>
        </w:tc>
        <w:tc>
          <w:tcPr>
            <w:tcW w:w="1596" w:type="dxa"/>
            <w:gridSpan w:val="2"/>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Other</w:t>
            </w:r>
          </w:p>
          <w:p>
            <w:pPr>
              <w:pStyle w:val="TableContents"/>
              <w:spacing w:before="0" w:after="0"/>
              <w:ind w:left="0" w:right="0" w:firstLine="30"/>
              <w:jc w:val="center"/>
              <w:rPr>
                <w:rFonts w:ascii="inherit" w:hAnsi="inherit"/>
                <w:b/>
                <w:sz w:val="13"/>
              </w:rPr>
            </w:pPr>
            <w:r>
              <w:rPr>
                <w:rFonts w:ascii="inherit" w:hAnsi="inherit"/>
                <w:b/>
                <w:sz w:val="13"/>
              </w:rPr>
              <w:t>International</w:t>
            </w:r>
          </w:p>
        </w:tc>
        <w:tc>
          <w:tcPr>
            <w:tcW w:w="135" w:type="dxa"/>
            <w:tcBorders/>
            <w:shd w:fill="auto" w:val="clear"/>
            <w:vAlign w:val="center"/>
          </w:tcPr>
          <w:p>
            <w:pPr>
              <w:pStyle w:val="TableContents"/>
              <w:spacing w:before="0" w:after="0"/>
              <w:ind w:left="0" w:right="0" w:firstLine="30"/>
              <w:rPr/>
            </w:pPr>
            <w:r>
              <w:rPr/>
              <w:t> </w:t>
            </w:r>
          </w:p>
        </w:tc>
        <w:tc>
          <w:tcPr>
            <w:tcW w:w="1610"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Consolidated</w:t>
            </w:r>
          </w:p>
        </w:tc>
        <w:tc>
          <w:tcPr>
            <w:tcW w:w="135" w:type="dxa"/>
            <w:tcBorders/>
            <w:shd w:fill="auto" w:val="clear"/>
            <w:vAlign w:val="center"/>
          </w:tcPr>
          <w:p>
            <w:pPr>
              <w:pStyle w:val="TableContents"/>
              <w:spacing w:before="0" w:after="0"/>
              <w:ind w:left="0" w:right="0" w:firstLine="30"/>
              <w:rPr/>
            </w:pPr>
            <w:r>
              <w:rPr/>
              <w:t> </w:t>
            </w:r>
          </w:p>
        </w:tc>
        <w:tc>
          <w:tcPr>
            <w:tcW w:w="1467" w:type="dxa"/>
            <w:gridSpan w:val="2"/>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Franchises</w:t>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Stores in operation:</w:t>
            </w:r>
          </w:p>
        </w:tc>
        <w:tc>
          <w:tcPr>
            <w:tcW w:w="124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282"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596"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610" w:type="dxa"/>
            <w:gridSpan w:val="2"/>
            <w:tcBorders/>
            <w:shd w:fill="CCEEFF" w:val="clear"/>
            <w:vAlign w:val="center"/>
          </w:tcPr>
          <w:p>
            <w:pPr>
              <w:pStyle w:val="TableContents"/>
              <w:spacing w:before="0" w:after="0"/>
              <w:ind w:left="0" w:right="0" w:firstLine="30"/>
              <w:rPr/>
            </w:pPr>
            <w:r>
              <w:rPr/>
              <w:t> </w:t>
            </w:r>
          </w:p>
        </w:tc>
        <w:tc>
          <w:tcPr>
            <w:tcW w:w="135" w:type="dxa"/>
            <w:tcBorders/>
            <w:shd w:fill="CCEEFF" w:val="clear"/>
            <w:vAlign w:val="center"/>
          </w:tcPr>
          <w:p>
            <w:pPr>
              <w:pStyle w:val="TableContents"/>
              <w:spacing w:before="0" w:after="0"/>
              <w:ind w:left="0" w:right="0" w:firstLine="30"/>
              <w:rPr/>
            </w:pPr>
            <w:r>
              <w:rPr/>
              <w:t> </w:t>
            </w:r>
          </w:p>
        </w:tc>
        <w:tc>
          <w:tcPr>
            <w:tcW w:w="1467" w:type="dxa"/>
            <w:gridSpan w:val="2"/>
            <w:tcBorders/>
            <w:shd w:fill="CCEEFF" w:val="clear"/>
            <w:vAlign w:val="center"/>
          </w:tcPr>
          <w:p>
            <w:pPr>
              <w:pStyle w:val="TableContents"/>
              <w:spacing w:before="0" w:after="0"/>
              <w:ind w:left="0" w:right="0" w:firstLine="420"/>
              <w:rPr/>
            </w:pPr>
            <w:r>
              <w:rPr/>
              <w:t> </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Beginning of period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891</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rFonts w:ascii="inherit" w:hAnsi="inherit"/>
                <w:sz w:val="17"/>
              </w:rPr>
            </w:pPr>
            <w:r>
              <w:rPr>
                <w:rFonts w:ascii="inherit" w:hAnsi="inherit"/>
                <w:sz w:val="17"/>
              </w:rPr>
              <w:t>115</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1,006</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pPr>
            <w:r>
              <w:rPr/>
              <w:t>—</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 novo</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16</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180" w:type="dxa"/>
            <w:tcBorders/>
            <w:shd w:fill="CCEEFF" w:val="clear"/>
            <w:vAlign w:val="center"/>
          </w:tcPr>
          <w:p>
            <w:pPr>
              <w:pStyle w:val="TableContents"/>
              <w:spacing w:before="0" w:after="0"/>
              <w:jc w:val="right"/>
              <w:rPr>
                <w:rFonts w:ascii="inherit" w:hAnsi="inherit"/>
                <w:sz w:val="17"/>
              </w:rPr>
            </w:pPr>
            <w:r>
              <w:rPr>
                <w:rFonts w:ascii="inherit" w:hAnsi="inherit"/>
                <w:sz w:val="17"/>
              </w:rPr>
              <w:t>40</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56</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pPr>
            <w:r>
              <w:rPr/>
              <w:t>—</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Acquired</w:t>
            </w:r>
          </w:p>
        </w:tc>
        <w:tc>
          <w:tcPr>
            <w:tcW w:w="1051" w:type="dxa"/>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18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shd w:fill="auto" w:val="clear"/>
            <w:vAlign w:val="center"/>
          </w:tcPr>
          <w:p>
            <w:pPr>
              <w:pStyle w:val="TableContents"/>
              <w:spacing w:before="0" w:after="0"/>
              <w:jc w:val="right"/>
              <w:rPr/>
            </w:pPr>
            <w:r>
              <w:rPr/>
              <w:t>—</w:t>
            </w:r>
          </w:p>
        </w:tc>
        <w:tc>
          <w:tcPr>
            <w:tcW w:w="1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shd w:fill="auto" w:val="clear"/>
            <w:vAlign w:val="center"/>
          </w:tcPr>
          <w:p>
            <w:pPr>
              <w:pStyle w:val="TableContents"/>
              <w:spacing w:before="0" w:after="0"/>
              <w:jc w:val="right"/>
              <w:rPr/>
            </w:pPr>
            <w:r>
              <w:rPr/>
              <w:t>—</w:t>
            </w:r>
          </w:p>
        </w:tc>
        <w:tc>
          <w:tcPr>
            <w:tcW w:w="1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shd w:fill="auto" w:val="clear"/>
            <w:vAlign w:val="center"/>
          </w:tcPr>
          <w:p>
            <w:pPr>
              <w:pStyle w:val="TableContents"/>
              <w:spacing w:before="0" w:after="0"/>
              <w:jc w:val="right"/>
              <w:rPr>
                <w:rFonts w:ascii="inherit" w:hAnsi="inherit"/>
                <w:sz w:val="17"/>
              </w:rPr>
            </w:pPr>
            <w:r>
              <w:rPr>
                <w:rFonts w:ascii="inherit" w:hAnsi="inherit"/>
                <w:sz w:val="17"/>
              </w:rPr>
              <w:t>32</w:t>
            </w:r>
          </w:p>
        </w:tc>
        <w:tc>
          <w:tcPr>
            <w:tcW w:w="22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57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247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Sold, combined, or closed</w:t>
            </w:r>
          </w:p>
        </w:tc>
        <w:tc>
          <w:tcPr>
            <w:tcW w:w="1051"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18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1180" w:type="dxa"/>
            <w:tcBorders/>
            <w:shd w:fill="CCEEFF" w:val="clear"/>
            <w:vAlign w:val="center"/>
          </w:tcPr>
          <w:p>
            <w:pPr>
              <w:pStyle w:val="TableContents"/>
              <w:spacing w:before="0" w:after="0"/>
              <w:jc w:val="right"/>
              <w:rPr/>
            </w:pPr>
            <w:r>
              <w:rPr/>
              <w:t>—</w:t>
            </w:r>
          </w:p>
        </w:tc>
        <w:tc>
          <w:tcPr>
            <w:tcW w:w="1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450" w:type="dxa"/>
            <w:tcBorders/>
            <w:shd w:fill="CCEEFF" w:val="clear"/>
            <w:vAlign w:val="center"/>
          </w:tcPr>
          <w:p>
            <w:pPr>
              <w:pStyle w:val="TableContents"/>
              <w:spacing w:before="0" w:after="0"/>
              <w:jc w:val="right"/>
              <w:rPr/>
            </w:pPr>
            <w:r>
              <w:rPr/>
              <w:t>—</w:t>
            </w:r>
          </w:p>
        </w:tc>
        <w:tc>
          <w:tcPr>
            <w:tcW w:w="1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CCEEFF" w:val="clear"/>
            <w:vAlign w:val="center"/>
          </w:tcPr>
          <w:p>
            <w:pPr>
              <w:pStyle w:val="TableContents"/>
              <w:spacing w:before="0" w:after="0"/>
              <w:ind w:left="0" w:right="0" w:firstLine="30"/>
              <w:rPr/>
            </w:pPr>
            <w:r>
              <w:rPr/>
              <w:t> </w:t>
            </w:r>
          </w:p>
        </w:tc>
        <w:tc>
          <w:tcPr>
            <w:tcW w:w="1387" w:type="dxa"/>
            <w:tcBorders/>
            <w:shd w:fill="CCEEFF" w:val="clear"/>
            <w:vAlign w:val="center"/>
          </w:tcPr>
          <w:p>
            <w:pPr>
              <w:pStyle w:val="TableContents"/>
              <w:spacing w:before="0" w:after="0"/>
              <w:jc w:val="right"/>
              <w:rPr>
                <w:rFonts w:ascii="inherit" w:hAnsi="inherit"/>
                <w:sz w:val="17"/>
              </w:rPr>
            </w:pPr>
            <w:r>
              <w:rPr>
                <w:rFonts w:ascii="inherit" w:hAnsi="inherit"/>
                <w:sz w:val="17"/>
              </w:rPr>
              <w:t>(11</w:t>
            </w:r>
          </w:p>
        </w:tc>
        <w:tc>
          <w:tcPr>
            <w:tcW w:w="22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35" w:type="dxa"/>
            <w:tcBorders/>
            <w:shd w:fill="CCEEFF" w:val="clear"/>
            <w:vAlign w:val="center"/>
          </w:tcPr>
          <w:p>
            <w:pPr>
              <w:pStyle w:val="TableContents"/>
              <w:spacing w:before="0" w:after="0"/>
              <w:ind w:left="0" w:right="0" w:firstLine="30"/>
              <w:rPr/>
            </w:pPr>
            <w:r>
              <w:rPr/>
              <w:t> </w:t>
            </w:r>
          </w:p>
        </w:tc>
        <w:tc>
          <w:tcPr>
            <w:tcW w:w="894" w:type="dxa"/>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57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24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End of period</w:t>
            </w:r>
          </w:p>
        </w:tc>
        <w:tc>
          <w:tcPr>
            <w:tcW w:w="1051"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928</w:t>
            </w:r>
          </w:p>
        </w:tc>
        <w:tc>
          <w:tcPr>
            <w:tcW w:w="189"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18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155</w:t>
            </w:r>
          </w:p>
        </w:tc>
        <w:tc>
          <w:tcPr>
            <w:tcW w:w="102"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450"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pPr>
            <w:r>
              <w:rPr/>
              <w:t>—</w:t>
            </w:r>
          </w:p>
        </w:tc>
        <w:tc>
          <w:tcPr>
            <w:tcW w:w="146"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1387"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1,083</w:t>
            </w:r>
          </w:p>
        </w:tc>
        <w:tc>
          <w:tcPr>
            <w:tcW w:w="22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35" w:type="dxa"/>
            <w:tcBorders/>
            <w:shd w:fill="auto" w:val="clear"/>
            <w:vAlign w:val="center"/>
          </w:tcPr>
          <w:p>
            <w:pPr>
              <w:pStyle w:val="TableContents"/>
              <w:spacing w:before="0" w:after="0"/>
              <w:ind w:left="0" w:right="0" w:firstLine="30"/>
              <w:rPr/>
            </w:pPr>
            <w:r>
              <w:rPr/>
              <w:t> </w:t>
            </w:r>
          </w:p>
        </w:tc>
        <w:tc>
          <w:tcPr>
            <w:tcW w:w="894" w:type="dxa"/>
            <w:tcBorders>
              <w:top w:val="single" w:sz="2"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12</w:t>
            </w:r>
          </w:p>
        </w:tc>
        <w:tc>
          <w:tcPr>
            <w:tcW w:w="573" w:type="dxa"/>
            <w:tcBorders>
              <w:top w:val="single" w:sz="2" w:space="0" w:color="000000"/>
              <w:bottom w:val="double" w:sz="6" w:space="0" w:color="000000"/>
            </w:tcBorders>
            <w:shd w:fill="auto" w:val="clear"/>
            <w:tcMar>
              <w:top w:w="28" w:type="dxa"/>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u w:val="single"/>
        </w:rPr>
      </w:pPr>
      <w:r>
        <w:rPr>
          <w:rFonts w:ascii="inherit" w:hAnsi="inherit"/>
          <w:sz w:val="17"/>
          <w:u w:val="single"/>
        </w:rPr>
        <w:t>Pawn and Retail Activities</w:t>
      </w:r>
    </w:p>
    <w:p>
      <w:pPr>
        <w:pStyle w:val="TextBody"/>
        <w:spacing w:lineRule="auto" w:line="288" w:before="0" w:after="0"/>
        <w:rPr>
          <w:sz w:val="17"/>
        </w:rPr>
      </w:pPr>
      <w:r>
        <w:rPr>
          <w:rFonts w:ascii="inherit" w:hAnsi="inherit"/>
          <w:sz w:val="17"/>
        </w:rPr>
        <w:t xml:space="preserve">We earn pawn service charge revenues on our pawn lending. While allowable service charges vary by state and loan size, a majority of our U.S. pawn loans earn </w:t>
      </w:r>
      <w:r>
        <w:rPr>
          <w:rFonts w:ascii="inherit" w:hAnsi="inherit"/>
          <w:strike w:val="false"/>
          <w:dstrike w:val="false"/>
          <w:color w:val="000000"/>
          <w:sz w:val="17"/>
          <w:u w:val="none"/>
          <w:effect w:val="none"/>
        </w:rPr>
        <w:t>20%</w:t>
      </w:r>
      <w:r>
        <w:rPr>
          <w:sz w:val="17"/>
        </w:rPr>
        <w:t> </w:t>
      </w:r>
      <w:r>
        <w:rPr>
          <w:rFonts w:ascii="inherit" w:hAnsi="inherit"/>
          <w:sz w:val="17"/>
        </w:rPr>
        <w:t xml:space="preserve">per month. Our average U.S. pawn loan amount typically ranges between </w:t>
      </w:r>
      <w:r>
        <w:rPr>
          <w:rFonts w:ascii="inherit" w:hAnsi="inherit"/>
          <w:strike w:val="false"/>
          <w:dstrike w:val="false"/>
          <w:color w:val="000000"/>
          <w:sz w:val="17"/>
          <w:u w:val="none"/>
          <w:effect w:val="none"/>
        </w:rPr>
        <w:t>$125</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$145</w:t>
      </w:r>
      <w:r>
        <w:rPr>
          <w:sz w:val="17"/>
        </w:rPr>
        <w:t xml:space="preserve"> </w:t>
      </w:r>
      <w:r>
        <w:rPr>
          <w:rFonts w:ascii="inherit" w:hAnsi="inherit"/>
          <w:sz w:val="17"/>
        </w:rPr>
        <w:t xml:space="preserve">but varies depending on the valuation of each item pawned. The total U.S. loan term ranges between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120</w:t>
      </w:r>
      <w:r>
        <w:rPr>
          <w:sz w:val="17"/>
        </w:rPr>
        <w:t xml:space="preserve"> </w:t>
      </w:r>
      <w:r>
        <w:rPr>
          <w:rFonts w:ascii="inherit" w:hAnsi="inherit"/>
          <w:sz w:val="17"/>
        </w:rPr>
        <w:t xml:space="preserve">days, consisting of the primary term and grace period. In Mexico, pawn service charges range from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21%</w:t>
      </w:r>
      <w:r>
        <w:rPr>
          <w:sz w:val="17"/>
        </w:rPr>
        <w:t> </w:t>
      </w:r>
      <w:r>
        <w:rPr>
          <w:rFonts w:ascii="inherit" w:hAnsi="inherit"/>
          <w:sz w:val="17"/>
        </w:rPr>
        <w:t xml:space="preserve">per month, including applicable taxes, with the majority of loans earning </w:t>
      </w:r>
      <w:r>
        <w:rPr>
          <w:rFonts w:ascii="inherit" w:hAnsi="inherit"/>
          <w:strike w:val="false"/>
          <w:dstrike w:val="false"/>
          <w:color w:val="000000"/>
          <w:sz w:val="17"/>
          <w:u w:val="none"/>
          <w:effect w:val="none"/>
        </w:rPr>
        <w:t>21%</w:t>
      </w:r>
      <w:r>
        <w:rPr>
          <w:rFonts w:ascii="inherit" w:hAnsi="inherit"/>
          <w:sz w:val="17"/>
        </w:rPr>
        <w:t xml:space="preserve">. The total Mexico pawn loan term is </w:t>
      </w:r>
      <w:r>
        <w:rPr>
          <w:rFonts w:ascii="inherit" w:hAnsi="inherit"/>
          <w:strike w:val="false"/>
          <w:dstrike w:val="false"/>
          <w:color w:val="000000"/>
          <w:sz w:val="17"/>
          <w:u w:val="none"/>
          <w:effect w:val="none"/>
        </w:rPr>
        <w:t>40</w:t>
      </w:r>
      <w:r>
        <w:rPr>
          <w:sz w:val="17"/>
        </w:rPr>
        <w:t xml:space="preserve"> </w:t>
      </w:r>
      <w:r>
        <w:rPr>
          <w:rFonts w:ascii="inherit" w:hAnsi="inherit"/>
          <w:sz w:val="17"/>
        </w:rPr>
        <w:t xml:space="preserve">days, consisting of the primary term and grace period. Individual loans are made in Mexican pesos and vary depending on the valuation of each item pawned, but typically average </w:t>
      </w:r>
      <w:r>
        <w:rPr>
          <w:rFonts w:ascii="inherit" w:hAnsi="inherit"/>
          <w:strike w:val="false"/>
          <w:dstrike w:val="false"/>
          <w:color w:val="000000"/>
          <w:sz w:val="17"/>
          <w:u w:val="none"/>
          <w:effect w:val="none"/>
        </w:rPr>
        <w:t>$60</w:t>
      </w:r>
      <w:r>
        <w:rPr>
          <w:sz w:val="17"/>
        </w:rPr>
        <w:t xml:space="preserve"> </w:t>
      </w:r>
      <w:r>
        <w:rPr>
          <w:rFonts w:ascii="inherit" w:hAnsi="inherit"/>
          <w:sz w:val="17"/>
        </w:rPr>
        <w:t>U.S. dollars.</w:t>
      </w:r>
    </w:p>
    <w:p>
      <w:pPr>
        <w:pStyle w:val="TextBody"/>
        <w:spacing w:lineRule="auto" w:line="288" w:before="0" w:after="0"/>
        <w:rPr>
          <w:rFonts w:ascii="inherit" w:hAnsi="inherit"/>
          <w:sz w:val="17"/>
        </w:rPr>
      </w:pPr>
      <w:r>
        <w:rPr>
          <w:rFonts w:ascii="inherit" w:hAnsi="inherit"/>
          <w:sz w:val="17"/>
        </w:rPr>
        <w:t>In our pawn stores, retail stores in Pennsylvania and Virginia and certain financial services stores in Canada, we acquire inventory for retail sales through pawn loan forfeitures, purchases of customers’ second hand merchandise or purchases of new or refurbished merchandise from third party vendors. The gross profit on sales of inventory depends primarily on our assessment of the loan or purchase value at the time the property is either accepted as loan collateral or purchased. Margins achieved upon sale of inventory are a function of the assessment of value at the time the pawn loan was originated or, in the case of purchased merchandise, the purchase price.</w:t>
      </w:r>
    </w:p>
    <w:p>
      <w:pPr>
        <w:pStyle w:val="TextBody"/>
        <w:spacing w:lineRule="auto" w:line="288" w:before="0" w:after="0"/>
        <w:rPr>
          <w:sz w:val="17"/>
        </w:rPr>
      </w:pPr>
      <w:r>
        <w:rPr>
          <w:rFonts w:ascii="inherit" w:hAnsi="inherit"/>
          <w:sz w:val="17"/>
        </w:rPr>
        <w:t xml:space="preserve">We record a valuation allowance for obsolete or slow-moving inventory based on the type and age of merchandise. We generally establish a higher allowance percentage on general merchandise, as it is more susceptible to obsolescence, and establish a lower allowance percentage on jewelry, as it generally has greater inherent commodity value. At </w:t>
      </w:r>
      <w:r>
        <w:rPr>
          <w:rFonts w:ascii="inherit" w:hAnsi="inherit"/>
          <w:strike w:val="false"/>
          <w:dstrike w:val="false"/>
          <w:color w:val="000000"/>
          <w:sz w:val="17"/>
          <w:u w:val="none"/>
          <w:effect w:val="none"/>
        </w:rPr>
        <w:t>June 30, 2012</w:t>
      </w:r>
      <w:r>
        <w:rPr>
          <w:rFonts w:ascii="inherit" w:hAnsi="inherit"/>
          <w:sz w:val="17"/>
        </w:rPr>
        <w:t xml:space="preserve">, our total allowance was </w:t>
      </w:r>
      <w:r>
        <w:rPr>
          <w:rFonts w:ascii="inherit" w:hAnsi="inherit"/>
          <w:strike w:val="false"/>
          <w:dstrike w:val="false"/>
          <w:color w:val="000000"/>
          <w:sz w:val="17"/>
          <w:u w:val="none"/>
          <w:effect w:val="none"/>
        </w:rPr>
        <w:t>6.5%</w:t>
      </w:r>
      <w:r>
        <w:rPr>
          <w:sz w:val="17"/>
        </w:rPr>
        <w:t xml:space="preserve"> </w:t>
      </w:r>
      <w:r>
        <w:rPr>
          <w:rFonts w:ascii="inherit" w:hAnsi="inherit"/>
          <w:sz w:val="17"/>
        </w:rPr>
        <w:t xml:space="preserve">of gross inventory compared to </w:t>
      </w:r>
      <w:r>
        <w:rPr>
          <w:rFonts w:ascii="inherit" w:hAnsi="inherit"/>
          <w:strike w:val="false"/>
          <w:dstrike w:val="false"/>
          <w:color w:val="000000"/>
          <w:sz w:val="17"/>
          <w:u w:val="none"/>
          <w:effect w:val="none"/>
        </w:rPr>
        <w:t>9.2%</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June 30, 2011</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9.5%</w:t>
      </w:r>
      <w:r>
        <w:rPr>
          <w:sz w:val="17"/>
        </w:rPr>
        <w:t xml:space="preserve"> </w:t>
      </w:r>
      <w:r>
        <w:rPr>
          <w:rFonts w:ascii="inherit" w:hAnsi="inherit"/>
          <w:sz w:val="17"/>
        </w:rPr>
        <w:t xml:space="preserve">at </w:t>
      </w:r>
      <w:r>
        <w:rPr>
          <w:rFonts w:ascii="inherit" w:hAnsi="inherit"/>
          <w:strike w:val="false"/>
          <w:dstrike w:val="false"/>
          <w:color w:val="000000"/>
          <w:sz w:val="17"/>
          <w:u w:val="none"/>
          <w:effect w:val="none"/>
        </w:rPr>
        <w:t>September 30, 2011</w:t>
      </w:r>
      <w:r>
        <w:rPr>
          <w:rFonts w:ascii="inherit" w:hAnsi="inherit"/>
          <w:sz w:val="17"/>
        </w:rPr>
        <w:t>. Changes in the valuation allowance are charged to merchandise cost of goods sold.</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u w:val="single"/>
        </w:rPr>
      </w:pPr>
      <w:r>
        <w:rPr>
          <w:rFonts w:ascii="inherit" w:hAnsi="inherit"/>
          <w:sz w:val="17"/>
          <w:u w:val="single"/>
        </w:rPr>
        <w:t>Consumer Loan Activities</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2012</w:t>
      </w:r>
      <w:r>
        <w:rPr>
          <w:rFonts w:ascii="inherit" w:hAnsi="inherit"/>
          <w:sz w:val="17"/>
        </w:rPr>
        <w:t xml:space="preserve">, </w:t>
      </w:r>
      <w:r>
        <w:rPr>
          <w:rFonts w:ascii="inherit" w:hAnsi="inherit"/>
          <w:strike w:val="false"/>
          <w:dstrike w:val="false"/>
          <w:color w:val="000000"/>
          <w:sz w:val="17"/>
          <w:u w:val="none"/>
          <w:effect w:val="none"/>
        </w:rPr>
        <w:t>290</w:t>
      </w:r>
      <w:r>
        <w:rPr>
          <w:sz w:val="17"/>
        </w:rPr>
        <w:t xml:space="preserve"> </w:t>
      </w:r>
      <w:r>
        <w:rPr>
          <w:rFonts w:ascii="inherit" w:hAnsi="inherit"/>
          <w:sz w:val="17"/>
        </w:rPr>
        <w:t xml:space="preserve">of our U.S. financial services stores and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of our U.S. pawn stores in Texas offered credit services to customers seeking short-term consumer loans from unaffiliated lenders. We do not participate in any of the loans made by the lenders, but earn a fee for helping customers obtain credit and for enhancing customers’ creditworthiness by providing letters of credit to the unaffiliated lenders. Customers may obtain two types of signature loans from the unaffiliated lenders. In all stores offering signature loan credit services, customers can obtain payday loans, with principal amounts up to </w:t>
      </w:r>
      <w:r>
        <w:rPr>
          <w:rFonts w:ascii="inherit" w:hAnsi="inherit"/>
          <w:strike w:val="false"/>
          <w:dstrike w:val="false"/>
          <w:color w:val="000000"/>
          <w:sz w:val="17"/>
          <w:u w:val="none"/>
          <w:effect w:val="none"/>
        </w:rPr>
        <w:t>$1,500</w:t>
      </w:r>
      <w:r>
        <w:rPr>
          <w:sz w:val="17"/>
        </w:rPr>
        <w:t xml:space="preserve"> </w:t>
      </w:r>
      <w:r>
        <w:rPr>
          <w:rFonts w:ascii="inherit" w:hAnsi="inherit"/>
          <w:sz w:val="17"/>
        </w:rPr>
        <w:t xml:space="preserve">but averaging about </w:t>
      </w:r>
      <w:r>
        <w:rPr>
          <w:rFonts w:ascii="inherit" w:hAnsi="inherit"/>
          <w:strike w:val="false"/>
          <w:dstrike w:val="false"/>
          <w:color w:val="000000"/>
          <w:sz w:val="17"/>
          <w:u w:val="none"/>
          <w:effect w:val="none"/>
        </w:rPr>
        <w:t>$505</w:t>
      </w:r>
      <w:r>
        <w:rPr>
          <w:rFonts w:ascii="inherit" w:hAnsi="inherit"/>
          <w:sz w:val="17"/>
        </w:rPr>
        <w:t xml:space="preserve">. Terms of these loans are generally less than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days, averaging about </w:t>
      </w:r>
      <w:r>
        <w:rPr>
          <w:rFonts w:ascii="inherit" w:hAnsi="inherit"/>
          <w:strike w:val="false"/>
          <w:dstrike w:val="false"/>
          <w:color w:val="000000"/>
          <w:sz w:val="17"/>
          <w:u w:val="none"/>
          <w:effect w:val="none"/>
        </w:rPr>
        <w:t>16</w:t>
      </w:r>
      <w:r>
        <w:rPr>
          <w:sz w:val="17"/>
        </w:rPr>
        <w:t xml:space="preserve"> </w:t>
      </w:r>
      <w:r>
        <w:rPr>
          <w:rFonts w:ascii="inherit" w:hAnsi="inherit"/>
          <w:sz w:val="17"/>
        </w:rPr>
        <w:t xml:space="preserve">days, with due dates corresponding with the customers’ next payday. We typically earn a fee of </w:t>
      </w:r>
      <w:r>
        <w:rPr>
          <w:rFonts w:ascii="inherit" w:hAnsi="inherit"/>
          <w:strike w:val="false"/>
          <w:dstrike w:val="false"/>
          <w:color w:val="000000"/>
          <w:sz w:val="17"/>
          <w:u w:val="none"/>
          <w:effect w:val="none"/>
        </w:rPr>
        <w:t>22%</w:t>
      </w:r>
      <w:r>
        <w:rPr>
          <w:sz w:val="17"/>
        </w:rPr>
        <w:t xml:space="preserve"> </w:t>
      </w:r>
      <w:r>
        <w:rPr>
          <w:rFonts w:ascii="inherit" w:hAnsi="inherit"/>
          <w:sz w:val="17"/>
        </w:rPr>
        <w:t xml:space="preserve">of the loan amount for our credit services offered in connection with payday loans. In the financial services stores offering credit services, customers can obtain longer-term unsecured installment loans from the unaffiliated lenders. There are two types of installment loans offered in connection with our credit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41</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services. All installment loans typically carry terms of about </w:t>
      </w:r>
      <w:r>
        <w:rPr>
          <w:rFonts w:ascii="inherit" w:hAnsi="inherit"/>
          <w:strike w:val="false"/>
          <w:dstrike w:val="false"/>
          <w:color w:val="000000"/>
          <w:sz w:val="17"/>
          <w:u w:val="none"/>
          <w:effect w:val="none"/>
        </w:rPr>
        <w:t>five</w:t>
      </w:r>
      <w:r>
        <w:rPr>
          <w:sz w:val="17"/>
        </w:rPr>
        <w:t xml:space="preserve"> </w:t>
      </w:r>
      <w:r>
        <w:rPr>
          <w:rFonts w:ascii="inherit" w:hAnsi="inherit"/>
          <w:sz w:val="17"/>
        </w:rPr>
        <w:t xml:space="preserve">months with </w:t>
      </w:r>
      <w:r>
        <w:rPr>
          <w:rFonts w:ascii="inherit" w:hAnsi="inherit"/>
          <w:strike w:val="false"/>
          <w:dstrike w:val="false"/>
          <w:color w:val="000000"/>
          <w:sz w:val="17"/>
          <w:u w:val="none"/>
          <w:effect w:val="none"/>
        </w:rPr>
        <w:t>ten</w:t>
      </w:r>
      <w:r>
        <w:rPr>
          <w:sz w:val="17"/>
        </w:rPr>
        <w:t xml:space="preserve"> </w:t>
      </w:r>
      <w:r>
        <w:rPr>
          <w:rFonts w:ascii="inherit" w:hAnsi="inherit"/>
          <w:sz w:val="17"/>
        </w:rPr>
        <w:t xml:space="preserve">equal installment payments, including principal amortization, due on customers’ paydays. Traditional installment loan principal amounts range from </w:t>
      </w:r>
      <w:r>
        <w:rPr>
          <w:rFonts w:ascii="inherit" w:hAnsi="inherit"/>
          <w:strike w:val="false"/>
          <w:dstrike w:val="false"/>
          <w:color w:val="000000"/>
          <w:sz w:val="17"/>
          <w:u w:val="none"/>
          <w:effect w:val="none"/>
        </w:rPr>
        <w:t>$1,525</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$3,000</w:t>
      </w:r>
      <w:r>
        <w:rPr>
          <w:rFonts w:ascii="inherit" w:hAnsi="inherit"/>
          <w:sz w:val="17"/>
        </w:rPr>
        <w:t xml:space="preserve">, but average about </w:t>
      </w:r>
      <w:r>
        <w:rPr>
          <w:rFonts w:ascii="inherit" w:hAnsi="inherit"/>
          <w:strike w:val="false"/>
          <w:dstrike w:val="false"/>
          <w:color w:val="000000"/>
          <w:sz w:val="17"/>
          <w:u w:val="none"/>
          <w:effect w:val="none"/>
        </w:rPr>
        <w:t>$2,145</w:t>
      </w:r>
      <w:r>
        <w:rPr>
          <w:rFonts w:ascii="inherit" w:hAnsi="inherit"/>
          <w:sz w:val="17"/>
        </w:rPr>
        <w:t xml:space="preserve">, and with each semi-monthly or bi-weekly installment payment, we earn a fee of </w:t>
      </w:r>
      <w:r>
        <w:rPr>
          <w:rFonts w:ascii="inherit" w:hAnsi="inherit"/>
          <w:strike w:val="false"/>
          <w:dstrike w:val="false"/>
          <w:color w:val="000000"/>
          <w:sz w:val="17"/>
          <w:u w:val="none"/>
          <w:effect w:val="none"/>
        </w:rPr>
        <w:t>11%</w:t>
      </w:r>
      <w:r>
        <w:rPr>
          <w:sz w:val="17"/>
        </w:rPr>
        <w:t xml:space="preserve"> </w:t>
      </w:r>
      <w:r>
        <w:rPr>
          <w:rFonts w:ascii="inherit" w:hAnsi="inherit"/>
          <w:sz w:val="17"/>
        </w:rPr>
        <w:t xml:space="preserve">of the initial loan amount. Low dollar installment loan principal amounts range from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$1,500</w:t>
      </w:r>
      <w:r>
        <w:rPr>
          <w:rFonts w:ascii="inherit" w:hAnsi="inherit"/>
          <w:sz w:val="17"/>
        </w:rPr>
        <w:t xml:space="preserve">, but average about </w:t>
      </w:r>
      <w:r>
        <w:rPr>
          <w:rFonts w:ascii="inherit" w:hAnsi="inherit"/>
          <w:strike w:val="false"/>
          <w:dstrike w:val="false"/>
          <w:color w:val="000000"/>
          <w:sz w:val="17"/>
          <w:u w:val="none"/>
          <w:effect w:val="none"/>
        </w:rPr>
        <w:t>$695</w:t>
      </w:r>
      <w:r>
        <w:rPr>
          <w:rFonts w:ascii="inherit" w:hAnsi="inherit"/>
          <w:sz w:val="17"/>
        </w:rPr>
        <w:t xml:space="preserve">. With each semi-monthly or bi-weekly installment payment, we earn a fee of </w:t>
      </w:r>
      <w:r>
        <w:rPr>
          <w:rFonts w:ascii="inherit" w:hAnsi="inherit"/>
          <w:strike w:val="false"/>
          <w:dstrike w:val="false"/>
          <w:color w:val="000000"/>
          <w:sz w:val="17"/>
          <w:u w:val="none"/>
          <w:effect w:val="none"/>
        </w:rPr>
        <w:t>13</w:t>
      </w:r>
      <w:r>
        <w:rPr>
          <w:rFonts w:ascii="inherit" w:hAnsi="inherit"/>
          <w:sz w:val="17"/>
        </w:rPr>
        <w:t>-</w:t>
      </w:r>
      <w:r>
        <w:rPr>
          <w:rFonts w:ascii="inherit" w:hAnsi="inherit"/>
          <w:strike w:val="false"/>
          <w:dstrike w:val="false"/>
          <w:color w:val="000000"/>
          <w:sz w:val="17"/>
          <w:u w:val="none"/>
          <w:effect w:val="none"/>
        </w:rPr>
        <w:t>14%</w:t>
      </w:r>
      <w:r>
        <w:rPr>
          <w:sz w:val="17"/>
        </w:rPr>
        <w:t xml:space="preserve"> </w:t>
      </w:r>
      <w:r>
        <w:rPr>
          <w:rFonts w:ascii="inherit" w:hAnsi="inherit"/>
          <w:sz w:val="17"/>
        </w:rPr>
        <w:t xml:space="preserve">of the initial loan amount. At </w:t>
      </w:r>
      <w:r>
        <w:rPr>
          <w:rFonts w:ascii="inherit" w:hAnsi="inherit"/>
          <w:strike w:val="false"/>
          <w:dstrike w:val="false"/>
          <w:color w:val="000000"/>
          <w:sz w:val="17"/>
          <w:u w:val="none"/>
          <w:effect w:val="none"/>
        </w:rPr>
        <w:t>June 30, 2012</w:t>
      </w:r>
      <w:r>
        <w:rPr>
          <w:rFonts w:ascii="inherit" w:hAnsi="inherit"/>
          <w:sz w:val="17"/>
        </w:rPr>
        <w:t xml:space="preserve">, payday loans comprised </w:t>
      </w:r>
      <w:r>
        <w:rPr>
          <w:rFonts w:ascii="inherit" w:hAnsi="inherit"/>
          <w:strike w:val="false"/>
          <w:dstrike w:val="false"/>
          <w:color w:val="000000"/>
          <w:sz w:val="17"/>
          <w:u w:val="none"/>
          <w:effect w:val="none"/>
        </w:rPr>
        <w:t>86%</w:t>
      </w:r>
      <w:r>
        <w:rPr>
          <w:sz w:val="17"/>
        </w:rPr>
        <w:t xml:space="preserve"> </w:t>
      </w:r>
      <w:r>
        <w:rPr>
          <w:rFonts w:ascii="inherit" w:hAnsi="inherit"/>
          <w:sz w:val="17"/>
        </w:rPr>
        <w:t xml:space="preserve">of the balance of signature loans brokered through our credit services, and installment loans comprised the remaining </w:t>
      </w:r>
      <w:r>
        <w:rPr>
          <w:rFonts w:ascii="inherit" w:hAnsi="inherit"/>
          <w:strike w:val="false"/>
          <w:dstrike w:val="false"/>
          <w:color w:val="000000"/>
          <w:sz w:val="17"/>
          <w:u w:val="none"/>
          <w:effect w:val="none"/>
        </w:rPr>
        <w:t>14%</w:t>
      </w:r>
      <w:r>
        <w:rPr>
          <w:rFonts w:ascii="inherit" w:hAnsi="inherit"/>
          <w:sz w:val="17"/>
        </w:rPr>
        <w:t>.</w:t>
      </w:r>
    </w:p>
    <w:p>
      <w:pPr>
        <w:pStyle w:val="TextBody"/>
        <w:spacing w:lineRule="auto" w:line="288" w:before="0" w:after="0"/>
        <w:rPr>
          <w:sz w:val="17"/>
        </w:rPr>
      </w:pPr>
      <w:r>
        <w:rPr>
          <w:rFonts w:ascii="inherit" w:hAnsi="inherit"/>
          <w:sz w:val="17"/>
        </w:rPr>
        <w:t xml:space="preserve">Outside of Texas, we earn loan fee revenue on our consumer loans. In </w:t>
      </w:r>
      <w:r>
        <w:rPr>
          <w:rFonts w:ascii="inherit" w:hAnsi="inherit"/>
          <w:strike w:val="false"/>
          <w:dstrike w:val="false"/>
          <w:color w:val="000000"/>
          <w:sz w:val="17"/>
          <w:u w:val="none"/>
          <w:effect w:val="none"/>
        </w:rPr>
        <w:t>20</w:t>
      </w:r>
      <w:r>
        <w:rPr>
          <w:sz w:val="17"/>
        </w:rPr>
        <w:t xml:space="preserve"> </w:t>
      </w:r>
      <w:r>
        <w:rPr>
          <w:rFonts w:ascii="inherit" w:hAnsi="inherit"/>
          <w:sz w:val="17"/>
        </w:rPr>
        <w:t xml:space="preserve">U.S. pawn stores, </w:t>
      </w:r>
      <w:r>
        <w:rPr>
          <w:rFonts w:ascii="inherit" w:hAnsi="inherit"/>
          <w:strike w:val="false"/>
          <w:dstrike w:val="false"/>
          <w:color w:val="000000"/>
          <w:sz w:val="17"/>
          <w:u w:val="none"/>
          <w:effect w:val="none"/>
        </w:rPr>
        <w:t>79</w:t>
      </w:r>
      <w:r>
        <w:rPr>
          <w:sz w:val="17"/>
        </w:rPr>
        <w:t xml:space="preserve"> </w:t>
      </w:r>
      <w:r>
        <w:rPr>
          <w:rFonts w:ascii="inherit" w:hAnsi="inherit"/>
          <w:sz w:val="17"/>
        </w:rPr>
        <w:t xml:space="preserve">U.S. financial services stores and </w:t>
      </w:r>
      <w:r>
        <w:rPr>
          <w:rFonts w:ascii="inherit" w:hAnsi="inherit"/>
          <w:strike w:val="false"/>
          <w:dstrike w:val="false"/>
          <w:color w:val="000000"/>
          <w:sz w:val="17"/>
          <w:u w:val="none"/>
          <w:effect w:val="none"/>
        </w:rPr>
        <w:t>67</w:t>
      </w:r>
      <w:r>
        <w:rPr>
          <w:sz w:val="17"/>
        </w:rPr>
        <w:t xml:space="preserve"> </w:t>
      </w:r>
      <w:r>
        <w:rPr>
          <w:rFonts w:ascii="inherit" w:hAnsi="inherit"/>
          <w:sz w:val="17"/>
        </w:rPr>
        <w:t xml:space="preserve">Canadian financial services stores we offer payday loans subject to state or provincial law. The average payday loan amount is approximately </w:t>
      </w:r>
      <w:r>
        <w:rPr>
          <w:rFonts w:ascii="inherit" w:hAnsi="inherit"/>
          <w:strike w:val="false"/>
          <w:dstrike w:val="false"/>
          <w:color w:val="000000"/>
          <w:sz w:val="17"/>
          <w:u w:val="none"/>
          <w:effect w:val="none"/>
        </w:rPr>
        <w:t>$440</w:t>
      </w:r>
      <w:r>
        <w:rPr>
          <w:sz w:val="17"/>
        </w:rPr>
        <w:t xml:space="preserve"> </w:t>
      </w:r>
      <w:r>
        <w:rPr>
          <w:rFonts w:ascii="inherit" w:hAnsi="inherit"/>
          <w:sz w:val="17"/>
        </w:rPr>
        <w:t xml:space="preserve">and the term is generally less than </w:t>
      </w:r>
      <w:r>
        <w:rPr>
          <w:rFonts w:ascii="inherit" w:hAnsi="inherit"/>
          <w:strike w:val="false"/>
          <w:dstrike w:val="false"/>
          <w:color w:val="000000"/>
          <w:sz w:val="17"/>
          <w:u w:val="none"/>
          <w:effect w:val="none"/>
        </w:rPr>
        <w:t>30</w:t>
      </w:r>
      <w:r>
        <w:rPr>
          <w:sz w:val="17"/>
        </w:rPr>
        <w:t xml:space="preserve"> </w:t>
      </w:r>
      <w:r>
        <w:rPr>
          <w:rFonts w:ascii="inherit" w:hAnsi="inherit"/>
          <w:sz w:val="17"/>
        </w:rPr>
        <w:t xml:space="preserve">days, averaging about </w:t>
      </w:r>
      <w:r>
        <w:rPr>
          <w:rFonts w:ascii="inherit" w:hAnsi="inherit"/>
          <w:strike w:val="false"/>
          <w:dstrike w:val="false"/>
          <w:color w:val="000000"/>
          <w:sz w:val="17"/>
          <w:u w:val="none"/>
          <w:effect w:val="none"/>
        </w:rPr>
        <w:t>17</w:t>
      </w:r>
      <w:r>
        <w:rPr>
          <w:sz w:val="17"/>
        </w:rPr>
        <w:t xml:space="preserve"> </w:t>
      </w:r>
      <w:r>
        <w:rPr>
          <w:rFonts w:ascii="inherit" w:hAnsi="inherit"/>
          <w:sz w:val="17"/>
        </w:rPr>
        <w:t xml:space="preserve">days. We typically charge a fee of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22%</w:t>
      </w:r>
      <w:r>
        <w:rPr>
          <w:sz w:val="17"/>
        </w:rPr>
        <w:t xml:space="preserve"> </w:t>
      </w:r>
      <w:r>
        <w:rPr>
          <w:rFonts w:ascii="inherit" w:hAnsi="inherit"/>
          <w:sz w:val="17"/>
        </w:rPr>
        <w:t xml:space="preserve">of the loan amount. In </w:t>
      </w:r>
      <w:r>
        <w:rPr>
          <w:rFonts w:ascii="inherit" w:hAnsi="inherit"/>
          <w:strike w:val="false"/>
          <w:dstrike w:val="false"/>
          <w:color w:val="000000"/>
          <w:sz w:val="17"/>
          <w:u w:val="none"/>
          <w:effect w:val="none"/>
        </w:rPr>
        <w:t>115</w:t>
      </w:r>
      <w:r>
        <w:rPr>
          <w:sz w:val="17"/>
        </w:rPr>
        <w:t xml:space="preserve"> </w:t>
      </w:r>
      <w:r>
        <w:rPr>
          <w:rFonts w:ascii="inherit" w:hAnsi="inherit"/>
          <w:sz w:val="17"/>
        </w:rPr>
        <w:t xml:space="preserve">of our U.S. financial services stores and </w:t>
      </w:r>
      <w:r>
        <w:rPr>
          <w:rFonts w:ascii="inherit" w:hAnsi="inherit"/>
          <w:strike w:val="false"/>
          <w:dstrike w:val="false"/>
          <w:color w:val="000000"/>
          <w:sz w:val="17"/>
          <w:u w:val="none"/>
          <w:effect w:val="none"/>
        </w:rPr>
        <w:t>three</w:t>
      </w:r>
      <w:r>
        <w:rPr>
          <w:sz w:val="17"/>
        </w:rPr>
        <w:t xml:space="preserve"> </w:t>
      </w:r>
      <w:r>
        <w:rPr>
          <w:rFonts w:ascii="inherit" w:hAnsi="inherit"/>
          <w:sz w:val="17"/>
        </w:rPr>
        <w:t xml:space="preserve">U.S. pawn stores, we offer installment loans subject to state law. These installment loans carry a term of </w:t>
      </w:r>
      <w:r>
        <w:rPr>
          <w:rFonts w:ascii="inherit" w:hAnsi="inherit"/>
          <w:strike w:val="false"/>
          <w:dstrike w:val="false"/>
          <w:color w:val="000000"/>
          <w:sz w:val="17"/>
          <w:u w:val="none"/>
          <w:effect w:val="none"/>
        </w:rPr>
        <w:t>four</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seven</w:t>
      </w:r>
      <w:r>
        <w:rPr>
          <w:sz w:val="17"/>
        </w:rPr>
        <w:t xml:space="preserve"> </w:t>
      </w:r>
      <w:r>
        <w:rPr>
          <w:rFonts w:ascii="inherit" w:hAnsi="inherit"/>
          <w:sz w:val="17"/>
        </w:rPr>
        <w:t xml:space="preserve">months, with a series of equal installment payments including principal amortization, due monthly, semi-monthly or on the customers’ paydays. Total interest and fees on these loans vary in accordance with state law and loan terms, but over the entire loan term, total approximately </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130%</w:t>
      </w:r>
      <w:r>
        <w:rPr>
          <w:sz w:val="17"/>
        </w:rPr>
        <w:t xml:space="preserve"> </w:t>
      </w:r>
      <w:r>
        <w:rPr>
          <w:rFonts w:ascii="inherit" w:hAnsi="inherit"/>
          <w:sz w:val="17"/>
        </w:rPr>
        <w:t xml:space="preserve">of the original principal amount of the loan. We began offering installment loans rather than payday loans in Wisconsin in </w:t>
      </w:r>
      <w:r>
        <w:rPr>
          <w:rFonts w:ascii="inherit" w:hAnsi="inherit"/>
          <w:strike w:val="false"/>
          <w:dstrike w:val="false"/>
          <w:color w:val="000000"/>
          <w:sz w:val="17"/>
          <w:u w:val="none"/>
          <w:effect w:val="none"/>
        </w:rPr>
        <w:t>January 2011</w:t>
      </w:r>
      <w:r>
        <w:rPr>
          <w:sz w:val="17"/>
        </w:rPr>
        <w:t xml:space="preserve"> </w:t>
      </w:r>
      <w:r>
        <w:rPr>
          <w:rFonts w:ascii="inherit" w:hAnsi="inherit"/>
          <w:sz w:val="17"/>
        </w:rPr>
        <w:t xml:space="preserve">and in Missouri in </w:t>
      </w:r>
      <w:r>
        <w:rPr>
          <w:rFonts w:ascii="inherit" w:hAnsi="inherit"/>
          <w:strike w:val="false"/>
          <w:dstrike w:val="false"/>
          <w:color w:val="000000"/>
          <w:sz w:val="17"/>
          <w:u w:val="none"/>
          <w:effect w:val="none"/>
        </w:rPr>
        <w:t>June 2011</w:t>
      </w:r>
      <w:r>
        <w:rPr>
          <w:rFonts w:ascii="inherit" w:hAnsi="inherit"/>
          <w:sz w:val="17"/>
        </w:rPr>
        <w:t xml:space="preserve">. Installment loan principal amounts range from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$3,000</w:t>
      </w:r>
      <w:r>
        <w:rPr>
          <w:rFonts w:ascii="inherit" w:hAnsi="inherit"/>
          <w:sz w:val="17"/>
        </w:rPr>
        <w:t xml:space="preserve">, but average approximately </w:t>
      </w:r>
      <w:r>
        <w:rPr>
          <w:rFonts w:ascii="inherit" w:hAnsi="inherit"/>
          <w:strike w:val="false"/>
          <w:dstrike w:val="false"/>
          <w:color w:val="000000"/>
          <w:sz w:val="17"/>
          <w:u w:val="none"/>
          <w:effect w:val="none"/>
        </w:rPr>
        <w:t>$555</w:t>
      </w:r>
      <w:r>
        <w:rPr>
          <w:rFonts w:ascii="inherit" w:hAnsi="inherit"/>
          <w:sz w:val="17"/>
        </w:rPr>
        <w:t>.</w:t>
      </w:r>
    </w:p>
    <w:p>
      <w:pPr>
        <w:pStyle w:val="TextBody"/>
        <w:spacing w:lineRule="auto" w:line="288" w:before="0" w:after="0"/>
        <w:rPr>
          <w:sz w:val="17"/>
        </w:rPr>
      </w:pPr>
      <w:r>
        <w:rPr>
          <w:rFonts w:ascii="inherit" w:hAnsi="inherit"/>
          <w:sz w:val="17"/>
        </w:rPr>
        <w:t xml:space="preserve">At </w:t>
      </w:r>
      <w:r>
        <w:rPr>
          <w:rFonts w:ascii="inherit" w:hAnsi="inherit"/>
          <w:strike w:val="false"/>
          <w:dstrike w:val="false"/>
          <w:color w:val="000000"/>
          <w:sz w:val="17"/>
          <w:u w:val="none"/>
          <w:effect w:val="none"/>
        </w:rPr>
        <w:t>June 30, 2012</w:t>
      </w:r>
      <w:r>
        <w:rPr>
          <w:rFonts w:ascii="inherit" w:hAnsi="inherit"/>
          <w:sz w:val="17"/>
        </w:rPr>
        <w:t xml:space="preserve">, </w:t>
      </w:r>
      <w:r>
        <w:rPr>
          <w:rFonts w:ascii="inherit" w:hAnsi="inherit"/>
          <w:strike w:val="false"/>
          <w:dstrike w:val="false"/>
          <w:color w:val="000000"/>
          <w:sz w:val="17"/>
          <w:u w:val="none"/>
          <w:effect w:val="none"/>
        </w:rPr>
        <w:t>399</w:t>
      </w:r>
      <w:r>
        <w:rPr>
          <w:sz w:val="17"/>
        </w:rPr>
        <w:t xml:space="preserve"> </w:t>
      </w:r>
      <w:r>
        <w:rPr>
          <w:rFonts w:ascii="inherit" w:hAnsi="inherit"/>
          <w:sz w:val="17"/>
        </w:rPr>
        <w:t xml:space="preserve">of our U.S. financial services stores and </w:t>
      </w:r>
      <w:r>
        <w:rPr>
          <w:rFonts w:ascii="inherit" w:hAnsi="inherit"/>
          <w:strike w:val="false"/>
          <w:dstrike w:val="false"/>
          <w:color w:val="000000"/>
          <w:sz w:val="17"/>
          <w:u w:val="none"/>
          <w:effect w:val="none"/>
        </w:rPr>
        <w:t>44</w:t>
      </w:r>
      <w:r>
        <w:rPr>
          <w:sz w:val="17"/>
        </w:rPr>
        <w:t xml:space="preserve"> </w:t>
      </w:r>
      <w:r>
        <w:rPr>
          <w:rFonts w:ascii="inherit" w:hAnsi="inherit"/>
          <w:sz w:val="17"/>
        </w:rPr>
        <w:t xml:space="preserve">of our U.S. pawn stores offered auto title loans or, in Texas, credit services to assist customers in obtaining auto title loans from unaffiliated lenders. Auto title loans are </w:t>
      </w:r>
      <w:r>
        <w:rPr>
          <w:rFonts w:ascii="inherit" w:hAnsi="inherit"/>
          <w:strike w:val="false"/>
          <w:dstrike w:val="false"/>
          <w:color w:val="000000"/>
          <w:sz w:val="17"/>
          <w:u w:val="none"/>
          <w:effect w:val="none"/>
        </w:rPr>
        <w:t>30</w:t>
      </w:r>
      <w:r>
        <w:rPr>
          <w:rFonts w:ascii="inherit" w:hAnsi="inherit"/>
          <w:sz w:val="17"/>
        </w:rPr>
        <w:t xml:space="preserve">-day loans secured by the titles to customers’ automobiles. Loan principal amounts range from </w:t>
      </w:r>
      <w:r>
        <w:rPr>
          <w:rFonts w:ascii="inherit" w:hAnsi="inherit"/>
          <w:strike w:val="false"/>
          <w:dstrike w:val="false"/>
          <w:color w:val="000000"/>
          <w:sz w:val="17"/>
          <w:u w:val="none"/>
          <w:effect w:val="none"/>
        </w:rPr>
        <w:t>$100</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$10,000</w:t>
      </w:r>
      <w:r>
        <w:rPr>
          <w:rFonts w:ascii="inherit" w:hAnsi="inherit"/>
          <w:sz w:val="17"/>
        </w:rPr>
        <w:t xml:space="preserve">, but average about </w:t>
      </w:r>
      <w:r>
        <w:rPr>
          <w:rFonts w:ascii="inherit" w:hAnsi="inherit"/>
          <w:strike w:val="false"/>
          <w:dstrike w:val="false"/>
          <w:color w:val="000000"/>
          <w:sz w:val="17"/>
          <w:u w:val="none"/>
          <w:effect w:val="none"/>
        </w:rPr>
        <w:t>$825</w:t>
      </w:r>
      <w:r>
        <w:rPr>
          <w:rFonts w:ascii="inherit" w:hAnsi="inherit"/>
          <w:sz w:val="17"/>
        </w:rPr>
        <w:t xml:space="preserve">. We earn a fee of </w:t>
      </w:r>
      <w:r>
        <w:rPr>
          <w:rFonts w:ascii="inherit" w:hAnsi="inherit"/>
          <w:strike w:val="false"/>
          <w:dstrike w:val="false"/>
          <w:color w:val="000000"/>
          <w:sz w:val="17"/>
          <w:u w:val="none"/>
          <w:effect w:val="none"/>
        </w:rPr>
        <w:t>12.5%</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25%</w:t>
      </w:r>
      <w:r>
        <w:rPr>
          <w:sz w:val="17"/>
        </w:rPr>
        <w:t xml:space="preserve"> </w:t>
      </w:r>
      <w:r>
        <w:rPr>
          <w:rFonts w:ascii="inherit" w:hAnsi="inherit"/>
          <w:sz w:val="17"/>
        </w:rPr>
        <w:t xml:space="preserve">of auto title loan amounts. In the current quarter, in Texas, we began assisting customers in obtaining longer-term auto title installment loans from unaffiliated lenders. Auto installment loans typically carry terms of two to four months with up to four equal installments. Auto installment loan principal amounts range from $150 to $10,000, but average about $850, and with each installment payment, we earn a fee of 5-14% of the initial loan amount. </w:t>
      </w:r>
    </w:p>
    <w:p>
      <w:pPr>
        <w:pStyle w:val="TextBody"/>
        <w:spacing w:lineRule="auto" w:line="288" w:before="0" w:after="0"/>
        <w:rPr>
          <w:rFonts w:ascii="inherit" w:hAnsi="inherit"/>
          <w:sz w:val="17"/>
        </w:rPr>
      </w:pPr>
      <w:r>
        <w:rPr>
          <w:rFonts w:ascii="inherit" w:hAnsi="inherit"/>
          <w:sz w:val="17"/>
        </w:rPr>
        <w:t>In Mexico, Crediamigo offers installment consumer loans with typical annual yields of around 70% and collects interest and principal through payroll deductions. The average loan is approximately $1,150 with a term of 32 months.</w:t>
      </w:r>
    </w:p>
    <w:p>
      <w:pPr>
        <w:pStyle w:val="TextBody"/>
        <w:spacing w:lineRule="auto" w:line="288" w:before="0" w:after="0"/>
        <w:rPr>
          <w:rFonts w:ascii="inherit" w:hAnsi="inherit"/>
          <w:sz w:val="17"/>
          <w:u w:val="single"/>
        </w:rPr>
      </w:pPr>
      <w:r>
        <w:rPr>
          <w:rFonts w:ascii="inherit" w:hAnsi="inherit"/>
          <w:sz w:val="17"/>
          <w:u w:val="single"/>
        </w:rPr>
        <w:t>Acquisitions</w:t>
      </w:r>
    </w:p>
    <w:p>
      <w:pPr>
        <w:pStyle w:val="TextBody"/>
        <w:spacing w:lineRule="auto" w:line="288" w:before="0" w:after="0"/>
        <w:rPr>
          <w:rFonts w:ascii="inherit" w:hAnsi="inherit"/>
          <w:sz w:val="17"/>
        </w:rPr>
      </w:pPr>
      <w:r>
        <w:rPr>
          <w:rFonts w:ascii="inherit" w:hAnsi="inherit"/>
          <w:sz w:val="17"/>
        </w:rPr>
        <w:t>In the current quarter, we acquired nine pawn stores located in the state of Minnesota and a 72% interest in Ariste Holding Limited and its affiliates, which provides online loans in the U.K under the name "Cash Genie," for total consideration of $43.7 million, net of cash acquired. In the prior year quarter we acquired 23 stores located in Florida, Iowa, Wisconsin, Utah and the Chicago metropolitan area for approximately $33.3 million, net of cash acquired. The results of all acquired stores have been consolidated with our results since their acquisition.</w:t>
      </w:r>
    </w:p>
    <w:p>
      <w:pPr>
        <w:pStyle w:val="TextBody"/>
        <w:spacing w:lineRule="auto" w:line="288" w:before="0" w:after="0"/>
        <w:rPr>
          <w:rFonts w:ascii="inherit" w:hAnsi="inherit"/>
          <w:sz w:val="17"/>
          <w:u w:val="single"/>
        </w:rPr>
      </w:pPr>
      <w:r>
        <w:rPr>
          <w:rFonts w:ascii="inherit" w:hAnsi="inherit"/>
          <w:sz w:val="17"/>
          <w:u w:val="single"/>
        </w:rPr>
        <w:t>International Growth</w:t>
      </w:r>
    </w:p>
    <w:p>
      <w:pPr>
        <w:pStyle w:val="TextBody"/>
        <w:spacing w:lineRule="auto" w:line="288" w:before="0" w:after="0"/>
        <w:rPr>
          <w:rFonts w:ascii="inherit" w:hAnsi="inherit"/>
          <w:sz w:val="17"/>
        </w:rPr>
      </w:pPr>
      <w:r>
        <w:rPr>
          <w:rFonts w:ascii="inherit" w:hAnsi="inherit"/>
          <w:sz w:val="17"/>
        </w:rPr>
        <w:t xml:space="preserve">With continued execution of the our geographic and product diversification strategy nearly 20% of our consolidated segment contribution in the quarter was attributable to areas outside the United States, up from 9% a year earlier. Total revenue in the Latin America and Other International segments combined more than doubled, with combined segment contribution increasing 142%. These year-over year increases are the result of continued strength in our Empeño Fácil business in Mexico, the acquisition of controlling interests in Crediamigo and Cash Genie, and our strategic investments in the United Kingdom and Australia. </w:t>
      </w:r>
    </w:p>
    <w:p>
      <w:pPr>
        <w:pStyle w:val="TextBody"/>
        <w:spacing w:lineRule="auto" w:line="288" w:before="0" w:after="0"/>
        <w:rPr>
          <w:rFonts w:ascii="inherit" w:hAnsi="inherit"/>
          <w:sz w:val="17"/>
          <w:u w:val="single"/>
        </w:rPr>
      </w:pPr>
      <w:r>
        <w:rPr>
          <w:rFonts w:ascii="inherit" w:hAnsi="inherit"/>
          <w:sz w:val="17"/>
          <w:u w:val="single"/>
        </w:rPr>
        <w:t>Other</w:t>
      </w:r>
    </w:p>
    <w:p>
      <w:pPr>
        <w:pStyle w:val="TextBody"/>
        <w:spacing w:lineRule="auto" w:line="288" w:before="0" w:after="0"/>
        <w:rPr>
          <w:sz w:val="17"/>
        </w:rPr>
      </w:pPr>
      <w:r>
        <w:rPr>
          <w:rFonts w:ascii="inherit" w:hAnsi="inherit"/>
          <w:sz w:val="17"/>
        </w:rPr>
        <w:t xml:space="preserve">Included in the results for the nine-month period ended </w:t>
      </w:r>
      <w:r>
        <w:rPr>
          <w:rFonts w:ascii="inherit" w:hAnsi="inherit"/>
          <w:strike w:val="false"/>
          <w:dstrike w:val="false"/>
          <w:color w:val="000000"/>
          <w:sz w:val="17"/>
          <w:u w:val="none"/>
          <w:effect w:val="none"/>
        </w:rPr>
        <w:t>June 30, 2011</w:t>
      </w:r>
      <w:r>
        <w:rPr>
          <w:sz w:val="17"/>
        </w:rPr>
        <w:t xml:space="preserve"> </w:t>
      </w:r>
      <w:r>
        <w:rPr>
          <w:rFonts w:ascii="inherit" w:hAnsi="inherit"/>
          <w:sz w:val="17"/>
        </w:rPr>
        <w:t xml:space="preserve">is a pre-tax administrative expense charge of </w:t>
      </w:r>
      <w:r>
        <w:rPr>
          <w:rFonts w:ascii="inherit" w:hAnsi="inherit"/>
          <w:strike w:val="false"/>
          <w:dstrike w:val="false"/>
          <w:color w:val="000000"/>
          <w:sz w:val="17"/>
          <w:u w:val="none"/>
          <w:effect w:val="none"/>
        </w:rPr>
        <w:t>$10.9 million</w:t>
      </w:r>
      <w:r>
        <w:rPr>
          <w:sz w:val="17"/>
        </w:rPr>
        <w:t xml:space="preserve"> </w:t>
      </w:r>
      <w:r>
        <w:rPr>
          <w:rFonts w:ascii="inherit" w:hAnsi="inherit"/>
          <w:sz w:val="17"/>
        </w:rPr>
        <w:t xml:space="preserve">related to the </w:t>
      </w:r>
      <w:r>
        <w:rPr>
          <w:rFonts w:ascii="inherit" w:hAnsi="inherit"/>
          <w:strike w:val="false"/>
          <w:dstrike w:val="false"/>
          <w:color w:val="000000"/>
          <w:sz w:val="17"/>
          <w:u w:val="none"/>
          <w:effect w:val="none"/>
        </w:rPr>
        <w:t>October 2010</w:t>
      </w:r>
      <w:r>
        <w:rPr>
          <w:sz w:val="17"/>
        </w:rPr>
        <w:t xml:space="preserve"> </w:t>
      </w:r>
      <w:r>
        <w:rPr>
          <w:rFonts w:ascii="inherit" w:hAnsi="inherit"/>
          <w:sz w:val="17"/>
        </w:rPr>
        <w:t xml:space="preserve">retirement of our former Chief Executive Officer, including </w:t>
      </w:r>
      <w:r>
        <w:rPr>
          <w:rFonts w:ascii="inherit" w:hAnsi="inherit"/>
          <w:strike w:val="false"/>
          <w:dstrike w:val="false"/>
          <w:color w:val="000000"/>
          <w:sz w:val="17"/>
          <w:u w:val="none"/>
          <w:effect w:val="none"/>
        </w:rPr>
        <w:t>$3.4 million</w:t>
      </w:r>
      <w:r>
        <w:rPr>
          <w:sz w:val="17"/>
        </w:rPr>
        <w:t xml:space="preserve"> </w:t>
      </w:r>
      <w:r>
        <w:rPr>
          <w:rFonts w:ascii="inherit" w:hAnsi="inherit"/>
          <w:sz w:val="17"/>
        </w:rPr>
        <w:t xml:space="preserve">attributable to a cash payment and </w:t>
      </w:r>
      <w:r>
        <w:rPr>
          <w:rFonts w:ascii="inherit" w:hAnsi="inherit"/>
          <w:strike w:val="false"/>
          <w:dstrike w:val="false"/>
          <w:color w:val="000000"/>
          <w:sz w:val="17"/>
          <w:u w:val="none"/>
          <w:effect w:val="none"/>
        </w:rPr>
        <w:t>$7.5 million</w:t>
      </w:r>
      <w:r>
        <w:rPr>
          <w:sz w:val="17"/>
        </w:rPr>
        <w:t xml:space="preserve"> </w:t>
      </w:r>
      <w:r>
        <w:rPr>
          <w:rFonts w:ascii="inherit" w:hAnsi="inherit"/>
          <w:sz w:val="17"/>
        </w:rPr>
        <w:t xml:space="preserve">attributable to the vesting of restricted stock. The prior year quarter income tax expense reflects a </w:t>
      </w:r>
      <w:r>
        <w:rPr>
          <w:rFonts w:ascii="inherit" w:hAnsi="inherit"/>
          <w:strike w:val="false"/>
          <w:dstrike w:val="false"/>
          <w:color w:val="000000"/>
          <w:sz w:val="17"/>
          <w:u w:val="none"/>
          <w:effect w:val="none"/>
        </w:rPr>
        <w:t>$3.8 million</w:t>
      </w:r>
      <w:r>
        <w:rPr>
          <w:sz w:val="17"/>
        </w:rPr>
        <w:t xml:space="preserve"> </w:t>
      </w:r>
      <w:r>
        <w:rPr>
          <w:rFonts w:ascii="inherit" w:hAnsi="inherit"/>
          <w:sz w:val="17"/>
        </w:rPr>
        <w:t>tax benefit related to this charge.</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42</w:t>
      </w:r>
      <w:r>
        <w:br w:type="page"/>
      </w:r>
    </w:p>
    <w:p>
      <w:pPr>
        <w:pStyle w:val="TextBody"/>
        <w:spacing w:lineRule="auto" w:line="288" w:before="0" w:after="0"/>
        <w:rPr/>
      </w:pPr>
      <w:hyperlink w:anchor="s1D4031A326A2D05AEEF6A412554D06A6">
        <w:bookmarkStart w:id="36" w:name="s4C0FC2722448868C1717C0FDC038CCFC"/>
        <w:bookmarkEnd w:id="3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u w:val="single"/>
        </w:rPr>
      </w:pPr>
      <w:r>
        <w:rPr>
          <w:rFonts w:ascii="inherit" w:hAnsi="inherit"/>
          <w:sz w:val="17"/>
          <w:u w:val="single"/>
        </w:rPr>
        <w:t>Critical Accounting Policies</w:t>
      </w:r>
    </w:p>
    <w:p>
      <w:pPr>
        <w:pStyle w:val="TextBody"/>
        <w:spacing w:lineRule="auto" w:line="288" w:before="0" w:after="0"/>
        <w:rPr>
          <w:sz w:val="17"/>
        </w:rPr>
      </w:pPr>
      <w:r>
        <w:rPr>
          <w:rFonts w:ascii="inherit" w:hAnsi="inherit"/>
          <w:sz w:val="17"/>
        </w:rPr>
        <w:t xml:space="preserve">With the exception of the derivative instruments and hedging activities and consumer loan policies as described in the section below, there have been no changes in critical accounting policies as described in our Annual Report on Form 10-K for the year ended </w:t>
      </w:r>
      <w:r>
        <w:rPr>
          <w:rFonts w:ascii="inherit" w:hAnsi="inherit"/>
          <w:strike w:val="false"/>
          <w:dstrike w:val="false"/>
          <w:color w:val="000000"/>
          <w:sz w:val="17"/>
          <w:u w:val="none"/>
          <w:effect w:val="none"/>
        </w:rPr>
        <w:t>September 30, 2011</w:t>
      </w:r>
      <w:r>
        <w:rPr>
          <w:rFonts w:ascii="inherit" w:hAnsi="inherit"/>
          <w:sz w:val="17"/>
        </w:rPr>
        <w:t>.</w:t>
      </w:r>
    </w:p>
    <w:p>
      <w:pPr>
        <w:pStyle w:val="TextBody"/>
        <w:spacing w:lineRule="auto" w:line="288" w:before="0" w:after="0"/>
        <w:rPr>
          <w:rFonts w:ascii="inherit" w:hAnsi="inherit"/>
          <w:sz w:val="17"/>
          <w:u w:val="single"/>
        </w:rPr>
      </w:pPr>
      <w:r>
        <w:rPr>
          <w:rFonts w:ascii="inherit" w:hAnsi="inherit"/>
          <w:sz w:val="17"/>
          <w:u w:val="single"/>
        </w:rPr>
        <w:t>Consumer Loans</w:t>
      </w:r>
    </w:p>
    <w:p>
      <w:pPr>
        <w:pStyle w:val="TextBody"/>
        <w:spacing w:lineRule="auto" w:line="288" w:before="0" w:after="0"/>
        <w:rPr>
          <w:rFonts w:ascii="inherit" w:hAnsi="inherit"/>
          <w:sz w:val="17"/>
        </w:rPr>
      </w:pPr>
      <w:r>
        <w:rPr>
          <w:rFonts w:ascii="inherit" w:hAnsi="inherit"/>
          <w:sz w:val="17"/>
        </w:rPr>
        <w:t>We provide a variety of short-term consumer loans including payday loans, installment loans and auto title loans, and in Texas only, fee-based credit services to customers seeking loans. In Mexico, Crediamigo enters into agreements with employers that permit it to market long-term consumer loans to employees. Payments are withheld by the employers through payroll deductions and remitted to Crediamigo. With the exception of the incorporation of Crediamigo, there have been no changes to our consumer loans revenue recognition, allowance for losses and bad debt expense policies.</w:t>
      </w:r>
    </w:p>
    <w:p>
      <w:pPr>
        <w:pStyle w:val="TextBody"/>
        <w:spacing w:lineRule="auto" w:line="288" w:before="0" w:after="0"/>
        <w:rPr>
          <w:rFonts w:ascii="inherit" w:hAnsi="inherit"/>
          <w:i/>
          <w:sz w:val="17"/>
        </w:rPr>
      </w:pPr>
      <w:r>
        <w:rPr>
          <w:rFonts w:ascii="inherit" w:hAnsi="inherit"/>
          <w:i/>
          <w:sz w:val="17"/>
        </w:rPr>
        <w:t>Revenue Recognition</w:t>
      </w:r>
    </w:p>
    <w:p>
      <w:pPr>
        <w:pStyle w:val="TextBody"/>
        <w:spacing w:lineRule="auto" w:line="288" w:before="0" w:after="0"/>
        <w:rPr>
          <w:rFonts w:ascii="inherit" w:hAnsi="inherit"/>
          <w:sz w:val="17"/>
        </w:rPr>
      </w:pPr>
      <w:r>
        <w:rPr>
          <w:rFonts w:ascii="inherit" w:hAnsi="inherit"/>
          <w:sz w:val="17"/>
        </w:rPr>
        <w:t>We recognize consumer loan fees related to loans we directly originate based on the percentage of consumer loans made that we believe to be collectible. We earn credit service fees when we assist customers in obtaining consumer loans from unaffiliated lenders, and we recognize the fee revenue ratably over the life of the related loans. We reserve the percentage of interest and credit service fees we expect not to collect. Accrued fees related to defaulted loans reduce fee revenue upon loan default and increase fee revenue upon collection.</w:t>
      </w:r>
    </w:p>
    <w:p>
      <w:pPr>
        <w:pStyle w:val="TextBody"/>
        <w:spacing w:lineRule="auto" w:line="288" w:before="0" w:after="0"/>
        <w:rPr>
          <w:rFonts w:ascii="inherit" w:hAnsi="inherit"/>
          <w:i/>
          <w:sz w:val="17"/>
        </w:rPr>
      </w:pPr>
      <w:r>
        <w:rPr>
          <w:rFonts w:ascii="inherit" w:hAnsi="inherit"/>
          <w:i/>
          <w:sz w:val="17"/>
        </w:rPr>
        <w:t>Bad Debt Expense</w:t>
      </w:r>
    </w:p>
    <w:p>
      <w:pPr>
        <w:pStyle w:val="TextBody"/>
        <w:spacing w:lineRule="auto" w:line="288" w:before="0" w:after="0"/>
        <w:rPr>
          <w:rFonts w:ascii="inherit" w:hAnsi="inherit"/>
          <w:sz w:val="17"/>
        </w:rPr>
      </w:pPr>
      <w:r>
        <w:rPr>
          <w:rFonts w:ascii="inherit" w:hAnsi="inherit"/>
          <w:sz w:val="17"/>
        </w:rPr>
        <w:t>We consider a consumer loan defaulted if it has not been repaid or renewed, when applicable, by the maturity date. If one payment of an installment loan is delinquent, that one payment is considered defaulted. If more than one installment payment is delinquent at any time, the entire installment loan is considered defaulted. We charge loan principal of loans we directly originate to consumer loan bad debt. In Texas, we issue letters of credit to enhance the creditworthiness of our customers, which assure the lenders that if borrowers default on the loans, we will pay the lenders, upon demand, the principal and accrued interest owed to the lenders by the borrowers plus any insufficient fund fees. We charge amounts paid under letters of credit to consumer loan bad debt. In Mexico, we consider consumer loans made by Crediamigo defaulted if the customer is no longer employed and therefore we are no longer entitled to receive payments via payroll withholdings. Once we receive notice that the customer’s employment has been terminated, we charge the loan principal to consumer loan bad debt, leaving only active loans in the reported balance. We record recoveries of defaulted loans as a reduction of bad debt at the time of collection. After attempting collection of bad debts internally, we occasionally sell them to an unaffiliated company as another method of recovery, and record the proceeds from such sales as a reduction of bad debt at the time of the sale.</w:t>
      </w:r>
    </w:p>
    <w:p>
      <w:pPr>
        <w:pStyle w:val="TextBody"/>
        <w:spacing w:lineRule="auto" w:line="288" w:before="0" w:after="0"/>
        <w:rPr>
          <w:rFonts w:ascii="inherit" w:hAnsi="inherit"/>
          <w:i/>
          <w:sz w:val="17"/>
        </w:rPr>
      </w:pPr>
      <w:r>
        <w:rPr>
          <w:rFonts w:ascii="inherit" w:hAnsi="inherit"/>
          <w:i/>
          <w:sz w:val="17"/>
        </w:rPr>
        <w:t>Allowance for Losses</w:t>
      </w:r>
    </w:p>
    <w:p>
      <w:pPr>
        <w:pStyle w:val="TextBody"/>
        <w:spacing w:lineRule="auto" w:line="288" w:before="0" w:after="0"/>
        <w:rPr>
          <w:rFonts w:ascii="inherit" w:hAnsi="inherit"/>
          <w:sz w:val="17"/>
        </w:rPr>
      </w:pPr>
      <w:r>
        <w:rPr>
          <w:rFonts w:ascii="inherit" w:hAnsi="inherit"/>
          <w:sz w:val="17"/>
        </w:rPr>
        <w:t>We provide an allowance for losses on consumer loans that have not yet matured and related fees receivable, based on recent loan default experience adjusted for seasonal variations, and if applicable, the age of past-due loans and amounts we expect to receive through the sale of repossessed vehicles. The allowance for losses we expect to incur under letters of credit includes all amounts we expect to pay to the lenders upon loan default, including loan principal, accrued interest and insufficient funds fees. We charge any changes in the principal valuation allowance to consumer loan bad debt. We record changes in the fee receivable valuation allowance to consumer loan fee revenue.</w:t>
      </w:r>
    </w:p>
    <w:p>
      <w:pPr>
        <w:pStyle w:val="TextBody"/>
        <w:spacing w:lineRule="auto" w:line="288" w:before="0" w:after="0"/>
        <w:rPr>
          <w:rFonts w:ascii="inherit" w:hAnsi="inherit"/>
          <w:sz w:val="17"/>
          <w:u w:val="single"/>
        </w:rPr>
      </w:pPr>
      <w:r>
        <w:rPr>
          <w:rFonts w:ascii="inherit" w:hAnsi="inherit"/>
          <w:sz w:val="17"/>
          <w:u w:val="single"/>
        </w:rPr>
        <w:t>Derivative Instruments and Hedging Activities</w:t>
      </w:r>
    </w:p>
    <w:p>
      <w:pPr>
        <w:pStyle w:val="TextBody"/>
        <w:spacing w:lineRule="auto" w:line="288" w:before="0" w:after="0"/>
        <w:rPr>
          <w:rFonts w:ascii="inherit" w:hAnsi="inherit"/>
          <w:sz w:val="17"/>
        </w:rPr>
      </w:pPr>
      <w:r>
        <w:rPr>
          <w:rFonts w:ascii="inherit" w:hAnsi="inherit"/>
          <w:sz w:val="17"/>
        </w:rPr>
        <w:t>We record all derivative instruments according to Financial Accounting Standards Board (“FASB”) ASC 815-20-25, “Derivatives and Hedging – Recognition.” Accounting for changes in the fair value of derivatives is determined by the intended use of the derivative, whether it is designated as a hedge and whether the hedging relationship is effective in achieving offsetting changes for the risk being hedged. Derivatives designated to hedge the changes in the fair value of an asset, liability, or firm commitment due to an identified risk in the hedged item, such as interest rate risk or foreign currency exchange rate risk are considered fair value hedges. Derivatives designated and qualifying as a hedge of the exposure to variability in expected future cash flows, or other types of forecasted transactions, are considered cash flow hedges. Hedge accounting generally provides for the matching of the timing of gain or loss recognition on the hedging instrument with the recognition of the changes in the fair value of the hedged asset or liability that are attributable to the hedged risk in a cash flow hedge. We may enter into derivative contracts that are intended to economically hedge certain of our risks, even though hedge accounting does not apply or we elect not to apply hedge accounting.</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43</w:t>
      </w:r>
      <w:r>
        <w:br w:type="page"/>
      </w:r>
    </w:p>
    <w:p>
      <w:pPr>
        <w:pStyle w:val="TextBody"/>
        <w:spacing w:lineRule="auto" w:line="288" w:before="0" w:after="0"/>
        <w:rPr/>
      </w:pPr>
      <w:hyperlink w:anchor="s1D4031A326A2D05AEEF6A412554D06A6">
        <w:bookmarkStart w:id="37" w:name="s4C0FC2722448868C1717C0FDC038CCFC1"/>
        <w:bookmarkEnd w:id="3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We acquire significant amounts of gold either through purchases or from forfeited pawn loan collateral and sell it to refiners. In our first fiscal quarter of </w:t>
      </w:r>
      <w:r>
        <w:rPr>
          <w:rFonts w:ascii="inherit" w:hAnsi="inherit"/>
          <w:strike w:val="false"/>
          <w:dstrike w:val="false"/>
          <w:color w:val="000000"/>
          <w:sz w:val="17"/>
          <w:u w:val="none"/>
          <w:effect w:val="none"/>
        </w:rPr>
        <w:t>2012</w:t>
      </w:r>
      <w:r>
        <w:rPr>
          <w:rFonts w:ascii="inherit" w:hAnsi="inherit"/>
          <w:sz w:val="17"/>
        </w:rPr>
        <w:t>, we began using derivate financial instruments in order to manage our commodity price risk associated with the forecasted sales of gold scrap. From time to time, we purchase put options related to the future market price of gold, and simultaneously, we sell a call option for the same future period for a premium to offset the cost of the put. The combined put and call options, or collar, has the effect of providing us protection from the future downward gold price movement but also limits the extent we can participate in future upward price movement. These collars are not designated as hedges as they do not meet the hedge accounting requirements FASB ASC 851-20-25. The fair value of the derivative instruments is recognized in “Prepaid expenses and other assets” in the consolidated balance sheets and changes in fair value are recognized in “Other” in our consolidated statements of operations.</w:t>
      </w:r>
    </w:p>
    <w:p>
      <w:pPr>
        <w:pStyle w:val="TextBody"/>
        <w:spacing w:lineRule="auto" w:line="288" w:before="0" w:after="0"/>
        <w:rPr>
          <w:rFonts w:ascii="inherit" w:hAnsi="inherit"/>
          <w:sz w:val="17"/>
          <w:u w:val="single"/>
        </w:rPr>
      </w:pPr>
      <w:r>
        <w:rPr>
          <w:rFonts w:ascii="inherit" w:hAnsi="inherit"/>
          <w:sz w:val="17"/>
          <w:u w:val="single"/>
        </w:rPr>
        <w:t>Reclassifications</w:t>
      </w:r>
    </w:p>
    <w:p>
      <w:pPr>
        <w:pStyle w:val="TextBody"/>
        <w:spacing w:lineRule="auto" w:line="288" w:before="0" w:after="0"/>
        <w:rPr>
          <w:sz w:val="17"/>
        </w:rPr>
      </w:pPr>
      <w:r>
        <w:rPr>
          <w:rFonts w:ascii="inherit" w:hAnsi="inherit"/>
          <w:sz w:val="17"/>
        </w:rPr>
        <w:t xml:space="preserve">Previously, we reported segment information based primarily on product offerings. Beginning with the second quarter of fiscal </w:t>
      </w:r>
      <w:r>
        <w:rPr>
          <w:rFonts w:ascii="inherit" w:hAnsi="inherit"/>
          <w:strike w:val="false"/>
          <w:dstrike w:val="false"/>
          <w:color w:val="000000"/>
          <w:sz w:val="17"/>
          <w:u w:val="none"/>
          <w:effect w:val="none"/>
        </w:rPr>
        <w:t>2012</w:t>
      </w:r>
      <w:r>
        <w:rPr>
          <w:rFonts w:ascii="inherit" w:hAnsi="inherit"/>
          <w:sz w:val="17"/>
        </w:rPr>
        <w:t>, we redefined our reportable operating segments based on geography as our company is increasingly being organized and managed along geographic lines, with product offerings and channels based on local custom and regulation. For this reason, we concluded that segment reporting based on geography more closely aligns with our management organization and strategic direction. In connection with the new segment structure, we have changed the accountability for, and reporting of, certain costs including administrative, depreciation and amortization. When practical, these costs are allocated to segments. Interest is also allocated to operating segments when debt is incurred at the local country level and is non-recourse to EZCORP. Expenses that cannot be allocated are included as corporate expenses.</w:t>
      </w:r>
    </w:p>
    <w:p>
      <w:pPr>
        <w:pStyle w:val="TextBody"/>
        <w:spacing w:lineRule="auto" w:line="288" w:before="0" w:after="0"/>
        <w:rPr>
          <w:sz w:val="17"/>
        </w:rPr>
      </w:pPr>
      <w:r>
        <w:rPr>
          <w:rFonts w:ascii="inherit" w:hAnsi="inherit"/>
          <w:sz w:val="17"/>
        </w:rPr>
        <w:t xml:space="preserve">In our second fiscal quarter of </w:t>
      </w:r>
      <w:r>
        <w:rPr>
          <w:rFonts w:ascii="inherit" w:hAnsi="inherit"/>
          <w:strike w:val="false"/>
          <w:dstrike w:val="false"/>
          <w:color w:val="000000"/>
          <w:sz w:val="17"/>
          <w:u w:val="none"/>
          <w:effect w:val="none"/>
        </w:rPr>
        <w:t>2011</w:t>
      </w:r>
      <w:r>
        <w:rPr>
          <w:rFonts w:ascii="inherit" w:hAnsi="inherit"/>
          <w:sz w:val="17"/>
        </w:rPr>
        <w:t>, we reclassified fees from our Product Protection Plan and Jewelry VIP Program as well as layaway fees from “Other” revenue to “Sales,” as fees from these products are incidental to sales of merchandise. Prior year figures have been reclassified to conform to this presentation and margins have been recalculated accordingly throughout management’s discussion and analysis.</w:t>
      </w:r>
    </w:p>
    <w:p>
      <w:pPr>
        <w:pStyle w:val="TextBody"/>
        <w:spacing w:lineRule="auto" w:line="288" w:before="0" w:after="0"/>
        <w:rPr>
          <w:sz w:val="17"/>
        </w:rPr>
      </w:pPr>
      <w:r>
        <w:rPr>
          <w:rFonts w:ascii="inherit" w:hAnsi="inherit"/>
          <w:color w:val="000000"/>
          <w:sz w:val="17"/>
          <w:u w:val="single"/>
        </w:rPr>
        <w:t>Three Months Ended June 30, 2012</w:t>
      </w:r>
      <w:r>
        <w:rPr>
          <w:sz w:val="17"/>
          <w:u w:val="single"/>
        </w:rPr>
        <w:t xml:space="preserve"> </w:t>
      </w:r>
      <w:r>
        <w:rPr>
          <w:rFonts w:ascii="inherit" w:hAnsi="inherit"/>
          <w:sz w:val="17"/>
          <w:u w:val="single"/>
        </w:rPr>
        <w:t xml:space="preserve">vs. </w:t>
      </w:r>
      <w:r>
        <w:rPr>
          <w:rFonts w:ascii="inherit" w:hAnsi="inherit"/>
          <w:color w:val="000000"/>
          <w:sz w:val="17"/>
          <w:u w:val="single"/>
        </w:rPr>
        <w:t>Three Months Ended June 30, 2011</w:t>
      </w:r>
      <w:r>
        <w:rPr>
          <w:sz w:val="17"/>
          <w:u w:val="single"/>
        </w:rPr>
        <w:t xml:space="preserve"> </w:t>
      </w:r>
    </w:p>
    <w:p>
      <w:pPr>
        <w:pStyle w:val="TextBody"/>
        <w:spacing w:lineRule="auto" w:line="288" w:before="0" w:after="0"/>
        <w:rPr>
          <w:sz w:val="17"/>
        </w:rPr>
      </w:pPr>
      <w:r>
        <w:rPr>
          <w:rFonts w:ascii="inherit" w:hAnsi="inherit"/>
          <w:sz w:val="17"/>
        </w:rPr>
        <w:t xml:space="preserve">The following table presents selected, unaudited, consolidated financial data for our three-month periods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(the “current quarter” and “prior quarter," respectively):</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614"/>
        <w:gridCol w:w="177"/>
        <w:gridCol w:w="1312"/>
        <w:gridCol w:w="87"/>
        <w:gridCol w:w="144"/>
        <w:gridCol w:w="177"/>
        <w:gridCol w:w="1312"/>
        <w:gridCol w:w="87"/>
        <w:gridCol w:w="144"/>
        <w:gridCol w:w="1173"/>
        <w:gridCol w:w="978"/>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61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97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14" w:type="dxa"/>
            <w:tcBorders/>
            <w:shd w:fill="auto" w:val="clear"/>
            <w:vAlign w:val="center"/>
          </w:tcPr>
          <w:p>
            <w:pPr>
              <w:pStyle w:val="TableContents"/>
              <w:spacing w:before="0" w:after="0"/>
              <w:ind w:left="0" w:right="0" w:firstLine="30"/>
              <w:jc w:val="left"/>
              <w:rPr/>
            </w:pPr>
            <w:r>
              <w:rPr/>
              <w:t> </w:t>
            </w:r>
          </w:p>
        </w:tc>
        <w:tc>
          <w:tcPr>
            <w:tcW w:w="32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c>
          <w:tcPr>
            <w:tcW w:w="144" w:type="dxa"/>
            <w:tcBorders/>
            <w:shd w:fill="auto" w:val="clear"/>
            <w:vAlign w:val="center"/>
          </w:tcPr>
          <w:p>
            <w:pPr>
              <w:pStyle w:val="TableContents"/>
              <w:spacing w:before="0" w:after="0"/>
              <w:ind w:left="0" w:right="0" w:firstLine="30"/>
              <w:rPr/>
            </w:pPr>
            <w:r>
              <w:rPr/>
              <w:t> </w:t>
            </w:r>
          </w:p>
        </w:tc>
        <w:tc>
          <w:tcPr>
            <w:tcW w:w="2151" w:type="dxa"/>
            <w:gridSpan w:val="2"/>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614" w:type="dxa"/>
            <w:tcBorders/>
            <w:shd w:fill="auto" w:val="clear"/>
            <w:vAlign w:val="center"/>
          </w:tcPr>
          <w:p>
            <w:pPr>
              <w:pStyle w:val="TableContents"/>
              <w:spacing w:before="0" w:after="0"/>
              <w:ind w:left="0" w:right="0" w:firstLine="30"/>
              <w:jc w:val="left"/>
              <w:rPr/>
            </w:pPr>
            <w:r>
              <w:rPr/>
              <w:t> </w:t>
            </w:r>
          </w:p>
        </w:tc>
        <w:tc>
          <w:tcPr>
            <w:tcW w:w="15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576" w:type="dxa"/>
            <w:gridSpan w:val="3"/>
            <w:tcBorders>
              <w:top w:val="single" w:sz="2" w:space="0" w:color="000000"/>
              <w:bottom w:val="single" w:sz="2" w:space="0" w:color="000000"/>
            </w:tcBorders>
            <w:shd w:fill="auto" w:val="clear"/>
            <w:tcMar>
              <w:top w:w="30" w:type="dxa"/>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4" w:type="dxa"/>
            <w:tcBorders/>
            <w:shd w:fill="auto" w:val="clear"/>
            <w:vAlign w:val="center"/>
          </w:tcPr>
          <w:p>
            <w:pPr>
              <w:pStyle w:val="TableContents"/>
              <w:spacing w:before="0" w:after="0"/>
              <w:ind w:left="0" w:right="0" w:firstLine="30"/>
              <w:rPr/>
            </w:pPr>
            <w:r>
              <w:rPr/>
              <w:t> </w:t>
            </w:r>
          </w:p>
        </w:tc>
        <w:tc>
          <w:tcPr>
            <w:tcW w:w="2151"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614" w:type="dxa"/>
            <w:tcBorders/>
            <w:shd w:fill="auto" w:val="clear"/>
            <w:vAlign w:val="center"/>
          </w:tcPr>
          <w:p>
            <w:pPr>
              <w:pStyle w:val="TableContents"/>
              <w:spacing w:before="0" w:after="0"/>
              <w:ind w:left="0" w:right="0" w:firstLine="30"/>
              <w:jc w:val="left"/>
              <w:rPr/>
            </w:pPr>
            <w:r>
              <w:rPr/>
              <w:t> </w:t>
            </w:r>
          </w:p>
        </w:tc>
        <w:tc>
          <w:tcPr>
            <w:tcW w:w="329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4" w:type="dxa"/>
            <w:tcBorders/>
            <w:shd w:fill="auto" w:val="clear"/>
            <w:vAlign w:val="center"/>
          </w:tcPr>
          <w:p>
            <w:pPr>
              <w:pStyle w:val="TableContents"/>
              <w:spacing w:before="0" w:after="0"/>
              <w:ind w:left="0" w:right="0" w:firstLine="30"/>
              <w:rPr/>
            </w:pPr>
            <w:r>
              <w:rPr/>
              <w:t> </w:t>
            </w:r>
          </w:p>
        </w:tc>
        <w:tc>
          <w:tcPr>
            <w:tcW w:w="2151" w:type="dxa"/>
            <w:gridSpan w:val="2"/>
            <w:tcBorders/>
            <w:shd w:fill="auto" w:val="clear"/>
            <w:vAlign w:val="center"/>
          </w:tcPr>
          <w:p>
            <w:pPr>
              <w:pStyle w:val="TableContents"/>
              <w:spacing w:before="0" w:after="0"/>
              <w:ind w:left="0" w:right="0" w:firstLine="30"/>
              <w:jc w:val="left"/>
              <w:rPr/>
            </w:pPr>
            <w:r>
              <w:rPr/>
              <w:t> </w:t>
            </w:r>
          </w:p>
        </w:tc>
      </w:tr>
      <w:tr>
        <w:trPr/>
        <w:tc>
          <w:tcPr>
            <w:tcW w:w="4614"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Revenues:</w:t>
            </w:r>
          </w:p>
        </w:tc>
        <w:tc>
          <w:tcPr>
            <w:tcW w:w="1576"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576"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2151" w:type="dxa"/>
            <w:gridSpan w:val="2"/>
            <w:tcBorders/>
            <w:shd w:fill="CCEEFF" w:val="clear"/>
            <w:vAlign w:val="center"/>
          </w:tcPr>
          <w:p>
            <w:pPr>
              <w:pStyle w:val="TableContents"/>
              <w:spacing w:before="0" w:after="0"/>
              <w:ind w:left="0" w:right="0" w:firstLine="420"/>
              <w:rPr/>
            </w:pPr>
            <w:r>
              <w:rPr/>
              <w:t> </w:t>
            </w:r>
          </w:p>
        </w:tc>
      </w:tr>
      <w:tr>
        <w:trPr/>
        <w:tc>
          <w:tcPr>
            <w:tcW w:w="46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shd w:fill="auto" w:val="clear"/>
            <w:vAlign w:val="center"/>
          </w:tcPr>
          <w:p>
            <w:pPr>
              <w:pStyle w:val="TableContents"/>
              <w:spacing w:before="0" w:after="0"/>
              <w:jc w:val="right"/>
              <w:rPr>
                <w:rFonts w:ascii="inherit" w:hAnsi="inherit"/>
                <w:sz w:val="17"/>
              </w:rPr>
            </w:pPr>
            <w:r>
              <w:rPr>
                <w:rFonts w:ascii="inherit" w:hAnsi="inherit"/>
                <w:sz w:val="17"/>
              </w:rPr>
              <w:t>117,932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shd w:fill="auto" w:val="clear"/>
            <w:vAlign w:val="center"/>
          </w:tcPr>
          <w:p>
            <w:pPr>
              <w:pStyle w:val="TableContents"/>
              <w:spacing w:before="0" w:after="0"/>
              <w:jc w:val="right"/>
              <w:rPr>
                <w:rFonts w:ascii="inherit" w:hAnsi="inherit"/>
                <w:sz w:val="17"/>
              </w:rPr>
            </w:pPr>
            <w:r>
              <w:rPr>
                <w:rFonts w:ascii="inherit" w:hAnsi="inherit"/>
                <w:sz w:val="17"/>
              </w:rPr>
              <w:t>115,345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2.2</w:t>
            </w:r>
          </w:p>
        </w:tc>
        <w:tc>
          <w:tcPr>
            <w:tcW w:w="9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56,163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48,365</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16.1</w:t>
            </w:r>
          </w:p>
        </w:tc>
        <w:tc>
          <w:tcPr>
            <w:tcW w:w="97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53,504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38,870</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37.6</w:t>
            </w:r>
          </w:p>
        </w:tc>
        <w:tc>
          <w:tcPr>
            <w:tcW w:w="9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1,365</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572</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138.6</w:t>
            </w:r>
          </w:p>
        </w:tc>
        <w:tc>
          <w:tcPr>
            <w:tcW w:w="978"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6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228,964</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203,152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12.7</w:t>
            </w:r>
          </w:p>
        </w:tc>
        <w:tc>
          <w:tcPr>
            <w:tcW w:w="97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72,453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69,128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4.8</w:t>
            </w:r>
          </w:p>
        </w:tc>
        <w:tc>
          <w:tcPr>
            <w:tcW w:w="97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11,251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11,027</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2.0</w:t>
            </w:r>
          </w:p>
        </w:tc>
        <w:tc>
          <w:tcPr>
            <w:tcW w:w="978"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61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145,260</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122,997</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18.1</w:t>
            </w:r>
          </w:p>
        </w:tc>
        <w:tc>
          <w:tcPr>
            <w:tcW w:w="9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14"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attributable to EZCORP, Inc.</w:t>
            </w:r>
          </w:p>
        </w:tc>
        <w:tc>
          <w:tcPr>
            <w:tcW w:w="17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8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top w:val="double" w:sz="6" w:space="0" w:color="000000"/>
              <w:bottom w:val="double" w:sz="6" w:space="0" w:color="000000"/>
            </w:tcBorders>
            <w:shd w:fill="auto"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87" w:type="dxa"/>
            <w:tcBorders>
              <w:top w:val="double" w:sz="6" w:space="0" w:color="000000"/>
              <w:bottom w:val="double" w:sz="6" w:space="0" w:color="000000"/>
            </w:tcBorders>
            <w:shd w:fill="auto"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978"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44</w:t>
      </w:r>
      <w:r>
        <w:br w:type="page"/>
      </w:r>
    </w:p>
    <w:p>
      <w:pPr>
        <w:pStyle w:val="TextBody"/>
        <w:spacing w:lineRule="auto" w:line="288" w:before="0" w:after="0"/>
        <w:rPr/>
      </w:pPr>
      <w:hyperlink w:anchor="s1D4031A326A2D05AEEF6A412554D06A6">
        <w:bookmarkStart w:id="38" w:name="s4C0FC2722448868C1717C0FDC038CCFC2"/>
        <w:bookmarkEnd w:id="3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color w:val="000000"/>
          <w:sz w:val="17"/>
          <w:u w:val="single"/>
        </w:rPr>
        <w:t>Nine Months Ended June 30, 2012</w:t>
      </w:r>
      <w:r>
        <w:rPr>
          <w:sz w:val="17"/>
          <w:u w:val="single"/>
        </w:rPr>
        <w:t xml:space="preserve"> </w:t>
      </w:r>
      <w:r>
        <w:rPr>
          <w:rFonts w:ascii="inherit" w:hAnsi="inherit"/>
          <w:sz w:val="17"/>
          <w:u w:val="single"/>
        </w:rPr>
        <w:t xml:space="preserve">vs. </w:t>
      </w:r>
      <w:r>
        <w:rPr>
          <w:rFonts w:ascii="inherit" w:hAnsi="inherit"/>
          <w:color w:val="000000"/>
          <w:sz w:val="17"/>
          <w:u w:val="single"/>
        </w:rPr>
        <w:t>Nine Months Ended June 30, 2011</w:t>
      </w:r>
      <w:r>
        <w:rPr>
          <w:sz w:val="17"/>
          <w:u w:val="single"/>
        </w:rPr>
        <w:t xml:space="preserve"> </w:t>
      </w:r>
    </w:p>
    <w:p>
      <w:pPr>
        <w:pStyle w:val="TextBody"/>
        <w:spacing w:lineRule="auto" w:line="288" w:before="0" w:after="0"/>
        <w:rPr>
          <w:sz w:val="17"/>
        </w:rPr>
      </w:pPr>
      <w:r>
        <w:rPr>
          <w:rFonts w:ascii="inherit" w:hAnsi="inherit"/>
          <w:sz w:val="17"/>
        </w:rPr>
        <w:t xml:space="preserve">The following table presents selected, unaudited, consolidated financial data for our nine-month periods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2011</w:t>
      </w:r>
      <w:r>
        <w:rPr>
          <w:sz w:val="17"/>
        </w:rPr>
        <w:t xml:space="preserve"> </w:t>
      </w:r>
      <w:r>
        <w:rPr>
          <w:rFonts w:ascii="inherit" w:hAnsi="inherit"/>
          <w:sz w:val="17"/>
        </w:rPr>
        <w:t xml:space="preserve">(the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and “prior </w:t>
      </w:r>
      <w:r>
        <w:rPr>
          <w:rFonts w:ascii="inherit" w:hAnsi="inherit"/>
          <w:strike w:val="false"/>
          <w:dstrike w:val="false"/>
          <w:color w:val="000000"/>
          <w:sz w:val="17"/>
          <w:u w:val="none"/>
          <w:effect w:val="none"/>
        </w:rPr>
        <w:t>nine-month period</w:t>
      </w:r>
      <w:r>
        <w:rPr>
          <w:rFonts w:ascii="inherit" w:hAnsi="inherit"/>
          <w:sz w:val="17"/>
        </w:rPr>
        <w:t>,” respectively):</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615"/>
        <w:gridCol w:w="177"/>
        <w:gridCol w:w="1312"/>
        <w:gridCol w:w="87"/>
        <w:gridCol w:w="144"/>
        <w:gridCol w:w="177"/>
        <w:gridCol w:w="1312"/>
        <w:gridCol w:w="87"/>
        <w:gridCol w:w="144"/>
        <w:gridCol w:w="1173"/>
        <w:gridCol w:w="977"/>
      </w:tblGrid>
      <w:tr>
        <w:trPr/>
        <w:tc>
          <w:tcPr>
            <w:tcW w:w="10205" w:type="dxa"/>
            <w:gridSpan w:val="11"/>
            <w:tcBorders/>
            <w:shd w:fill="auto" w:val="clear"/>
            <w:vAlign w:val="center"/>
          </w:tcPr>
          <w:p>
            <w:pPr>
              <w:pStyle w:val="TableContents"/>
              <w:spacing w:before="0" w:after="283"/>
              <w:rPr>
                <w:sz w:val="4"/>
                <w:szCs w:val="4"/>
              </w:rPr>
            </w:pPr>
            <w:r>
              <w:rPr>
                <w:sz w:val="4"/>
                <w:szCs w:val="4"/>
              </w:rPr>
            </w:r>
          </w:p>
        </w:tc>
      </w:tr>
      <w:tr>
        <w:trPr/>
        <w:tc>
          <w:tcPr>
            <w:tcW w:w="4615"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44" w:type="dxa"/>
            <w:tcBorders/>
            <w:shd w:fill="auto" w:val="clear"/>
            <w:vAlign w:val="center"/>
          </w:tcPr>
          <w:p>
            <w:pPr>
              <w:pStyle w:val="TableContents"/>
              <w:spacing w:before="0" w:after="283"/>
              <w:rPr>
                <w:sz w:val="4"/>
                <w:szCs w:val="4"/>
              </w:rPr>
            </w:pPr>
            <w:r>
              <w:rPr>
                <w:sz w:val="4"/>
                <w:szCs w:val="4"/>
              </w:rPr>
            </w:r>
          </w:p>
        </w:tc>
        <w:tc>
          <w:tcPr>
            <w:tcW w:w="1173"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615" w:type="dxa"/>
            <w:tcBorders/>
            <w:shd w:fill="auto" w:val="clear"/>
            <w:vAlign w:val="center"/>
          </w:tcPr>
          <w:p>
            <w:pPr>
              <w:pStyle w:val="TableContents"/>
              <w:spacing w:before="0" w:after="0"/>
              <w:ind w:left="0" w:right="0" w:firstLine="30"/>
              <w:jc w:val="left"/>
              <w:rPr/>
            </w:pPr>
            <w:r>
              <w:rPr/>
              <w:t> </w:t>
            </w:r>
          </w:p>
        </w:tc>
        <w:tc>
          <w:tcPr>
            <w:tcW w:w="3296"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c>
          <w:tcPr>
            <w:tcW w:w="144" w:type="dxa"/>
            <w:tcBorders/>
            <w:shd w:fill="auto" w:val="clear"/>
            <w:vAlign w:val="center"/>
          </w:tcPr>
          <w:p>
            <w:pPr>
              <w:pStyle w:val="TableContents"/>
              <w:spacing w:before="0" w:after="0"/>
              <w:ind w:left="0" w:right="0" w:firstLine="30"/>
              <w:rPr/>
            </w:pPr>
            <w:r>
              <w:rPr/>
              <w:t> </w:t>
            </w:r>
          </w:p>
        </w:tc>
        <w:tc>
          <w:tcPr>
            <w:tcW w:w="2150" w:type="dxa"/>
            <w:gridSpan w:val="2"/>
            <w:vMerge w:val="restart"/>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Percentage</w:t>
            </w:r>
          </w:p>
          <w:p>
            <w:pPr>
              <w:pStyle w:val="TableContents"/>
              <w:spacing w:before="0" w:after="0"/>
              <w:ind w:left="0" w:right="0" w:firstLine="30"/>
              <w:jc w:val="center"/>
              <w:rPr>
                <w:rFonts w:ascii="inherit" w:hAnsi="inherit"/>
                <w:b/>
                <w:sz w:val="13"/>
              </w:rPr>
            </w:pPr>
            <w:r>
              <w:rPr>
                <w:rFonts w:ascii="inherit" w:hAnsi="inherit"/>
                <w:b/>
                <w:sz w:val="13"/>
              </w:rPr>
              <w:t>Change</w:t>
            </w:r>
          </w:p>
        </w:tc>
      </w:tr>
      <w:tr>
        <w:trPr/>
        <w:tc>
          <w:tcPr>
            <w:tcW w:w="4615" w:type="dxa"/>
            <w:tcBorders/>
            <w:shd w:fill="auto" w:val="clear"/>
            <w:vAlign w:val="center"/>
          </w:tcPr>
          <w:p>
            <w:pPr>
              <w:pStyle w:val="TableContents"/>
              <w:spacing w:before="0" w:after="0"/>
              <w:ind w:left="0" w:right="0" w:firstLine="30"/>
              <w:jc w:val="left"/>
              <w:rPr/>
            </w:pPr>
            <w:r>
              <w:rPr/>
              <w:t> </w:t>
            </w:r>
          </w:p>
        </w:tc>
        <w:tc>
          <w:tcPr>
            <w:tcW w:w="15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4" w:type="dxa"/>
            <w:tcBorders/>
            <w:shd w:fill="auto" w:val="clear"/>
            <w:vAlign w:val="center"/>
          </w:tcPr>
          <w:p>
            <w:pPr>
              <w:pStyle w:val="TableContents"/>
              <w:spacing w:before="0" w:after="0"/>
              <w:ind w:left="0" w:right="0" w:firstLine="30"/>
              <w:rPr/>
            </w:pPr>
            <w:r>
              <w:rPr/>
              <w:t> </w:t>
            </w:r>
          </w:p>
        </w:tc>
        <w:tc>
          <w:tcPr>
            <w:tcW w:w="157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c>
          <w:tcPr>
            <w:tcW w:w="144" w:type="dxa"/>
            <w:tcBorders/>
            <w:shd w:fill="auto" w:val="clear"/>
            <w:vAlign w:val="center"/>
          </w:tcPr>
          <w:p>
            <w:pPr>
              <w:pStyle w:val="TableContents"/>
              <w:spacing w:before="0" w:after="0"/>
              <w:ind w:left="0" w:right="0" w:firstLine="30"/>
              <w:rPr/>
            </w:pPr>
            <w:r>
              <w:rPr/>
              <w:t> </w:t>
            </w:r>
          </w:p>
        </w:tc>
        <w:tc>
          <w:tcPr>
            <w:tcW w:w="2150" w:type="dxa"/>
            <w:gridSpan w:val="2"/>
            <w:vMerge w:val="continue"/>
            <w:tcBorders>
              <w:bottom w:val="single" w:sz="2" w:space="0" w:color="000000"/>
            </w:tcBorders>
            <w:shd w:fill="auto" w:val="clear"/>
            <w:tcMar>
              <w:bottom w:w="30" w:type="dxa"/>
            </w:tcMar>
            <w:vAlign w:val="center"/>
          </w:tcPr>
          <w:p>
            <w:pPr>
              <w:pStyle w:val="Normal"/>
              <w:rPr/>
            </w:pPr>
            <w:r>
              <w:rPr/>
            </w:r>
          </w:p>
        </w:tc>
      </w:tr>
      <w:tr>
        <w:trPr/>
        <w:tc>
          <w:tcPr>
            <w:tcW w:w="4615" w:type="dxa"/>
            <w:tcBorders/>
            <w:shd w:fill="auto" w:val="clear"/>
            <w:vAlign w:val="center"/>
          </w:tcPr>
          <w:p>
            <w:pPr>
              <w:pStyle w:val="TableContents"/>
              <w:spacing w:before="0" w:after="0"/>
              <w:ind w:left="0" w:right="0" w:firstLine="30"/>
              <w:jc w:val="left"/>
              <w:rPr/>
            </w:pPr>
            <w:r>
              <w:rPr/>
              <w:t> </w:t>
            </w:r>
          </w:p>
        </w:tc>
        <w:tc>
          <w:tcPr>
            <w:tcW w:w="3296"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c>
          <w:tcPr>
            <w:tcW w:w="144" w:type="dxa"/>
            <w:tcBorders/>
            <w:shd w:fill="auto" w:val="clear"/>
            <w:vAlign w:val="center"/>
          </w:tcPr>
          <w:p>
            <w:pPr>
              <w:pStyle w:val="TableContents"/>
              <w:spacing w:before="0" w:after="0"/>
              <w:ind w:left="0" w:right="0" w:firstLine="30"/>
              <w:rPr/>
            </w:pPr>
            <w:r>
              <w:rPr/>
              <w:t> </w:t>
            </w:r>
          </w:p>
        </w:tc>
        <w:tc>
          <w:tcPr>
            <w:tcW w:w="2150" w:type="dxa"/>
            <w:gridSpan w:val="2"/>
            <w:tcBorders/>
            <w:shd w:fill="auto" w:val="clear"/>
            <w:vAlign w:val="center"/>
          </w:tcPr>
          <w:p>
            <w:pPr>
              <w:pStyle w:val="TableContents"/>
              <w:spacing w:before="0" w:after="0"/>
              <w:ind w:left="0" w:right="0" w:firstLine="30"/>
              <w:jc w:val="left"/>
              <w:rPr/>
            </w:pPr>
            <w:r>
              <w:rPr/>
              <w:t> </w:t>
            </w:r>
          </w:p>
        </w:tc>
      </w:tr>
      <w:tr>
        <w:trPr/>
        <w:tc>
          <w:tcPr>
            <w:tcW w:w="4615" w:type="dxa"/>
            <w:tcBorders/>
            <w:shd w:fill="CCEEFF" w:val="clear"/>
            <w:vAlign w:val="center"/>
          </w:tcPr>
          <w:p>
            <w:pPr>
              <w:pStyle w:val="TableContents"/>
              <w:spacing w:before="0" w:after="0"/>
              <w:ind w:left="0" w:right="0" w:firstLine="30"/>
              <w:jc w:val="left"/>
              <w:rPr>
                <w:rFonts w:ascii="inherit" w:hAnsi="inherit"/>
                <w:b/>
                <w:sz w:val="17"/>
              </w:rPr>
            </w:pPr>
            <w:r>
              <w:rPr>
                <w:rFonts w:ascii="inherit" w:hAnsi="inherit"/>
                <w:b/>
                <w:sz w:val="17"/>
              </w:rPr>
              <w:t>Revenues:</w:t>
            </w:r>
          </w:p>
        </w:tc>
        <w:tc>
          <w:tcPr>
            <w:tcW w:w="1576"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1576" w:type="dxa"/>
            <w:gridSpan w:val="3"/>
            <w:tcBorders/>
            <w:shd w:fill="CCEEFF" w:val="clear"/>
            <w:vAlign w:val="center"/>
          </w:tcPr>
          <w:p>
            <w:pPr>
              <w:pStyle w:val="TableContents"/>
              <w:spacing w:before="0" w:after="0"/>
              <w:ind w:left="0" w:right="0" w:firstLine="30"/>
              <w:rPr/>
            </w:pPr>
            <w:r>
              <w:rPr/>
              <w:t> </w:t>
            </w:r>
          </w:p>
        </w:tc>
        <w:tc>
          <w:tcPr>
            <w:tcW w:w="144" w:type="dxa"/>
            <w:tcBorders/>
            <w:shd w:fill="CCEEFF" w:val="clear"/>
            <w:vAlign w:val="center"/>
          </w:tcPr>
          <w:p>
            <w:pPr>
              <w:pStyle w:val="TableContents"/>
              <w:spacing w:before="0" w:after="0"/>
              <w:ind w:left="0" w:right="0" w:firstLine="30"/>
              <w:rPr/>
            </w:pPr>
            <w:r>
              <w:rPr/>
              <w:t> </w:t>
            </w:r>
          </w:p>
        </w:tc>
        <w:tc>
          <w:tcPr>
            <w:tcW w:w="2150" w:type="dxa"/>
            <w:gridSpan w:val="2"/>
            <w:tcBorders/>
            <w:shd w:fill="CCEEFF" w:val="clear"/>
            <w:vAlign w:val="center"/>
          </w:tcPr>
          <w:p>
            <w:pPr>
              <w:pStyle w:val="TableContents"/>
              <w:spacing w:before="0" w:after="0"/>
              <w:ind w:left="0" w:right="0" w:firstLine="420"/>
              <w:rPr/>
            </w:pPr>
            <w:r>
              <w:rPr/>
              <w:t> </w:t>
            </w:r>
          </w:p>
        </w:tc>
      </w:tr>
      <w:tr>
        <w:trPr/>
        <w:tc>
          <w:tcPr>
            <w:tcW w:w="4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Sales</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shd w:fill="auto" w:val="clear"/>
            <w:vAlign w:val="center"/>
          </w:tcPr>
          <w:p>
            <w:pPr>
              <w:pStyle w:val="TableContents"/>
              <w:spacing w:before="0" w:after="0"/>
              <w:jc w:val="right"/>
              <w:rPr>
                <w:rFonts w:ascii="inherit" w:hAnsi="inherit"/>
                <w:sz w:val="17"/>
              </w:rPr>
            </w:pPr>
            <w:r>
              <w:rPr>
                <w:rFonts w:ascii="inherit" w:hAnsi="inherit"/>
                <w:sz w:val="17"/>
              </w:rPr>
              <w:t>409,401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shd w:fill="auto" w:val="clear"/>
            <w:vAlign w:val="center"/>
          </w:tcPr>
          <w:p>
            <w:pPr>
              <w:pStyle w:val="TableContents"/>
              <w:spacing w:before="0" w:after="0"/>
              <w:jc w:val="right"/>
              <w:rPr>
                <w:rFonts w:ascii="inherit" w:hAnsi="inherit"/>
                <w:sz w:val="17"/>
              </w:rPr>
            </w:pPr>
            <w:r>
              <w:rPr>
                <w:rFonts w:ascii="inherit" w:hAnsi="inherit"/>
                <w:sz w:val="17"/>
              </w:rPr>
              <w:t>363,658</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12.6</w:t>
            </w:r>
          </w:p>
        </w:tc>
        <w:tc>
          <w:tcPr>
            <w:tcW w:w="9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172,399</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144,944</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18.9</w:t>
            </w:r>
          </w:p>
        </w:tc>
        <w:tc>
          <w:tcPr>
            <w:tcW w:w="97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148,911</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125,652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18.5</w:t>
            </w:r>
          </w:p>
        </w:tc>
        <w:tc>
          <w:tcPr>
            <w:tcW w:w="9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3,404</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978</w:t>
            </w:r>
          </w:p>
        </w:tc>
        <w:tc>
          <w:tcPr>
            <w:tcW w:w="87"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248.1</w:t>
            </w:r>
          </w:p>
        </w:tc>
        <w:tc>
          <w:tcPr>
            <w:tcW w:w="977" w:type="dxa"/>
            <w:tcBorders/>
            <w:shd w:fill="CCEEFF"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734,115</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635,232</w:t>
            </w:r>
          </w:p>
        </w:tc>
        <w:tc>
          <w:tcPr>
            <w:tcW w:w="8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15.6</w:t>
            </w:r>
          </w:p>
        </w:tc>
        <w:tc>
          <w:tcPr>
            <w:tcW w:w="977"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Cost of goods sold</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244,463</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48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219,258</w:t>
            </w:r>
          </w:p>
        </w:tc>
        <w:tc>
          <w:tcPr>
            <w:tcW w:w="8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11.5</w:t>
            </w:r>
          </w:p>
        </w:tc>
        <w:tc>
          <w:tcPr>
            <w:tcW w:w="977"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461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28,742</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48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8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3.4</w:t>
            </w:r>
          </w:p>
        </w:tc>
        <w:tc>
          <w:tcPr>
            <w:tcW w:w="977" w:type="dxa"/>
            <w:tcBorders/>
            <w:shd w:fill="auto" w:val="clear"/>
            <w:vAlign w:val="center"/>
          </w:tcPr>
          <w:p>
            <w:pPr>
              <w:pStyle w:val="TableContents"/>
              <w:spacing w:before="0" w:after="0"/>
              <w:ind w:left="0" w:right="0" w:firstLine="780"/>
              <w:jc w:val="left"/>
              <w:rPr>
                <w:rFonts w:ascii="inherit" w:hAnsi="inherit"/>
                <w:sz w:val="17"/>
              </w:rPr>
            </w:pPr>
            <w:r>
              <w:rPr>
                <w:rFonts w:ascii="inherit" w:hAnsi="inherit"/>
                <w:sz w:val="17"/>
              </w:rPr>
              <w:t>%</w:t>
            </w:r>
          </w:p>
        </w:tc>
      </w:tr>
      <w:tr>
        <w:trPr/>
        <w:tc>
          <w:tcPr>
            <w:tcW w:w="461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460,910</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388,179</w:t>
            </w:r>
          </w:p>
        </w:tc>
        <w:tc>
          <w:tcPr>
            <w:tcW w:w="8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CCEEFF" w:val="clear"/>
            <w:vAlign w:val="center"/>
          </w:tcPr>
          <w:p>
            <w:pPr>
              <w:pStyle w:val="TableContents"/>
              <w:spacing w:before="0" w:after="0"/>
              <w:ind w:left="0" w:right="0" w:firstLine="30"/>
              <w:rPr/>
            </w:pPr>
            <w:r>
              <w:rPr/>
              <w:t> </w:t>
            </w:r>
          </w:p>
        </w:tc>
        <w:tc>
          <w:tcPr>
            <w:tcW w:w="1173" w:type="dxa"/>
            <w:tcBorders/>
            <w:shd w:fill="CCEEFF" w:val="clear"/>
            <w:vAlign w:val="center"/>
          </w:tcPr>
          <w:p>
            <w:pPr>
              <w:pStyle w:val="TableContents"/>
              <w:spacing w:before="0" w:after="0"/>
              <w:jc w:val="right"/>
              <w:rPr>
                <w:rFonts w:ascii="inherit" w:hAnsi="inherit"/>
                <w:sz w:val="17"/>
              </w:rPr>
            </w:pPr>
            <w:r>
              <w:rPr>
                <w:rFonts w:ascii="inherit" w:hAnsi="inherit"/>
                <w:sz w:val="17"/>
              </w:rPr>
              <w:t>18.7</w:t>
            </w:r>
          </w:p>
        </w:tc>
        <w:tc>
          <w:tcPr>
            <w:tcW w:w="97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4615" w:type="dxa"/>
            <w:tcBorders/>
            <w:shd w:fill="auto" w:val="clear"/>
            <w:vAlign w:val="center"/>
          </w:tcPr>
          <w:p>
            <w:pPr>
              <w:pStyle w:val="TableContents"/>
              <w:spacing w:before="0" w:after="0"/>
              <w:ind w:left="0" w:right="0" w:firstLine="30"/>
              <w:jc w:val="left"/>
              <w:rPr>
                <w:rFonts w:ascii="inherit" w:hAnsi="inherit"/>
                <w:b/>
                <w:sz w:val="17"/>
              </w:rPr>
            </w:pPr>
            <w:r>
              <w:rPr>
                <w:rFonts w:ascii="inherit" w:hAnsi="inherit"/>
                <w:b/>
                <w:sz w:val="17"/>
              </w:rPr>
              <w:t>Net income attributable to EZCORP, Inc.</w:t>
            </w:r>
          </w:p>
        </w:tc>
        <w:tc>
          <w:tcPr>
            <w:tcW w:w="17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77" w:type="dxa"/>
            <w:tcBorders>
              <w:bottom w:val="double" w:sz="6" w:space="0" w:color="000000"/>
            </w:tcBorders>
            <w:shd w:fill="auto"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2" w:type="dxa"/>
            <w:tcBorders>
              <w:bottom w:val="double" w:sz="6"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87" w:type="dxa"/>
            <w:tcBorders>
              <w:bottom w:val="double" w:sz="6"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4" w:type="dxa"/>
            <w:tcBorders/>
            <w:shd w:fill="auto" w:val="clear"/>
            <w:vAlign w:val="center"/>
          </w:tcPr>
          <w:p>
            <w:pPr>
              <w:pStyle w:val="TableContents"/>
              <w:spacing w:before="0" w:after="0"/>
              <w:ind w:left="0" w:right="0" w:firstLine="30"/>
              <w:rPr/>
            </w:pPr>
            <w:r>
              <w:rPr/>
              <w:t> </w:t>
            </w:r>
          </w:p>
        </w:tc>
        <w:tc>
          <w:tcPr>
            <w:tcW w:w="1173" w:type="dxa"/>
            <w:tcBorders/>
            <w:shd w:fill="auto" w:val="clear"/>
            <w:vAlign w:val="center"/>
          </w:tcPr>
          <w:p>
            <w:pPr>
              <w:pStyle w:val="TableContents"/>
              <w:spacing w:before="0" w:after="0"/>
              <w:jc w:val="right"/>
              <w:rPr>
                <w:rFonts w:ascii="inherit" w:hAnsi="inherit"/>
                <w:sz w:val="17"/>
              </w:rPr>
            </w:pPr>
            <w:r>
              <w:rPr>
                <w:rFonts w:ascii="inherit" w:hAnsi="inherit"/>
                <w:sz w:val="17"/>
              </w:rPr>
              <w:t>22.5</w:t>
            </w:r>
          </w:p>
        </w:tc>
        <w:tc>
          <w:tcPr>
            <w:tcW w:w="977"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39" w:name="s3FD7F14B2E9ABAAC69F0A41247CDF383"/>
      <w:bookmarkEnd w:id="39"/>
      <w:r>
        <w:rPr>
          <w:rFonts w:ascii="inherit" w:hAnsi="inherit"/>
          <w:b/>
          <w:i/>
          <w:sz w:val="17"/>
        </w:rPr>
        <w:t>Segment Results of Operations</w:t>
      </w:r>
    </w:p>
    <w:p>
      <w:pPr>
        <w:pStyle w:val="TextBody"/>
        <w:spacing w:lineRule="auto" w:line="288" w:before="0" w:after="0"/>
        <w:rPr>
          <w:rFonts w:ascii="inherit" w:hAnsi="inherit"/>
          <w:sz w:val="17"/>
          <w:u w:val="single"/>
        </w:rPr>
      </w:pPr>
      <w:r>
        <w:rPr>
          <w:rFonts w:ascii="inherit" w:hAnsi="inherit"/>
          <w:sz w:val="17"/>
          <w:u w:val="single"/>
        </w:rPr>
        <w:t>Three Months Ended June  30, 2012 vs. Three Months Ended June 30, 2011</w:t>
      </w:r>
    </w:p>
    <w:p>
      <w:pPr>
        <w:pStyle w:val="TextBody"/>
        <w:spacing w:lineRule="auto" w:line="288" w:before="0" w:after="0"/>
        <w:rPr>
          <w:sz w:val="17"/>
        </w:rPr>
      </w:pPr>
      <w:r>
        <w:rPr>
          <w:rFonts w:ascii="inherit" w:hAnsi="inherit"/>
          <w:sz w:val="17"/>
        </w:rPr>
        <w:t xml:space="preserve">The following discussion compares our results of operations for the quarter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to the quarter ended </w:t>
      </w:r>
      <w:r>
        <w:rPr>
          <w:rFonts w:ascii="inherit" w:hAnsi="inherit"/>
          <w:strike w:val="false"/>
          <w:dstrike w:val="false"/>
          <w:color w:val="000000"/>
          <w:sz w:val="17"/>
          <w:u w:val="none"/>
          <w:effect w:val="none"/>
        </w:rPr>
        <w:t>June 30, 2011</w:t>
      </w:r>
      <w:r>
        <w:rPr>
          <w:rFonts w:ascii="inherit" w:hAnsi="inherit"/>
          <w:sz w:val="17"/>
        </w:rPr>
        <w:t>. It should be read with the accompanying unaudited financial statements and related notes.</w:t>
      </w:r>
    </w:p>
    <w:p>
      <w:pPr>
        <w:pStyle w:val="TextBody"/>
        <w:spacing w:lineRule="auto" w:line="288" w:before="0" w:after="0"/>
        <w:rPr>
          <w:sz w:val="17"/>
        </w:rPr>
      </w:pPr>
      <w:r>
        <w:rPr>
          <w:rFonts w:ascii="inherit" w:hAnsi="inherit"/>
          <w:sz w:val="17"/>
        </w:rPr>
        <w:t xml:space="preserve">In the current quarter, consolidated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13%</w:t>
      </w:r>
      <w:r>
        <w:rPr>
          <w:rFonts w:ascii="inherit" w:hAnsi="inherit"/>
          <w:sz w:val="17"/>
        </w:rPr>
        <w:t xml:space="preserve">, or </w:t>
      </w:r>
      <w:r>
        <w:rPr>
          <w:rFonts w:ascii="inherit" w:hAnsi="inherit"/>
          <w:strike w:val="false"/>
          <w:dstrike w:val="false"/>
          <w:color w:val="000000"/>
          <w:sz w:val="17"/>
          <w:u w:val="none"/>
          <w:effect w:val="none"/>
        </w:rPr>
        <w:t>$25.8 million</w:t>
      </w:r>
      <w:r>
        <w:rPr>
          <w:rFonts w:ascii="inherit" w:hAnsi="inherit"/>
          <w:sz w:val="17"/>
        </w:rPr>
        <w:t xml:space="preserve">, to </w:t>
      </w:r>
      <w:r>
        <w:rPr>
          <w:rFonts w:ascii="inherit" w:hAnsi="inherit"/>
          <w:strike w:val="false"/>
          <w:dstrike w:val="false"/>
          <w:color w:val="000000"/>
          <w:sz w:val="17"/>
          <w:u w:val="none"/>
          <w:effect w:val="none"/>
        </w:rPr>
        <w:t>$229.0 million</w:t>
      </w:r>
      <w:r>
        <w:rPr>
          <w:rFonts w:ascii="inherit" w:hAnsi="inherit"/>
          <w:sz w:val="17"/>
        </w:rPr>
        <w:t xml:space="preserve">, compared to the prior year quarter. The increase was primarily driven by a </w:t>
      </w:r>
      <w:r>
        <w:rPr>
          <w:rFonts w:ascii="inherit" w:hAnsi="inherit"/>
          <w:strike w:val="false"/>
          <w:dstrike w:val="false"/>
          <w:color w:val="000000"/>
          <w:sz w:val="17"/>
          <w:u w:val="none"/>
          <w:effect w:val="none"/>
        </w:rPr>
        <w:t>16%</w:t>
      </w:r>
      <w:r>
        <w:rPr>
          <w:sz w:val="17"/>
        </w:rPr>
        <w:t xml:space="preserve"> </w:t>
      </w:r>
      <w:r>
        <w:rPr>
          <w:rFonts w:ascii="inherit" w:hAnsi="inherit"/>
          <w:sz w:val="17"/>
        </w:rPr>
        <w:t xml:space="preserve">increase in pawn service charges, a </w:t>
      </w:r>
      <w:r>
        <w:rPr>
          <w:rFonts w:ascii="inherit" w:hAnsi="inherit"/>
          <w:strike w:val="false"/>
          <w:dstrike w:val="false"/>
          <w:color w:val="000000"/>
          <w:sz w:val="17"/>
          <w:u w:val="none"/>
          <w:effect w:val="none"/>
        </w:rPr>
        <w:t>38%</w:t>
      </w:r>
      <w:r>
        <w:rPr>
          <w:sz w:val="17"/>
        </w:rPr>
        <w:t xml:space="preserve"> </w:t>
      </w:r>
      <w:r>
        <w:rPr>
          <w:rFonts w:ascii="inherit" w:hAnsi="inherit"/>
          <w:sz w:val="17"/>
        </w:rPr>
        <w:t xml:space="preserve">increase in consumer loan fees, which includes consumer loan fees of $17.8 million and $3.9 million from Crediamigo and Cash Genie, respectively, and an </w:t>
      </w:r>
      <w:r>
        <w:rPr>
          <w:rFonts w:ascii="inherit" w:hAnsi="inherit"/>
          <w:strike w:val="false"/>
          <w:dstrike w:val="false"/>
          <w:color w:val="000000"/>
          <w:sz w:val="17"/>
          <w:u w:val="none"/>
          <w:effect w:val="none"/>
        </w:rPr>
        <w:t>18%</w:t>
      </w:r>
      <w:r>
        <w:rPr>
          <w:sz w:val="17"/>
        </w:rPr>
        <w:t xml:space="preserve"> </w:t>
      </w:r>
      <w:r>
        <w:rPr>
          <w:rFonts w:ascii="inherit" w:hAnsi="inherit"/>
          <w:sz w:val="17"/>
        </w:rPr>
        <w:t xml:space="preserve">increase in merchandise sales, partially offset by a </w:t>
      </w:r>
      <w:r>
        <w:rPr>
          <w:rFonts w:ascii="inherit" w:hAnsi="inherit"/>
          <w:strike w:val="false"/>
          <w:dstrike w:val="false"/>
          <w:color w:val="000000"/>
          <w:sz w:val="17"/>
          <w:u w:val="none"/>
          <w:effect w:val="none"/>
        </w:rPr>
        <w:t>17%</w:t>
      </w:r>
      <w:r>
        <w:rPr>
          <w:sz w:val="17"/>
        </w:rPr>
        <w:t xml:space="preserve"> </w:t>
      </w:r>
      <w:r>
        <w:rPr>
          <w:rFonts w:ascii="inherit" w:hAnsi="inherit"/>
          <w:sz w:val="17"/>
        </w:rPr>
        <w:t xml:space="preserve">decrease in jewelry scrapping sales. Net revenues of </w:t>
      </w:r>
      <w:r>
        <w:rPr>
          <w:rFonts w:ascii="inherit" w:hAnsi="inherit"/>
          <w:strike w:val="false"/>
          <w:dstrike w:val="false"/>
          <w:color w:val="000000"/>
          <w:sz w:val="17"/>
          <w:u w:val="none"/>
          <w:effect w:val="none"/>
        </w:rPr>
        <w:t>$145.3 million</w:t>
      </w:r>
      <w:r>
        <w:rPr>
          <w:rFonts w:ascii="inherit" w:hAnsi="inherit"/>
          <w:sz w:val="17"/>
        </w:rPr>
        <w:t xml:space="preserve">, increased </w:t>
      </w:r>
      <w:r>
        <w:rPr>
          <w:rFonts w:ascii="inherit" w:hAnsi="inherit"/>
          <w:strike w:val="false"/>
          <w:dstrike w:val="false"/>
          <w:color w:val="000000"/>
          <w:sz w:val="17"/>
          <w:u w:val="none"/>
          <w:effect w:val="none"/>
        </w:rPr>
        <w:t>$22.3 million</w:t>
      </w:r>
      <w:r>
        <w:rPr>
          <w:rFonts w:ascii="inherit" w:hAnsi="inherit"/>
          <w:sz w:val="17"/>
        </w:rPr>
        <w:t xml:space="preserve">, or </w:t>
      </w:r>
      <w:r>
        <w:rPr>
          <w:rFonts w:ascii="inherit" w:hAnsi="inherit"/>
          <w:strike w:val="false"/>
          <w:dstrike w:val="false"/>
          <w:color w:val="000000"/>
          <w:sz w:val="17"/>
          <w:u w:val="none"/>
          <w:effect w:val="none"/>
        </w:rPr>
        <w:t>18%</w:t>
      </w:r>
      <w:r>
        <w:rPr>
          <w:rFonts w:ascii="inherit" w:hAnsi="inherit"/>
          <w:sz w:val="17"/>
        </w:rPr>
        <w:t xml:space="preserve">, and store operations increased </w:t>
      </w:r>
      <w:r>
        <w:rPr>
          <w:rFonts w:ascii="inherit" w:hAnsi="inherit"/>
          <w:strike w:val="false"/>
          <w:dstrike w:val="false"/>
          <w:color w:val="000000"/>
          <w:sz w:val="17"/>
          <w:u w:val="none"/>
          <w:effect w:val="none"/>
        </w:rPr>
        <w:t>$9.0 million</w:t>
      </w:r>
      <w:r>
        <w:rPr>
          <w:sz w:val="17"/>
        </w:rPr>
        <w:t xml:space="preserve"> </w:t>
      </w:r>
      <w:r>
        <w:rPr>
          <w:rFonts w:ascii="inherit" w:hAnsi="inherit"/>
          <w:sz w:val="17"/>
        </w:rPr>
        <w:t xml:space="preserve">or </w:t>
      </w:r>
      <w:r>
        <w:rPr>
          <w:rFonts w:ascii="inherit" w:hAnsi="inherit"/>
          <w:strike w:val="false"/>
          <w:dstrike w:val="false"/>
          <w:color w:val="000000"/>
          <w:sz w:val="17"/>
          <w:u w:val="none"/>
          <w:effect w:val="none"/>
        </w:rPr>
        <w:t>13%</w:t>
      </w:r>
      <w:r>
        <w:rPr>
          <w:rFonts w:ascii="inherit" w:hAnsi="inherit"/>
          <w:sz w:val="17"/>
        </w:rPr>
        <w:t xml:space="preserve">. Administrative expenses of </w:t>
      </w:r>
      <w:r>
        <w:rPr>
          <w:rFonts w:ascii="inherit" w:hAnsi="inherit"/>
          <w:strike w:val="false"/>
          <w:dstrike w:val="false"/>
          <w:color w:val="000000"/>
          <w:sz w:val="17"/>
          <w:u w:val="none"/>
          <w:effect w:val="none"/>
        </w:rPr>
        <w:t>$22.7 million</w:t>
      </w:r>
      <w:r>
        <w:rPr>
          <w:sz w:val="17"/>
        </w:rPr>
        <w:t xml:space="preserve">  </w:t>
      </w:r>
      <w:r>
        <w:rPr>
          <w:rFonts w:ascii="inherit" w:hAnsi="inherit"/>
          <w:sz w:val="17"/>
        </w:rPr>
        <w:t xml:space="preserve">increased </w:t>
      </w:r>
      <w:r>
        <w:rPr>
          <w:rFonts w:ascii="inherit" w:hAnsi="inherit"/>
          <w:strike w:val="false"/>
          <w:dstrike w:val="false"/>
          <w:color w:val="000000"/>
          <w:sz w:val="17"/>
          <w:u w:val="none"/>
          <w:effect w:val="none"/>
        </w:rPr>
        <w:t>$8.3 million</w:t>
      </w:r>
      <w:r>
        <w:rPr>
          <w:rFonts w:ascii="inherit" w:hAnsi="inherit"/>
          <w:sz w:val="17"/>
        </w:rPr>
        <w:t xml:space="preserve">, $4.9 million of which result from the consolidation of Crediamigo and Cash Genie, neither of which are store-based operations, and therefore, the majority of their cost base is included in administrative expenses. After a </w:t>
      </w:r>
      <w:r>
        <w:rPr>
          <w:rFonts w:ascii="inherit" w:hAnsi="inherit"/>
          <w:strike w:val="false"/>
          <w:dstrike w:val="false"/>
          <w:color w:val="000000"/>
          <w:sz w:val="17"/>
          <w:u w:val="none"/>
          <w:effect w:val="none"/>
        </w:rPr>
        <w:t>$2.7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depreciation and amortization, a </w:t>
      </w:r>
      <w:r>
        <w:rPr>
          <w:rFonts w:ascii="inherit" w:hAnsi="inherit"/>
          <w:strike w:val="false"/>
          <w:dstrike w:val="false"/>
          <w:color w:val="000000"/>
          <w:sz w:val="17"/>
          <w:u w:val="none"/>
          <w:effect w:val="none"/>
        </w:rPr>
        <w:t>$0.3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interest, a </w:t>
      </w:r>
      <w:r>
        <w:rPr>
          <w:rFonts w:ascii="inherit" w:hAnsi="inherit"/>
          <w:strike w:val="false"/>
          <w:dstrike w:val="false"/>
          <w:color w:val="000000"/>
          <w:sz w:val="17"/>
          <w:u w:val="none"/>
          <w:effect w:val="none"/>
        </w:rPr>
        <w:t>$1.5 million</w:t>
      </w:r>
      <w:r>
        <w:rPr>
          <w:sz w:val="17"/>
        </w:rPr>
        <w:t xml:space="preserve"> </w:t>
      </w:r>
      <w:r>
        <w:rPr>
          <w:rFonts w:ascii="inherit" w:hAnsi="inherit"/>
          <w:sz w:val="17"/>
        </w:rPr>
        <w:t xml:space="preserve">decrease in income tax expense and the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 xml:space="preserve">in net income attributable to the noncontrolling interest, net income attributable to EZCORP, Inc.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$28.5 million</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45</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rPr>
          <w:rFonts w:ascii="inherit" w:hAnsi="inherit"/>
          <w:sz w:val="17"/>
        </w:rPr>
      </w:pPr>
      <w:r>
        <w:rPr>
          <w:rFonts w:ascii="inherit" w:hAnsi="inherit"/>
          <w:sz w:val="17"/>
        </w:rPr>
        <w:t>The following table presents selected financial data for the U.S. &amp; Canada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186"/>
        <w:gridCol w:w="181"/>
        <w:gridCol w:w="1288"/>
        <w:gridCol w:w="249"/>
        <w:gridCol w:w="149"/>
        <w:gridCol w:w="181"/>
        <w:gridCol w:w="1288"/>
        <w:gridCol w:w="68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8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86" w:type="dxa"/>
            <w:tcBorders/>
            <w:shd w:fill="auto" w:val="clear"/>
            <w:vAlign w:val="center"/>
          </w:tcPr>
          <w:p>
            <w:pPr>
              <w:pStyle w:val="TableContents"/>
              <w:spacing w:before="0" w:after="0"/>
              <w:ind w:left="0" w:right="0" w:firstLine="30"/>
              <w:jc w:val="left"/>
              <w:rPr/>
            </w:pPr>
            <w:r>
              <w:rPr/>
              <w:t> </w:t>
            </w:r>
          </w:p>
        </w:tc>
        <w:tc>
          <w:tcPr>
            <w:tcW w:w="401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186" w:type="dxa"/>
            <w:tcBorders/>
            <w:shd w:fill="auto" w:val="clear"/>
            <w:vAlign w:val="center"/>
          </w:tcPr>
          <w:p>
            <w:pPr>
              <w:pStyle w:val="TableContents"/>
              <w:spacing w:before="0" w:after="0"/>
              <w:ind w:left="0" w:right="0" w:firstLine="30"/>
              <w:jc w:val="left"/>
              <w:rPr/>
            </w:pPr>
            <w:r>
              <w:rPr/>
              <w:t> </w:t>
            </w:r>
          </w:p>
        </w:tc>
        <w:tc>
          <w:tcPr>
            <w:tcW w:w="17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1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186" w:type="dxa"/>
            <w:tcBorders/>
            <w:shd w:fill="auto" w:val="clear"/>
            <w:vAlign w:val="center"/>
          </w:tcPr>
          <w:p>
            <w:pPr>
              <w:pStyle w:val="TableContents"/>
              <w:spacing w:before="0" w:after="0"/>
              <w:ind w:left="0" w:right="0" w:firstLine="30"/>
              <w:jc w:val="left"/>
              <w:rPr/>
            </w:pPr>
            <w:r>
              <w:rPr/>
              <w:t> </w:t>
            </w:r>
          </w:p>
        </w:tc>
        <w:tc>
          <w:tcPr>
            <w:tcW w:w="401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rFonts w:ascii="inherit" w:hAnsi="inherit"/>
                <w:sz w:val="17"/>
              </w:rPr>
            </w:pPr>
            <w:r>
              <w:rPr>
                <w:rFonts w:ascii="inherit" w:hAnsi="inherit"/>
                <w:sz w:val="17"/>
              </w:rPr>
              <w:t>65,799</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rFonts w:ascii="inherit" w:hAnsi="inherit"/>
                <w:sz w:val="17"/>
              </w:rPr>
            </w:pPr>
            <w:r>
              <w:rPr>
                <w:rFonts w:ascii="inherit" w:hAnsi="inherit"/>
                <w:sz w:val="17"/>
              </w:rPr>
              <w:t>58,173</w:t>
            </w:r>
          </w:p>
        </w:tc>
        <w:tc>
          <w:tcPr>
            <w:tcW w:w="6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37,456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46,514</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49,979</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43,846</w:t>
            </w:r>
          </w:p>
        </w:tc>
        <w:tc>
          <w:tcPr>
            <w:tcW w:w="6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39,243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38,870</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649</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566</w:t>
            </w:r>
          </w:p>
        </w:tc>
        <w:tc>
          <w:tcPr>
            <w:tcW w:w="683"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193,126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187,969</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38,519</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32,924</w:t>
            </w:r>
          </w:p>
        </w:tc>
        <w:tc>
          <w:tcPr>
            <w:tcW w:w="6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24,415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28,951</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9,368</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11,027</w:t>
            </w:r>
          </w:p>
        </w:tc>
        <w:tc>
          <w:tcPr>
            <w:tcW w:w="683"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120,824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115,067</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718"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152" w:type="dxa"/>
            <w:gridSpan w:val="3"/>
            <w:tcBorders/>
            <w:shd w:fill="CCEEFF" w:val="clear"/>
            <w:vAlign w:val="center"/>
          </w:tcPr>
          <w:p>
            <w:pPr>
              <w:pStyle w:val="TableContents"/>
              <w:spacing w:before="0" w:after="0"/>
              <w:ind w:left="0" w:right="0" w:firstLine="420"/>
              <w:rPr/>
            </w:pPr>
            <w:r>
              <w:rPr/>
              <w:t> </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65,975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61,347</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5,970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4,293</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3,622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2,828</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142</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117</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157</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614</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6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44,409</w:t>
            </w:r>
          </w:p>
        </w:tc>
        <w:tc>
          <w:tcPr>
            <w:tcW w:w="24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46,303</w:t>
            </w:r>
          </w:p>
        </w:tc>
        <w:tc>
          <w:tcPr>
            <w:tcW w:w="6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18"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152" w:type="dxa"/>
            <w:gridSpan w:val="3"/>
            <w:tcBorders/>
            <w:shd w:fill="auto" w:val="clear"/>
            <w:vAlign w:val="center"/>
          </w:tcPr>
          <w:p>
            <w:pPr>
              <w:pStyle w:val="TableContents"/>
              <w:spacing w:before="0" w:after="0"/>
              <w:ind w:left="0" w:right="0" w:firstLine="420"/>
              <w:rPr/>
            </w:pPr>
            <w:r>
              <w:rPr/>
              <w:t> </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43.4</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37.8</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auto" w:val="clear"/>
            <w:vAlign w:val="center"/>
          </w:tcPr>
          <w:p>
            <w:pPr>
              <w:pStyle w:val="TableContents"/>
              <w:spacing w:before="0" w:after="0"/>
              <w:jc w:val="right"/>
              <w:rPr>
                <w:rFonts w:ascii="inherit" w:hAnsi="inherit"/>
                <w:sz w:val="17"/>
              </w:rPr>
            </w:pPr>
            <w:r>
              <w:rPr>
                <w:rFonts w:ascii="inherit" w:hAnsi="inherit"/>
                <w:sz w:val="17"/>
              </w:rPr>
              <w:t>285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auto" w:val="clear"/>
            <w:vAlign w:val="center"/>
          </w:tcPr>
          <w:p>
            <w:pPr>
              <w:pStyle w:val="TableContents"/>
              <w:spacing w:before="0" w:after="0"/>
              <w:jc w:val="right"/>
              <w:rPr>
                <w:rFonts w:ascii="inherit" w:hAnsi="inherit"/>
                <w:sz w:val="17"/>
              </w:rPr>
            </w:pPr>
            <w:r>
              <w:rPr>
                <w:rFonts w:ascii="inherit" w:hAnsi="inherit"/>
                <w:sz w:val="17"/>
              </w:rPr>
              <w:t>293</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157</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w:t>
            </w:r>
          </w:p>
        </w:tc>
        <w:tc>
          <w:tcPr>
            <w:tcW w:w="6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996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Average yield on pawn loan portfolio is calculated as pawn service charge revenues for the period divided by the average pawn loan balance during the period.</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U.S. &amp; Canada segment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$5.2 million</w:t>
      </w:r>
      <w:r>
        <w:rPr>
          <w:rFonts w:ascii="inherit" w:hAnsi="inherit"/>
          <w:sz w:val="17"/>
        </w:rPr>
        <w:t xml:space="preserve">, or </w:t>
      </w:r>
      <w:r>
        <w:rPr>
          <w:rFonts w:ascii="inherit" w:hAnsi="inherit"/>
          <w:strike w:val="false"/>
          <w:dstrike w:val="false"/>
          <w:color w:val="000000"/>
          <w:sz w:val="17"/>
          <w:u w:val="none"/>
          <w:effect w:val="none"/>
        </w:rPr>
        <w:t>3%</w:t>
      </w:r>
      <w:r>
        <w:rPr>
          <w:sz w:val="17"/>
        </w:rPr>
        <w:t xml:space="preserve"> </w:t>
      </w:r>
      <w:r>
        <w:rPr>
          <w:rFonts w:ascii="inherit" w:hAnsi="inherit"/>
          <w:sz w:val="17"/>
        </w:rPr>
        <w:t xml:space="preserve">from the prior year quarter to </w:t>
      </w:r>
      <w:r>
        <w:rPr>
          <w:rFonts w:ascii="inherit" w:hAnsi="inherit"/>
          <w:strike w:val="false"/>
          <w:dstrike w:val="false"/>
          <w:color w:val="000000"/>
          <w:sz w:val="17"/>
          <w:u w:val="none"/>
          <w:effect w:val="none"/>
        </w:rPr>
        <w:t>$193.1 million</w:t>
      </w:r>
      <w:r>
        <w:rPr>
          <w:rFonts w:ascii="inherit" w:hAnsi="inherit"/>
          <w:sz w:val="17"/>
        </w:rPr>
        <w:t xml:space="preserve">. Same store total revenues decreased $9.4 million, or 5%, and new and acquired stores net of closed stores contributed $14.6 million. In the current quarter, we acquired 9 pawn stores in the U.S. for $11.3 million. As part of this acquisition, we began operations in the state of Minnesota, bringing the total number of states in which we operate to 24 at </w:t>
      </w:r>
      <w:r>
        <w:rPr>
          <w:rFonts w:ascii="inherit" w:hAnsi="inherit"/>
          <w:strike w:val="false"/>
          <w:dstrike w:val="false"/>
          <w:color w:val="000000"/>
          <w:sz w:val="17"/>
          <w:u w:val="none"/>
          <w:effect w:val="none"/>
        </w:rPr>
        <w:t>June 30, 2012</w:t>
      </w:r>
      <w:r>
        <w:rPr>
          <w:rFonts w:ascii="inherit" w:hAnsi="inherit"/>
          <w:sz w:val="17"/>
        </w:rPr>
        <w:t>.</w:t>
      </w:r>
    </w:p>
    <w:p>
      <w:pPr>
        <w:pStyle w:val="TextBody"/>
        <w:spacing w:lineRule="auto" w:line="288" w:before="0" w:after="0"/>
        <w:rPr>
          <w:sz w:val="17"/>
        </w:rPr>
      </w:pPr>
      <w:r>
        <w:rPr>
          <w:rFonts w:ascii="inherit" w:hAnsi="inherit"/>
          <w:sz w:val="17"/>
        </w:rPr>
        <w:t xml:space="preserve">Our current quarter pawn service charge revenue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14%</w:t>
      </w:r>
      <w:r>
        <w:rPr>
          <w:rFonts w:ascii="inherit" w:hAnsi="inherit"/>
          <w:sz w:val="17"/>
        </w:rPr>
        <w:t xml:space="preserve">, or </w:t>
      </w:r>
      <w:r>
        <w:rPr>
          <w:rFonts w:ascii="inherit" w:hAnsi="inherit"/>
          <w:strike w:val="false"/>
          <w:dstrike w:val="false"/>
          <w:color w:val="000000"/>
          <w:sz w:val="17"/>
          <w:u w:val="none"/>
          <w:effect w:val="none"/>
        </w:rPr>
        <w:t>$6.1 million</w:t>
      </w:r>
      <w:r>
        <w:rPr>
          <w:rFonts w:ascii="inherit" w:hAnsi="inherit"/>
          <w:sz w:val="17"/>
        </w:rPr>
        <w:t xml:space="preserve">, from the prior year quarter to </w:t>
      </w:r>
      <w:r>
        <w:rPr>
          <w:rFonts w:ascii="inherit" w:hAnsi="inherit"/>
          <w:strike w:val="false"/>
          <w:dstrike w:val="false"/>
          <w:color w:val="000000"/>
          <w:sz w:val="17"/>
          <w:u w:val="none"/>
          <w:effect w:val="none"/>
        </w:rPr>
        <w:t>$50.0 million</w:t>
      </w:r>
      <w:r>
        <w:rPr>
          <w:rFonts w:ascii="inherit" w:hAnsi="inherit"/>
          <w:sz w:val="17"/>
        </w:rPr>
        <w:t xml:space="preserve">. Same store pawn service charges increased $3.2 million, or 7%, with new and acquired stores net of closed stores contributing $2.9 million. The same store improvement was due to a 2% increase in average same store pawn loan balance coupled with a higher yield. </w:t>
      </w:r>
    </w:p>
    <w:p>
      <w:pPr>
        <w:pStyle w:val="TextBody"/>
        <w:spacing w:lineRule="auto" w:line="288" w:before="0" w:after="0"/>
        <w:rPr>
          <w:sz w:val="17"/>
        </w:rPr>
      </w:pPr>
      <w:r>
        <w:rPr>
          <w:rFonts w:ascii="inherit" w:hAnsi="inherit"/>
          <w:sz w:val="17"/>
        </w:rPr>
        <w:t xml:space="preserve">The current quarter merchandise sales gross profit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$2.0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from the prior year quarter to </w:t>
      </w:r>
      <w:r>
        <w:rPr>
          <w:rFonts w:ascii="inherit" w:hAnsi="inherit"/>
          <w:strike w:val="false"/>
          <w:dstrike w:val="false"/>
          <w:color w:val="000000"/>
          <w:sz w:val="17"/>
          <w:u w:val="none"/>
          <w:effect w:val="none"/>
        </w:rPr>
        <w:t>$27.3 million</w:t>
      </w:r>
      <w:r>
        <w:rPr>
          <w:rFonts w:ascii="inherit" w:hAnsi="inherit"/>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46</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This was due to an increase of $8.1 million in sales from new and acquired stores net of closed stores, partially offset by a 1%, or $0.5 million decrease in same store sales and a </w:t>
      </w:r>
      <w:r>
        <w:rPr>
          <w:rFonts w:ascii="inherit" w:hAnsi="inherit"/>
          <w:strike w:val="false"/>
          <w:dstrike w:val="false"/>
          <w:color w:val="000000"/>
          <w:sz w:val="17"/>
          <w:u w:val="none"/>
          <w:effect w:val="none"/>
        </w:rPr>
        <w:t>1.9</w:t>
      </w:r>
      <w:r>
        <w:rPr>
          <w:sz w:val="17"/>
        </w:rPr>
        <w:t xml:space="preserve"> </w:t>
      </w:r>
      <w:r>
        <w:rPr>
          <w:rFonts w:ascii="inherit" w:hAnsi="inherit"/>
          <w:sz w:val="17"/>
        </w:rPr>
        <w:t xml:space="preserve">percentage point </w:t>
      </w:r>
      <w:r>
        <w:rPr>
          <w:rFonts w:ascii="inherit" w:hAnsi="inherit"/>
          <w:strike w:val="false"/>
          <w:dstrike w:val="false"/>
          <w:color w:val="000000"/>
          <w:sz w:val="17"/>
          <w:u w:val="none"/>
          <w:effect w:val="none"/>
        </w:rPr>
        <w:t>decrease</w:t>
      </w:r>
      <w:r>
        <w:rPr>
          <w:sz w:val="17"/>
        </w:rPr>
        <w:t xml:space="preserve"> </w:t>
      </w:r>
      <w:r>
        <w:rPr>
          <w:rFonts w:ascii="inherit" w:hAnsi="inherit"/>
          <w:sz w:val="17"/>
        </w:rPr>
        <w:t xml:space="preserve">in gross margins. The decrease in gross margins is due to a shift in sales mix from jewelry sales to general merchandise. On a same store basis, general merchandise sales were up </w:t>
      </w:r>
      <w:r>
        <w:rPr>
          <w:rFonts w:ascii="inherit" w:hAnsi="inherit"/>
          <w:strike w:val="false"/>
          <w:dstrike w:val="false"/>
          <w:color w:val="000000"/>
          <w:sz w:val="17"/>
          <w:u w:val="none"/>
          <w:effect w:val="none"/>
        </w:rPr>
        <w:t>9%</w:t>
      </w:r>
      <w:r>
        <w:rPr>
          <w:sz w:val="17"/>
        </w:rPr>
        <w:t xml:space="preserve"> </w:t>
      </w:r>
      <w:r>
        <w:rPr>
          <w:rFonts w:ascii="inherit" w:hAnsi="inherit"/>
          <w:sz w:val="17"/>
        </w:rPr>
        <w:t xml:space="preserve">while jewelry sales were down </w:t>
      </w:r>
      <w:r>
        <w:rPr>
          <w:rFonts w:ascii="inherit" w:hAnsi="inherit"/>
          <w:strike w:val="false"/>
          <w:dstrike w:val="false"/>
          <w:color w:val="000000"/>
          <w:sz w:val="17"/>
          <w:u w:val="none"/>
          <w:effect w:val="none"/>
        </w:rPr>
        <w:t>19%</w:t>
      </w:r>
      <w:r>
        <w:rPr>
          <w:rFonts w:ascii="inherit" w:hAnsi="inherit"/>
          <w:sz w:val="17"/>
        </w:rPr>
        <w:t xml:space="preserve">. </w:t>
      </w:r>
    </w:p>
    <w:p>
      <w:pPr>
        <w:pStyle w:val="TextBody"/>
        <w:spacing w:lineRule="auto" w:line="288" w:before="0" w:after="0"/>
        <w:rPr>
          <w:sz w:val="17"/>
        </w:rPr>
      </w:pPr>
      <w:r>
        <w:rPr>
          <w:rFonts w:ascii="inherit" w:hAnsi="inherit"/>
          <w:sz w:val="17"/>
        </w:rPr>
        <w:t xml:space="preserve">Gross profit on jewelry scrapping sales </w:t>
      </w:r>
      <w:r>
        <w:rPr>
          <w:rFonts w:ascii="inherit" w:hAnsi="inherit"/>
          <w:strike w:val="false"/>
          <w:dstrike w:val="false"/>
          <w:color w:val="000000"/>
          <w:sz w:val="17"/>
          <w:u w:val="none"/>
          <w:effect w:val="none"/>
        </w:rPr>
        <w:t>decreased</w:t>
      </w:r>
      <w:r>
        <w:rPr>
          <w:sz w:val="17"/>
        </w:rPr>
        <w:t xml:space="preserve"> </w:t>
      </w:r>
      <w:r>
        <w:rPr>
          <w:rFonts w:ascii="inherit" w:hAnsi="inherit"/>
          <w:strike w:val="false"/>
          <w:dstrike w:val="false"/>
          <w:color w:val="000000"/>
          <w:sz w:val="17"/>
          <w:u w:val="none"/>
          <w:effect w:val="none"/>
        </w:rPr>
        <w:t>$4.5 million</w:t>
      </w:r>
      <w:r>
        <w:rPr>
          <w:rFonts w:ascii="inherit" w:hAnsi="inherit"/>
          <w:sz w:val="17"/>
        </w:rPr>
        <w:t xml:space="preserve">, or </w:t>
      </w:r>
      <w:r>
        <w:rPr>
          <w:rFonts w:ascii="inherit" w:hAnsi="inherit"/>
          <w:strike w:val="false"/>
          <w:dstrike w:val="false"/>
          <w:color w:val="000000"/>
          <w:sz w:val="17"/>
          <w:u w:val="none"/>
          <w:effect w:val="none"/>
        </w:rPr>
        <w:t>26%</w:t>
      </w:r>
      <w:r>
        <w:rPr>
          <w:rFonts w:ascii="inherit" w:hAnsi="inherit"/>
          <w:sz w:val="17"/>
        </w:rPr>
        <w:t xml:space="preserve">, from the prior year quarter to </w:t>
      </w:r>
      <w:r>
        <w:rPr>
          <w:rFonts w:ascii="inherit" w:hAnsi="inherit"/>
          <w:strike w:val="false"/>
          <w:dstrike w:val="false"/>
          <w:color w:val="000000"/>
          <w:sz w:val="17"/>
          <w:u w:val="none"/>
          <w:effect w:val="none"/>
        </w:rPr>
        <w:t>$13.0 million</w:t>
      </w:r>
      <w:r>
        <w:rPr>
          <w:rFonts w:ascii="inherit" w:hAnsi="inherit"/>
          <w:sz w:val="17"/>
        </w:rPr>
        <w:t xml:space="preserve">. Jewelry scrapping revenues </w:t>
      </w:r>
      <w:r>
        <w:rPr>
          <w:rFonts w:ascii="inherit" w:hAnsi="inherit"/>
          <w:strike w:val="false"/>
          <w:dstrike w:val="false"/>
          <w:color w:val="000000"/>
          <w:sz w:val="17"/>
          <w:u w:val="none"/>
          <w:effect w:val="none"/>
        </w:rPr>
        <w:t>decreased</w:t>
      </w:r>
      <w:r>
        <w:rPr>
          <w:sz w:val="17"/>
        </w:rPr>
        <w:t xml:space="preserve"> </w:t>
      </w:r>
      <w:r>
        <w:rPr>
          <w:rFonts w:ascii="inherit" w:hAnsi="inherit"/>
          <w:strike w:val="false"/>
          <w:dstrike w:val="false"/>
          <w:color w:val="000000"/>
          <w:sz w:val="17"/>
          <w:u w:val="none"/>
          <w:effect w:val="none"/>
        </w:rPr>
        <w:t>$9.1 million</w:t>
      </w:r>
      <w:r>
        <w:rPr>
          <w:rFonts w:ascii="inherit" w:hAnsi="inherit"/>
          <w:sz w:val="17"/>
        </w:rPr>
        <w:t xml:space="preserve">, or </w:t>
      </w:r>
      <w:r>
        <w:rPr>
          <w:rFonts w:ascii="inherit" w:hAnsi="inherit"/>
          <w:strike w:val="false"/>
          <w:dstrike w:val="false"/>
          <w:color w:val="000000"/>
          <w:sz w:val="17"/>
          <w:u w:val="none"/>
          <w:effect w:val="none"/>
        </w:rPr>
        <w:t>19%</w:t>
      </w:r>
      <w:r>
        <w:rPr>
          <w:rFonts w:ascii="inherit" w:hAnsi="inherit"/>
          <w:sz w:val="17"/>
        </w:rPr>
        <w:t xml:space="preserve">, due to a 28% decrease in gold volume partially offset by a 10% increase in proceeds realized per gram of gold jewelry scrapped. Same store jewelry scrapping sales decreased $12.0 million, or 26%, and new and acquired stores contributed $3.1 million. Jewelry scrapping sales include the sale of approximately $2.1 million of loose diamonds removed from scrap jewelry in the current quarter and $2.6 million in the prior year quarter. Scrap cost of goods </w:t>
      </w:r>
      <w:r>
        <w:rPr>
          <w:rFonts w:ascii="inherit" w:hAnsi="inherit"/>
          <w:strike w:val="false"/>
          <w:dstrike w:val="false"/>
          <w:color w:val="000000"/>
          <w:sz w:val="17"/>
          <w:u w:val="none"/>
          <w:effect w:val="none"/>
        </w:rPr>
        <w:t>decreased</w:t>
      </w:r>
      <w:r>
        <w:rPr>
          <w:sz w:val="17"/>
        </w:rPr>
        <w:t xml:space="preserve"> </w:t>
      </w:r>
      <w:r>
        <w:rPr>
          <w:rFonts w:ascii="inherit" w:hAnsi="inherit"/>
          <w:strike w:val="false"/>
          <w:dstrike w:val="false"/>
          <w:color w:val="000000"/>
          <w:sz w:val="17"/>
          <w:u w:val="none"/>
          <w:effect w:val="none"/>
        </w:rPr>
        <w:t>$4.5 million</w:t>
      </w:r>
      <w:r>
        <w:rPr>
          <w:rFonts w:ascii="inherit" w:hAnsi="inherit"/>
          <w:sz w:val="17"/>
        </w:rPr>
        <w:t xml:space="preserve">, or </w:t>
      </w:r>
      <w:r>
        <w:rPr>
          <w:rFonts w:ascii="inherit" w:hAnsi="inherit"/>
          <w:strike w:val="false"/>
          <w:dstrike w:val="false"/>
          <w:color w:val="000000"/>
          <w:sz w:val="17"/>
          <w:u w:val="none"/>
          <w:effect w:val="none"/>
        </w:rPr>
        <w:t>16%</w:t>
      </w:r>
      <w:r>
        <w:rPr>
          <w:rFonts w:ascii="inherit" w:hAnsi="inherit"/>
          <w:sz w:val="17"/>
        </w:rPr>
        <w:t xml:space="preserve">, as a result of a 13% increase average cost per gram of jewelry scrapped and the decrease in volume. </w:t>
      </w:r>
    </w:p>
    <w:p>
      <w:pPr>
        <w:pStyle w:val="TextBody"/>
        <w:spacing w:lineRule="auto" w:line="288" w:before="0" w:after="0"/>
        <w:rPr>
          <w:rFonts w:ascii="inherit" w:hAnsi="inherit"/>
          <w:sz w:val="17"/>
        </w:rPr>
      </w:pPr>
      <w:r>
        <w:rPr>
          <w:rFonts w:ascii="inherit" w:hAnsi="inherit"/>
          <w:sz w:val="17"/>
        </w:rPr>
        <w:t xml:space="preserve">Declining volume in both gold purchases and forfeited collateral from pawn loans resulted in the decline in gold scrapping volume in the quarter, continuing a trend that started in the prior year quarter. Although the percentage of our pawn balance represented by jewelry has remained relatively unchanged over time in dollar terms, volumes measured in grams have declined as prices have risen. Redemption rates for pawned jewelry have also risen gradually reaching 86% in the current quarter. Same store purchases of gold jewelry decreased 38% in the current quarter, also continuing a recent trend. As a result of fewer forfeited items and purchases, scrap sales decreased 26% in the quarter on a same store basis. </w:t>
      </w:r>
    </w:p>
    <w:p>
      <w:pPr>
        <w:pStyle w:val="TextBody"/>
        <w:spacing w:lineRule="auto" w:line="288" w:before="0" w:after="0"/>
        <w:rPr>
          <w:sz w:val="17"/>
        </w:rPr>
      </w:pPr>
      <w:r>
        <w:rPr>
          <w:rFonts w:ascii="inherit" w:hAnsi="inherit"/>
          <w:sz w:val="17"/>
        </w:rPr>
        <w:t xml:space="preserve">The current quarter’s consumer loan fees remained relatively constant at </w:t>
      </w:r>
      <w:r>
        <w:rPr>
          <w:rFonts w:ascii="inherit" w:hAnsi="inherit"/>
          <w:strike w:val="false"/>
          <w:dstrike w:val="false"/>
          <w:color w:val="000000"/>
          <w:sz w:val="17"/>
          <w:u w:val="none"/>
          <w:effect w:val="none"/>
        </w:rPr>
        <w:t>$39.2 million</w:t>
      </w:r>
      <w:r>
        <w:rPr>
          <w:rFonts w:ascii="inherit" w:hAnsi="inherit"/>
          <w:sz w:val="17"/>
        </w:rPr>
        <w:t xml:space="preserve">, a </w:t>
      </w:r>
      <w:r>
        <w:rPr>
          <w:rFonts w:ascii="inherit" w:hAnsi="inherit"/>
          <w:strike w:val="false"/>
          <w:dstrike w:val="false"/>
          <w:color w:val="000000"/>
          <w:sz w:val="17"/>
          <w:u w:val="none"/>
          <w:effect w:val="none"/>
        </w:rPr>
        <w:t>1%</w:t>
      </w:r>
      <w:r>
        <w:rPr>
          <w:sz w:val="17"/>
        </w:rPr>
        <w:t xml:space="preserve"> </w:t>
      </w:r>
      <w:r>
        <w:rPr>
          <w:rFonts w:ascii="inherit" w:hAnsi="inherit"/>
          <w:sz w:val="17"/>
        </w:rPr>
        <w:t xml:space="preserve">increase over the prior year quarter; however, net fees increased 7%, reflecting a significant improvement in bad debt performance. Consumer loan bad debt as a percentage of fees is </w:t>
      </w:r>
      <w:r>
        <w:rPr>
          <w:rFonts w:ascii="inherit" w:hAnsi="inherit"/>
          <w:strike w:val="false"/>
          <w:dstrike w:val="false"/>
          <w:color w:val="000000"/>
          <w:sz w:val="17"/>
          <w:u w:val="none"/>
          <w:effect w:val="none"/>
        </w:rPr>
        <w:t>24%</w:t>
      </w:r>
      <w:r>
        <w:rPr>
          <w:sz w:val="17"/>
        </w:rPr>
        <w:t xml:space="preserve">  </w:t>
      </w:r>
      <w:r>
        <w:rPr>
          <w:rFonts w:ascii="inherit" w:hAnsi="inherit"/>
          <w:sz w:val="17"/>
        </w:rPr>
        <w:t xml:space="preserve">in the current quarter compared to </w:t>
      </w:r>
      <w:r>
        <w:rPr>
          <w:rFonts w:ascii="inherit" w:hAnsi="inherit"/>
          <w:strike w:val="false"/>
          <w:dstrike w:val="false"/>
          <w:color w:val="000000"/>
          <w:sz w:val="17"/>
          <w:u w:val="none"/>
          <w:effect w:val="none"/>
        </w:rPr>
        <w:t>28%</w:t>
      </w:r>
      <w:r>
        <w:rPr>
          <w:sz w:val="17"/>
        </w:rPr>
        <w:t xml:space="preserve">  </w:t>
      </w:r>
      <w:r>
        <w:rPr>
          <w:rFonts w:ascii="inherit" w:hAnsi="inherit"/>
          <w:sz w:val="17"/>
        </w:rPr>
        <w:t>in the prior year quarter. The improvement in bad debt was due to continuing improvements in the store level execution of servicing the customer and the loan, as well as enhanced productivity measurement tools and enhanced use of technology in our collections department.</w:t>
      </w:r>
    </w:p>
    <w:p>
      <w:pPr>
        <w:pStyle w:val="TextBody"/>
        <w:spacing w:lineRule="auto" w:line="288" w:before="0" w:after="0"/>
        <w:rPr>
          <w:sz w:val="17"/>
        </w:rPr>
      </w:pPr>
      <w:r>
        <w:rPr>
          <w:rFonts w:ascii="inherit" w:hAnsi="inherit"/>
          <w:sz w:val="17"/>
        </w:rPr>
        <w:t xml:space="preserve">Total segment operations expense </w:t>
      </w:r>
      <w:r>
        <w:rPr>
          <w:rFonts w:ascii="inherit" w:hAnsi="inherit"/>
          <w:strike w:val="false"/>
          <w:dstrike w:val="false"/>
          <w:color w:val="000000"/>
          <w:sz w:val="17"/>
          <w:u w:val="none"/>
          <w:effect w:val="none"/>
        </w:rPr>
        <w:t>increased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$76.4 million</w:t>
      </w:r>
      <w:r>
        <w:rPr>
          <w:sz w:val="17"/>
        </w:rPr>
        <w:t xml:space="preserve"> </w:t>
      </w:r>
      <w:r>
        <w:rPr>
          <w:rFonts w:ascii="inherit" w:hAnsi="inherit"/>
          <w:sz w:val="17"/>
        </w:rPr>
        <w:t>(</w:t>
      </w:r>
      <w:r>
        <w:rPr>
          <w:rFonts w:ascii="inherit" w:hAnsi="inherit"/>
          <w:strike w:val="false"/>
          <w:dstrike w:val="false"/>
          <w:color w:val="000000"/>
          <w:sz w:val="17"/>
          <w:u w:val="none"/>
          <w:effect w:val="none"/>
        </w:rPr>
        <w:t>40%</w:t>
      </w:r>
      <w:r>
        <w:rPr>
          <w:sz w:val="17"/>
        </w:rPr>
        <w:t xml:space="preserve"> </w:t>
      </w:r>
      <w:r>
        <w:rPr>
          <w:rFonts w:ascii="inherit" w:hAnsi="inherit"/>
          <w:sz w:val="17"/>
        </w:rPr>
        <w:t xml:space="preserve">of revenues) in the current quarter from </w:t>
      </w:r>
      <w:r>
        <w:rPr>
          <w:rFonts w:ascii="inherit" w:hAnsi="inherit"/>
          <w:strike w:val="false"/>
          <w:dstrike w:val="false"/>
          <w:color w:val="000000"/>
          <w:sz w:val="17"/>
          <w:u w:val="none"/>
          <w:effect w:val="none"/>
        </w:rPr>
        <w:t>$68.8 million</w:t>
      </w:r>
      <w:r>
        <w:rPr>
          <w:sz w:val="17"/>
        </w:rPr>
        <w:t xml:space="preserve"> </w:t>
      </w:r>
      <w:r>
        <w:rPr>
          <w:rFonts w:ascii="inherit" w:hAnsi="inherit"/>
          <w:sz w:val="17"/>
        </w:rPr>
        <w:t>(</w:t>
      </w:r>
      <w:r>
        <w:rPr>
          <w:rFonts w:ascii="inherit" w:hAnsi="inherit"/>
          <w:strike w:val="false"/>
          <w:dstrike w:val="false"/>
          <w:color w:val="000000"/>
          <w:sz w:val="17"/>
          <w:u w:val="none"/>
          <w:effect w:val="none"/>
        </w:rPr>
        <w:t>37%</w:t>
      </w:r>
      <w:r>
        <w:rPr>
          <w:sz w:val="17"/>
        </w:rPr>
        <w:t xml:space="preserve"> </w:t>
      </w:r>
      <w:r>
        <w:rPr>
          <w:rFonts w:ascii="inherit" w:hAnsi="inherit"/>
          <w:sz w:val="17"/>
        </w:rPr>
        <w:t xml:space="preserve">of revenues) in the prior year quarter. Store operations expense increased </w:t>
      </w:r>
      <w:r>
        <w:rPr>
          <w:rFonts w:ascii="inherit" w:hAnsi="inherit"/>
          <w:strike w:val="false"/>
          <w:dstrike w:val="false"/>
          <w:color w:val="000000"/>
          <w:sz w:val="17"/>
          <w:u w:val="none"/>
          <w:effect w:val="none"/>
        </w:rPr>
        <w:t>$4.6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due to higher operating costs resulting from new and acquired stores. Administrative expenses increased </w:t>
      </w:r>
      <w:r>
        <w:rPr>
          <w:rFonts w:ascii="inherit" w:hAnsi="inherit"/>
          <w:strike w:val="false"/>
          <w:dstrike w:val="false"/>
          <w:color w:val="000000"/>
          <w:sz w:val="17"/>
          <w:u w:val="none"/>
          <w:effect w:val="none"/>
        </w:rPr>
        <w:t>39%</w:t>
      </w:r>
      <w:r>
        <w:rPr>
          <w:rFonts w:ascii="inherit" w:hAnsi="inherit"/>
          <w:sz w:val="17"/>
        </w:rPr>
        <w:t xml:space="preserve">, or </w:t>
      </w:r>
      <w:r>
        <w:rPr>
          <w:rFonts w:ascii="inherit" w:hAnsi="inherit"/>
          <w:strike w:val="false"/>
          <w:dstrike w:val="false"/>
          <w:color w:val="000000"/>
          <w:sz w:val="17"/>
          <w:u w:val="none"/>
          <w:effect w:val="none"/>
        </w:rPr>
        <w:t>$1.7 million</w:t>
      </w:r>
      <w:r>
        <w:rPr>
          <w:rFonts w:ascii="inherit" w:hAnsi="inherit"/>
          <w:sz w:val="17"/>
        </w:rPr>
        <w:t xml:space="preserve">, to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 xml:space="preserve">mainly due to increased labor, benefits and additional investments made in infrastructure to support our growth. Depreciation and amortization </w:t>
      </w:r>
      <w:r>
        <w:rPr>
          <w:rFonts w:ascii="inherit" w:hAnsi="inherit"/>
          <w:strike w:val="false"/>
          <w:dstrike w:val="false"/>
          <w:color w:val="000000"/>
          <w:sz w:val="17"/>
          <w:u w:val="none"/>
          <w:effect w:val="none"/>
        </w:rPr>
        <w:t>increase</w:t>
      </w:r>
      <w:r>
        <w:rPr>
          <w:rFonts w:ascii="inherit" w:hAnsi="inherit"/>
          <w:sz w:val="17"/>
        </w:rPr>
        <w:t xml:space="preserve">d </w:t>
      </w:r>
      <w:r>
        <w:rPr>
          <w:rFonts w:ascii="inherit" w:hAnsi="inherit"/>
          <w:strike w:val="false"/>
          <w:dstrike w:val="false"/>
          <w:color w:val="000000"/>
          <w:sz w:val="17"/>
          <w:u w:val="none"/>
          <w:effect w:val="none"/>
        </w:rPr>
        <w:t>28%</w:t>
      </w:r>
      <w:r>
        <w:rPr>
          <w:rFonts w:ascii="inherit" w:hAnsi="inherit"/>
          <w:sz w:val="17"/>
        </w:rPr>
        <w:t xml:space="preserve">, or </w:t>
      </w:r>
      <w:r>
        <w:rPr>
          <w:rFonts w:ascii="inherit" w:hAnsi="inherit"/>
          <w:strike w:val="false"/>
          <w:dstrike w:val="false"/>
          <w:color w:val="000000"/>
          <w:sz w:val="17"/>
          <w:u w:val="none"/>
          <w:effect w:val="none"/>
        </w:rPr>
        <w:t>$0.8 million</w:t>
      </w:r>
      <w:r>
        <w:rPr>
          <w:rFonts w:ascii="inherit" w:hAnsi="inherit"/>
          <w:sz w:val="17"/>
        </w:rPr>
        <w:t xml:space="preserve">, from the prior year quarter to </w:t>
      </w:r>
      <w:r>
        <w:rPr>
          <w:rFonts w:ascii="inherit" w:hAnsi="inherit"/>
          <w:strike w:val="false"/>
          <w:dstrike w:val="false"/>
          <w:color w:val="000000"/>
          <w:sz w:val="17"/>
          <w:u w:val="none"/>
          <w:effect w:val="none"/>
        </w:rPr>
        <w:t>$3.8 million</w:t>
      </w:r>
      <w:r>
        <w:rPr>
          <w:rFonts w:ascii="inherit" w:hAnsi="inherit"/>
          <w:sz w:val="17"/>
        </w:rPr>
        <w:t>, mainly due to assets placed in service at new and acquired stores.</w:t>
      </w:r>
    </w:p>
    <w:p>
      <w:pPr>
        <w:pStyle w:val="TextBody"/>
        <w:spacing w:lineRule="auto" w:line="288" w:before="0" w:after="0"/>
        <w:rPr>
          <w:sz w:val="17"/>
        </w:rPr>
      </w:pPr>
      <w:r>
        <w:rPr>
          <w:rFonts w:ascii="inherit" w:hAnsi="inherit"/>
          <w:sz w:val="17"/>
        </w:rPr>
        <w:t xml:space="preserve">In the current quarter, U.S. &amp; Canada delivered a segment contribution of </w:t>
      </w:r>
      <w:r>
        <w:rPr>
          <w:rFonts w:ascii="inherit" w:hAnsi="inherit"/>
          <w:strike w:val="false"/>
          <w:dstrike w:val="false"/>
          <w:color w:val="000000"/>
          <w:sz w:val="17"/>
          <w:u w:val="none"/>
          <w:effect w:val="none"/>
        </w:rPr>
        <w:t>$44.4 million</w:t>
      </w:r>
      <w:r>
        <w:rPr>
          <w:rFonts w:ascii="inherit" w:hAnsi="inherit"/>
          <w:sz w:val="17"/>
        </w:rPr>
        <w:t xml:space="preserve">, a </w:t>
      </w:r>
      <w:r>
        <w:rPr>
          <w:rFonts w:ascii="inherit" w:hAnsi="inherit"/>
          <w:strike w:val="false"/>
          <w:dstrike w:val="false"/>
          <w:color w:val="000000"/>
          <w:sz w:val="17"/>
          <w:u w:val="none"/>
          <w:effect w:val="none"/>
        </w:rPr>
        <w:t>$1.9 million</w:t>
      </w:r>
      <w:r>
        <w:rPr>
          <w:sz w:val="17"/>
        </w:rPr>
        <w:t xml:space="preserve"> </w:t>
      </w:r>
      <w:r>
        <w:rPr>
          <w:rFonts w:ascii="inherit" w:hAnsi="inherit"/>
          <w:sz w:val="17"/>
        </w:rPr>
        <w:t xml:space="preserve">decrease compared to the prior year quarter driven by the challenges related to jewelry merchandise sales and gold scrap sales; however, other elements of the business continued to show strength, offsetting to a large extent, the challenges in the gold and jewelry environment.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47</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rPr>
          <w:rFonts w:ascii="inherit" w:hAnsi="inherit"/>
          <w:sz w:val="17"/>
        </w:rPr>
      </w:pPr>
      <w:r>
        <w:rPr>
          <w:rFonts w:ascii="inherit" w:hAnsi="inherit"/>
          <w:sz w:val="17"/>
        </w:rPr>
        <w:t>The following table presents selected financial data for the Latin America segment after translation to U.S. dollars from its functional currency of the Mexican peso: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150"/>
        <w:gridCol w:w="183"/>
        <w:gridCol w:w="1290"/>
        <w:gridCol w:w="252"/>
        <w:gridCol w:w="150"/>
        <w:gridCol w:w="183"/>
        <w:gridCol w:w="1193"/>
        <w:gridCol w:w="80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5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290"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3" w:type="dxa"/>
            <w:tcBorders/>
            <w:shd w:fill="auto" w:val="clear"/>
            <w:vAlign w:val="center"/>
          </w:tcPr>
          <w:p>
            <w:pPr>
              <w:pStyle w:val="TableContents"/>
              <w:spacing w:before="0" w:after="283"/>
              <w:rPr>
                <w:sz w:val="4"/>
                <w:szCs w:val="4"/>
              </w:rPr>
            </w:pPr>
            <w:r>
              <w:rPr>
                <w:sz w:val="4"/>
                <w:szCs w:val="4"/>
              </w:rPr>
            </w:r>
          </w:p>
        </w:tc>
        <w:tc>
          <w:tcPr>
            <w:tcW w:w="1193" w:type="dxa"/>
            <w:tcBorders/>
            <w:shd w:fill="auto" w:val="clear"/>
            <w:vAlign w:val="center"/>
          </w:tcPr>
          <w:p>
            <w:pPr>
              <w:pStyle w:val="TableContents"/>
              <w:spacing w:before="0" w:after="283"/>
              <w:rPr>
                <w:sz w:val="4"/>
                <w:szCs w:val="4"/>
              </w:rPr>
            </w:pPr>
            <w:r>
              <w:rPr>
                <w:sz w:val="4"/>
                <w:szCs w:val="4"/>
              </w:rPr>
            </w:r>
          </w:p>
        </w:tc>
        <w:tc>
          <w:tcPr>
            <w:tcW w:w="80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50" w:type="dxa"/>
            <w:tcBorders/>
            <w:shd w:fill="auto" w:val="clear"/>
            <w:vAlign w:val="center"/>
          </w:tcPr>
          <w:p>
            <w:pPr>
              <w:pStyle w:val="TableContents"/>
              <w:spacing w:before="0" w:after="0"/>
              <w:ind w:left="0" w:right="0" w:firstLine="30"/>
              <w:jc w:val="left"/>
              <w:rPr/>
            </w:pPr>
            <w:r>
              <w:rPr/>
              <w:t> </w:t>
            </w:r>
          </w:p>
        </w:tc>
        <w:tc>
          <w:tcPr>
            <w:tcW w:w="4055"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150" w:type="dxa"/>
            <w:tcBorders/>
            <w:shd w:fill="auto" w:val="clear"/>
            <w:vAlign w:val="center"/>
          </w:tcPr>
          <w:p>
            <w:pPr>
              <w:pStyle w:val="TableContents"/>
              <w:spacing w:before="0" w:after="0"/>
              <w:ind w:left="0" w:right="0" w:firstLine="30"/>
              <w:jc w:val="left"/>
              <w:rPr/>
            </w:pPr>
            <w:r>
              <w:rPr/>
              <w:t> </w:t>
            </w:r>
          </w:p>
        </w:tc>
        <w:tc>
          <w:tcPr>
            <w:tcW w:w="1725"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0" w:type="dxa"/>
            <w:tcBorders/>
            <w:shd w:fill="auto" w:val="clear"/>
            <w:vAlign w:val="center"/>
          </w:tcPr>
          <w:p>
            <w:pPr>
              <w:pStyle w:val="TableContents"/>
              <w:spacing w:before="0" w:after="0"/>
              <w:ind w:left="0" w:right="0" w:firstLine="30"/>
              <w:rPr/>
            </w:pPr>
            <w:r>
              <w:rPr/>
              <w:t> </w:t>
            </w:r>
          </w:p>
        </w:tc>
        <w:tc>
          <w:tcPr>
            <w:tcW w:w="2180"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150" w:type="dxa"/>
            <w:tcBorders/>
            <w:shd w:fill="auto" w:val="clear"/>
            <w:vAlign w:val="center"/>
          </w:tcPr>
          <w:p>
            <w:pPr>
              <w:pStyle w:val="TableContents"/>
              <w:spacing w:before="0" w:after="0"/>
              <w:ind w:left="0" w:right="0" w:firstLine="30"/>
              <w:jc w:val="left"/>
              <w:rPr/>
            </w:pPr>
            <w:r>
              <w:rPr/>
              <w:t> </w:t>
            </w:r>
          </w:p>
        </w:tc>
        <w:tc>
          <w:tcPr>
            <w:tcW w:w="4055"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90" w:type="dxa"/>
            <w:tcBorders/>
            <w:shd w:fill="CCEEFF" w:val="clear"/>
            <w:vAlign w:val="center"/>
          </w:tcPr>
          <w:p>
            <w:pPr>
              <w:pStyle w:val="TableContents"/>
              <w:spacing w:before="0" w:after="0"/>
              <w:jc w:val="right"/>
              <w:rPr>
                <w:rFonts w:ascii="inherit" w:hAnsi="inherit"/>
                <w:sz w:val="17"/>
              </w:rPr>
            </w:pPr>
            <w:r>
              <w:rPr>
                <w:rFonts w:ascii="inherit" w:hAnsi="inherit"/>
                <w:sz w:val="17"/>
              </w:rPr>
              <w:t>10,159</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3"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shd w:fill="CCEEFF" w:val="clear"/>
            <w:vAlign w:val="center"/>
          </w:tcPr>
          <w:p>
            <w:pPr>
              <w:pStyle w:val="TableContents"/>
              <w:spacing w:before="0" w:after="0"/>
              <w:jc w:val="right"/>
              <w:rPr>
                <w:rFonts w:ascii="inherit" w:hAnsi="inherit"/>
                <w:sz w:val="17"/>
              </w:rPr>
            </w:pPr>
            <w:r>
              <w:rPr>
                <w:rFonts w:ascii="inherit" w:hAnsi="inherit"/>
                <w:sz w:val="17"/>
              </w:rPr>
              <w:t>6,401</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4,518</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4,257</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6,184</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4,519</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10,381</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pPr>
            <w:r>
              <w:rPr/>
              <w:t>—</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558</w:t>
            </w:r>
          </w:p>
        </w:tc>
        <w:tc>
          <w:tcPr>
            <w:tcW w:w="2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31,800</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15,183</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5,735</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3,767</w:t>
            </w:r>
          </w:p>
        </w:tc>
        <w:tc>
          <w:tcPr>
            <w:tcW w:w="80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3,784</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3,486</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73"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632</w:t>
            </w:r>
          </w:p>
        </w:tc>
        <w:tc>
          <w:tcPr>
            <w:tcW w:w="252"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804"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21,649</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7,930</w:t>
            </w:r>
          </w:p>
        </w:tc>
        <w:tc>
          <w:tcPr>
            <w:tcW w:w="80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725" w:type="dxa"/>
            <w:gridSpan w:val="3"/>
            <w:tcBorders/>
            <w:shd w:fill="CCEEFF" w:val="clear"/>
            <w:vAlign w:val="center"/>
          </w:tcPr>
          <w:p>
            <w:pPr>
              <w:pStyle w:val="TableContents"/>
              <w:spacing w:before="0" w:after="0"/>
              <w:ind w:left="0" w:right="0" w:firstLine="30"/>
              <w:rPr/>
            </w:pPr>
            <w:r>
              <w:rPr/>
              <w:t> </w:t>
            </w:r>
          </w:p>
        </w:tc>
        <w:tc>
          <w:tcPr>
            <w:tcW w:w="150" w:type="dxa"/>
            <w:tcBorders/>
            <w:shd w:fill="CCEEFF" w:val="clear"/>
            <w:vAlign w:val="center"/>
          </w:tcPr>
          <w:p>
            <w:pPr>
              <w:pStyle w:val="TableContents"/>
              <w:spacing w:before="0" w:after="0"/>
              <w:ind w:left="0" w:right="0" w:firstLine="30"/>
              <w:rPr/>
            </w:pPr>
            <w:r>
              <w:rPr/>
              <w:t> </w:t>
            </w:r>
          </w:p>
        </w:tc>
        <w:tc>
          <w:tcPr>
            <w:tcW w:w="2180" w:type="dxa"/>
            <w:gridSpan w:val="3"/>
            <w:tcBorders/>
            <w:shd w:fill="CCEEFF" w:val="clear"/>
            <w:vAlign w:val="center"/>
          </w:tcPr>
          <w:p>
            <w:pPr>
              <w:pStyle w:val="TableContents"/>
              <w:spacing w:before="0" w:after="0"/>
              <w:ind w:left="0" w:right="0" w:firstLine="420"/>
              <w:rPr/>
            </w:pPr>
            <w:r>
              <w:rPr/>
              <w:t> </w:t>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8,792</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5,406</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4,335</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1,014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1,054</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639</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999</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104</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(Gain)/loss on sale or disposal of assets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7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w:t>
            </w:r>
          </w:p>
        </w:tc>
        <w:tc>
          <w:tcPr>
            <w:tcW w:w="252"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2</w:t>
            </w:r>
          </w:p>
        </w:tc>
        <w:tc>
          <w:tcPr>
            <w:tcW w:w="804"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9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6,464</w:t>
            </w:r>
          </w:p>
        </w:tc>
        <w:tc>
          <w:tcPr>
            <w:tcW w:w="252"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3"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751</w:t>
            </w:r>
          </w:p>
        </w:tc>
        <w:tc>
          <w:tcPr>
            <w:tcW w:w="80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25" w:type="dxa"/>
            <w:gridSpan w:val="3"/>
            <w:tcBorders/>
            <w:shd w:fill="auto" w:val="clear"/>
            <w:vAlign w:val="center"/>
          </w:tcPr>
          <w:p>
            <w:pPr>
              <w:pStyle w:val="TableContents"/>
              <w:spacing w:before="0" w:after="0"/>
              <w:ind w:left="0" w:right="0" w:firstLine="30"/>
              <w:rPr/>
            </w:pPr>
            <w:r>
              <w:rPr/>
              <w:t> </w:t>
            </w:r>
          </w:p>
        </w:tc>
        <w:tc>
          <w:tcPr>
            <w:tcW w:w="150" w:type="dxa"/>
            <w:tcBorders/>
            <w:shd w:fill="auto" w:val="clear"/>
            <w:vAlign w:val="center"/>
          </w:tcPr>
          <w:p>
            <w:pPr>
              <w:pStyle w:val="TableContents"/>
              <w:spacing w:before="0" w:after="0"/>
              <w:ind w:left="0" w:right="0" w:firstLine="30"/>
              <w:rPr/>
            </w:pPr>
            <w:r>
              <w:rPr/>
              <w:t> </w:t>
            </w:r>
          </w:p>
        </w:tc>
        <w:tc>
          <w:tcPr>
            <w:tcW w:w="2180" w:type="dxa"/>
            <w:gridSpan w:val="3"/>
            <w:tcBorders/>
            <w:shd w:fill="auto" w:val="clear"/>
            <w:vAlign w:val="center"/>
          </w:tcPr>
          <w:p>
            <w:pPr>
              <w:pStyle w:val="TableContents"/>
              <w:spacing w:before="0" w:after="0"/>
              <w:ind w:left="0" w:right="0" w:firstLine="420"/>
              <w:rPr/>
            </w:pPr>
            <w:r>
              <w:rPr/>
              <w:t> </w:t>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43.5</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41.1</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16.2</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18.1</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35.1</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31.9</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90" w:type="dxa"/>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83"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193" w:type="dxa"/>
            <w:tcBorders/>
            <w:shd w:fill="auto" w:val="clear"/>
            <w:vAlign w:val="center"/>
          </w:tcPr>
          <w:p>
            <w:pPr>
              <w:pStyle w:val="TableContents"/>
              <w:spacing w:before="0" w:after="0"/>
              <w:jc w:val="right"/>
              <w:rPr>
                <w:rFonts w:ascii="inherit" w:hAnsi="inherit"/>
                <w:sz w:val="17"/>
              </w:rPr>
            </w:pPr>
            <w:r>
              <w:rPr>
                <w:rFonts w:ascii="inherit" w:hAnsi="inherit"/>
                <w:sz w:val="17"/>
              </w:rPr>
              <w:t>63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187</w:t>
            </w:r>
          </w:p>
        </w:tc>
        <w:tc>
          <w:tcPr>
            <w:tcW w:w="80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7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75</w:t>
            </w:r>
          </w:p>
        </w:tc>
        <w:tc>
          <w:tcPr>
            <w:tcW w:w="25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auto" w:val="clear"/>
            <w:vAlign w:val="center"/>
          </w:tcPr>
          <w:p>
            <w:pPr>
              <w:pStyle w:val="TableContents"/>
              <w:spacing w:before="0" w:after="0"/>
              <w:ind w:left="0" w:right="0" w:firstLine="30"/>
              <w:rPr/>
            </w:pPr>
            <w:r>
              <w:rPr/>
              <w:t> </w:t>
            </w:r>
          </w:p>
        </w:tc>
        <w:tc>
          <w:tcPr>
            <w:tcW w:w="137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80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5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7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5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0" w:type="dxa"/>
            <w:tcBorders/>
            <w:shd w:fill="CCEEFF" w:val="clear"/>
            <w:vAlign w:val="center"/>
          </w:tcPr>
          <w:p>
            <w:pPr>
              <w:pStyle w:val="TableContents"/>
              <w:spacing w:before="0" w:after="0"/>
              <w:ind w:left="0" w:right="0" w:firstLine="30"/>
              <w:rPr/>
            </w:pPr>
            <w:r>
              <w:rPr/>
              <w:t> </w:t>
            </w:r>
          </w:p>
        </w:tc>
        <w:tc>
          <w:tcPr>
            <w:tcW w:w="137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80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996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Average yield on pawn loan portfolio is calculated as pawn service charge revenues for the period divided by the average pawn loan balance during the period.</w:t>
            </w:r>
          </w:p>
        </w:tc>
      </w:tr>
    </w:tbl>
    <w:p>
      <w:pPr>
        <w:pStyle w:val="TextBody"/>
        <w:spacing w:lineRule="auto" w:line="288" w:before="0" w:after="0"/>
        <w:rPr>
          <w:sz w:val="17"/>
        </w:rPr>
      </w:pPr>
      <w:r>
        <w:rPr>
          <w:rFonts w:ascii="inherit" w:hAnsi="inherit"/>
          <w:sz w:val="17"/>
        </w:rPr>
        <w:t xml:space="preserve">The average exchange rate used to translate Latin America’s current quarter results from Mexican pesos to U.S. dollars was 13.5 to </w:t>
      </w:r>
      <w:r>
        <w:rPr>
          <w:rFonts w:ascii="inherit" w:hAnsi="inherit"/>
          <w:strike w:val="false"/>
          <w:dstrike w:val="false"/>
          <w:color w:val="000000"/>
          <w:sz w:val="17"/>
          <w:u w:val="none"/>
          <w:effect w:val="none"/>
        </w:rPr>
        <w:t>1</w:t>
      </w:r>
      <w:r>
        <w:rPr>
          <w:rFonts w:ascii="inherit" w:hAnsi="inherit"/>
          <w:sz w:val="17"/>
        </w:rPr>
        <w:t xml:space="preserve">, 15% weaker than the prior year quarter’s rate of 11.7 to </w:t>
      </w:r>
      <w:r>
        <w:rPr>
          <w:rFonts w:ascii="inherit" w:hAnsi="inherit"/>
          <w:strike w:val="false"/>
          <w:dstrike w:val="false"/>
          <w:color w:val="000000"/>
          <w:sz w:val="17"/>
          <w:u w:val="none"/>
          <w:effect w:val="none"/>
        </w:rPr>
        <w:t>1</w:t>
      </w:r>
      <w:r>
        <w:rPr>
          <w:rFonts w:ascii="inherit" w:hAnsi="inherit"/>
          <w:sz w:val="17"/>
        </w:rPr>
        <w:t xml:space="preserve">.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109%</w:t>
      </w:r>
      <w:r>
        <w:rPr>
          <w:sz w:val="17"/>
        </w:rPr>
        <w:t xml:space="preserve"> </w:t>
      </w:r>
      <w:r>
        <w:rPr>
          <w:rFonts w:ascii="inherit" w:hAnsi="inherit"/>
          <w:sz w:val="17"/>
        </w:rPr>
        <w:t xml:space="preserve">in U.S. dollars and 142% in peso terms. Operating expenses </w:t>
      </w:r>
      <w:r>
        <w:rPr>
          <w:rFonts w:ascii="inherit" w:hAnsi="inherit"/>
          <w:strike w:val="false"/>
          <w:dstrike w:val="false"/>
          <w:color w:val="000000"/>
          <w:sz w:val="17"/>
          <w:u w:val="none"/>
          <w:effect w:val="none"/>
        </w:rPr>
        <w:t>increased</w:t>
      </w:r>
      <w:r>
        <w:rPr>
          <w:sz w:val="17"/>
        </w:rPr>
        <w:t xml:space="preserve"> </w:t>
      </w:r>
      <w:r>
        <w:rPr>
          <w:rFonts w:ascii="inherit" w:hAnsi="inherit"/>
          <w:sz w:val="17"/>
        </w:rPr>
        <w:t xml:space="preserve">112% in U.S. dollars and 135% increase in peso terms. In the current quarter, we opened </w:t>
      </w:r>
      <w:r>
        <w:rPr>
          <w:rFonts w:ascii="inherit" w:hAnsi="inherit"/>
          <w:strike w:val="false"/>
          <w:dstrike w:val="false"/>
          <w:color w:val="000000"/>
          <w:sz w:val="17"/>
          <w:u w:val="none"/>
          <w:effect w:val="none"/>
        </w:rPr>
        <w:t>19</w:t>
      </w:r>
      <w:r>
        <w:rPr>
          <w:sz w:val="17"/>
        </w:rPr>
        <w:t xml:space="preserve"> </w:t>
      </w:r>
      <w:r>
        <w:rPr>
          <w:rFonts w:ascii="inherit" w:hAnsi="inherit"/>
          <w:sz w:val="17"/>
        </w:rPr>
        <w:t xml:space="preserve">de novo stores.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Latin America segment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$16.6 million</w:t>
      </w:r>
      <w:r>
        <w:rPr>
          <w:rFonts w:ascii="inherit" w:hAnsi="inherit"/>
          <w:sz w:val="17"/>
        </w:rPr>
        <w:t xml:space="preserve">, or </w:t>
      </w:r>
      <w:r>
        <w:rPr>
          <w:rFonts w:ascii="inherit" w:hAnsi="inherit"/>
          <w:strike w:val="false"/>
          <w:dstrike w:val="false"/>
          <w:color w:val="000000"/>
          <w:sz w:val="17"/>
          <w:u w:val="none"/>
          <w:effect w:val="none"/>
        </w:rPr>
        <w:t>109%</w:t>
      </w:r>
      <w:r>
        <w:rPr>
          <w:rFonts w:ascii="inherit" w:hAnsi="inherit"/>
          <w:sz w:val="17"/>
        </w:rPr>
        <w:t xml:space="preserve">, in the current quarter to </w:t>
      </w:r>
      <w:r>
        <w:rPr>
          <w:rFonts w:ascii="inherit" w:hAnsi="inherit"/>
          <w:strike w:val="false"/>
          <w:dstrike w:val="false"/>
          <w:color w:val="000000"/>
          <w:sz w:val="17"/>
          <w:u w:val="none"/>
          <w:effect w:val="none"/>
        </w:rPr>
        <w:t>$31.8 million</w:t>
      </w:r>
      <w:r>
        <w:rPr>
          <w:rFonts w:ascii="inherit" w:hAnsi="inherit"/>
          <w:sz w:val="17"/>
        </w:rPr>
        <w:t>. Same store total revenues increased 4% to $15.8 million, and new and acquired stores contributed $16.0 million. The overall increase in total revenues was mostly due the inclusion of $10.4 million Crediamigo consumer loan fees, a $4.0 million increase in merchandise and jewelry scrapping sales and $1.7 million increase in pawn service charges.</w:t>
      </w:r>
    </w:p>
    <w:p>
      <w:pPr>
        <w:pStyle w:val="TextBody"/>
        <w:spacing w:lineRule="auto" w:line="288" w:before="0" w:after="0"/>
        <w:rPr>
          <w:sz w:val="17"/>
        </w:rPr>
      </w:pPr>
      <w:r>
        <w:rPr>
          <w:rFonts w:ascii="inherit" w:hAnsi="inherit"/>
          <w:sz w:val="17"/>
        </w:rPr>
        <w:t xml:space="preserve">Latin America’s pawn service charge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$1.7 million</w:t>
      </w:r>
      <w:r>
        <w:rPr>
          <w:rFonts w:ascii="inherit" w:hAnsi="inherit"/>
          <w:sz w:val="17"/>
        </w:rPr>
        <w:t xml:space="preserve">, or </w:t>
      </w:r>
      <w:r>
        <w:rPr>
          <w:rFonts w:ascii="inherit" w:hAnsi="inherit"/>
          <w:strike w:val="false"/>
          <w:dstrike w:val="false"/>
          <w:color w:val="000000"/>
          <w:sz w:val="17"/>
          <w:u w:val="none"/>
          <w:effect w:val="none"/>
        </w:rPr>
        <w:t>37%</w:t>
      </w:r>
      <w:r>
        <w:rPr>
          <w:rFonts w:ascii="inherit" w:hAnsi="inherit"/>
          <w:sz w:val="17"/>
        </w:rPr>
        <w:t xml:space="preserve">, in the current quarter to </w:t>
      </w:r>
      <w:r>
        <w:rPr>
          <w:rFonts w:ascii="inherit" w:hAnsi="inherit"/>
          <w:strike w:val="false"/>
          <w:dstrike w:val="false"/>
          <w:color w:val="000000"/>
          <w:sz w:val="17"/>
          <w:u w:val="none"/>
          <w:effect w:val="none"/>
        </w:rPr>
        <w:t>$6.2 million</w:t>
      </w:r>
      <w:r>
        <w:rPr>
          <w:rFonts w:ascii="inherit" w:hAnsi="inherit"/>
          <w:sz w:val="17"/>
        </w:rPr>
        <w:t xml:space="preserve">. Same store pawn service charges increased 7% to $4.8 million and new and acquired stores contributed $1.3 million. The total increase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48</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was due to a 37% increase in outstanding pawn loan balance from the prior year quarter. On a same store basis the average pawn loan balance during the period increased 4%. </w:t>
      </w:r>
    </w:p>
    <w:p>
      <w:pPr>
        <w:pStyle w:val="TextBody"/>
        <w:spacing w:lineRule="auto" w:line="288" w:before="0" w:after="0"/>
        <w:rPr>
          <w:sz w:val="17"/>
        </w:rPr>
      </w:pPr>
      <w:r>
        <w:rPr>
          <w:rFonts w:ascii="inherit" w:hAnsi="inherit"/>
          <w:sz w:val="17"/>
        </w:rPr>
        <w:t xml:space="preserve">Merchandise gross profit increased </w:t>
      </w:r>
      <w:r>
        <w:rPr>
          <w:rFonts w:ascii="inherit" w:hAnsi="inherit"/>
          <w:strike w:val="false"/>
          <w:dstrike w:val="false"/>
          <w:color w:val="000000"/>
          <w:sz w:val="17"/>
          <w:u w:val="none"/>
          <w:effect w:val="none"/>
        </w:rPr>
        <w:t>$1.8 million</w:t>
      </w:r>
      <w:r>
        <w:rPr>
          <w:sz w:val="17"/>
        </w:rPr>
        <w:t xml:space="preserve"> </w:t>
      </w:r>
      <w:r>
        <w:rPr>
          <w:rFonts w:ascii="inherit" w:hAnsi="inherit"/>
          <w:sz w:val="17"/>
        </w:rPr>
        <w:t xml:space="preserve">or </w:t>
      </w:r>
      <w:r>
        <w:rPr>
          <w:rFonts w:ascii="inherit" w:hAnsi="inherit"/>
          <w:strike w:val="false"/>
          <w:dstrike w:val="false"/>
          <w:color w:val="000000"/>
          <w:sz w:val="17"/>
          <w:u w:val="none"/>
          <w:effect w:val="none"/>
        </w:rPr>
        <w:t>68%</w:t>
      </w:r>
      <w:r>
        <w:rPr>
          <w:rFonts w:ascii="inherit" w:hAnsi="inherit"/>
          <w:sz w:val="17"/>
        </w:rPr>
        <w:t xml:space="preserve">, from the prior year quarter to </w:t>
      </w:r>
      <w:r>
        <w:rPr>
          <w:rFonts w:ascii="inherit" w:hAnsi="inherit"/>
          <w:strike w:val="false"/>
          <w:dstrike w:val="false"/>
          <w:color w:val="000000"/>
          <w:sz w:val="17"/>
          <w:u w:val="none"/>
          <w:effect w:val="none"/>
        </w:rPr>
        <w:t>$4.4 million</w:t>
      </w:r>
      <w:r>
        <w:rPr>
          <w:rFonts w:ascii="inherit" w:hAnsi="inherit"/>
          <w:sz w:val="17"/>
        </w:rPr>
        <w:t xml:space="preserve">. The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was due to a $1.1 million, or 17%, same store sales increase and $2.7 million in sales from new and acquired stores coupled with a </w:t>
      </w:r>
      <w:r>
        <w:rPr>
          <w:rFonts w:ascii="inherit" w:hAnsi="inherit"/>
          <w:strike w:val="false"/>
          <w:dstrike w:val="false"/>
          <w:color w:val="000000"/>
          <w:sz w:val="17"/>
          <w:u w:val="none"/>
          <w:effect w:val="none"/>
        </w:rPr>
        <w:t>2.4</w:t>
      </w:r>
      <w:r>
        <w:rPr>
          <w:sz w:val="17"/>
        </w:rPr>
        <w:t xml:space="preserve"> </w:t>
      </w:r>
      <w:r>
        <w:rPr>
          <w:rFonts w:ascii="inherit" w:hAnsi="inherit"/>
          <w:sz w:val="17"/>
        </w:rPr>
        <w:t xml:space="preserve">percentage point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gross margins to </w:t>
      </w:r>
      <w:r>
        <w:rPr>
          <w:rFonts w:ascii="inherit" w:hAnsi="inherit"/>
          <w:strike w:val="false"/>
          <w:dstrike w:val="false"/>
          <w:color w:val="000000"/>
          <w:sz w:val="17"/>
          <w:u w:val="none"/>
          <w:effect w:val="none"/>
        </w:rPr>
        <w:t>43.5%</w:t>
      </w:r>
      <w:r>
        <w:rPr>
          <w:rFonts w:ascii="inherit" w:hAnsi="inherit"/>
          <w:sz w:val="17"/>
        </w:rPr>
        <w:t>.</w:t>
      </w:r>
    </w:p>
    <w:p>
      <w:pPr>
        <w:pStyle w:val="TextBody"/>
        <w:spacing w:lineRule="auto" w:line="288" w:before="0" w:after="0"/>
        <w:rPr>
          <w:sz w:val="17"/>
        </w:rPr>
      </w:pPr>
      <w:r>
        <w:rPr>
          <w:rFonts w:ascii="inherit" w:hAnsi="inherit"/>
          <w:sz w:val="17"/>
        </w:rPr>
        <w:t xml:space="preserve">Gross profit on jewelry scrapping sales remained relatively constant at </w:t>
      </w:r>
      <w:r>
        <w:rPr>
          <w:rFonts w:ascii="inherit" w:hAnsi="inherit"/>
          <w:strike w:val="false"/>
          <w:dstrike w:val="false"/>
          <w:color w:val="000000"/>
          <w:sz w:val="17"/>
          <w:u w:val="none"/>
          <w:effect w:val="none"/>
        </w:rPr>
        <w:t>$0.7 million</w:t>
      </w:r>
      <w:r>
        <w:rPr>
          <w:rFonts w:ascii="inherit" w:hAnsi="inherit"/>
          <w:sz w:val="17"/>
        </w:rPr>
        <w:t xml:space="preserve">. Jewelry scrapping revenues increased </w:t>
      </w:r>
      <w:r>
        <w:rPr>
          <w:rFonts w:ascii="inherit" w:hAnsi="inherit"/>
          <w:strike w:val="false"/>
          <w:dstrike w:val="false"/>
          <w:color w:val="000000"/>
          <w:sz w:val="17"/>
          <w:u w:val="none"/>
          <w:effect w:val="none"/>
        </w:rPr>
        <w:t>6%</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$4.5 million</w:t>
      </w:r>
      <w:r>
        <w:rPr>
          <w:rFonts w:ascii="inherit" w:hAnsi="inherit"/>
          <w:sz w:val="17"/>
        </w:rPr>
        <w:t xml:space="preserve">, as the 5% decrease in gold volume was mostly offset by an 8% increase in proceeds realized per gram of gold jewelry scrapped. Same store jewelry scrapping sales decreased $0.9 million, or 21%, and new and acquired stores contributed $1.1 million. Scrap cost of goods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 xml:space="preserve">or </w:t>
      </w:r>
      <w:r>
        <w:rPr>
          <w:rFonts w:ascii="inherit" w:hAnsi="inherit"/>
          <w:strike w:val="false"/>
          <w:dstrike w:val="false"/>
          <w:color w:val="000000"/>
          <w:sz w:val="17"/>
          <w:u w:val="none"/>
          <w:effect w:val="none"/>
        </w:rPr>
        <w:t>9%</w:t>
      </w:r>
      <w:r>
        <w:rPr>
          <w:rFonts w:ascii="inherit" w:hAnsi="inherit"/>
          <w:sz w:val="17"/>
        </w:rPr>
        <w:t>.</w:t>
      </w:r>
    </w:p>
    <w:p>
      <w:pPr>
        <w:pStyle w:val="TextBody"/>
        <w:spacing w:lineRule="auto" w:line="288" w:before="0" w:after="0"/>
        <w:rPr>
          <w:sz w:val="17"/>
        </w:rPr>
      </w:pPr>
      <w:r>
        <w:rPr>
          <w:rFonts w:ascii="inherit" w:hAnsi="inherit"/>
          <w:sz w:val="17"/>
        </w:rPr>
        <w:t xml:space="preserve">The Crediamigo acquisition marks our initial entry into the non-secured loan business in Mexico. In the current quarter, Crediamigo contributed total revenues of $10.8 million and net revenues of $10.2 million after bad debt as a percentage of consumer loan fees of </w:t>
      </w:r>
      <w:r>
        <w:rPr>
          <w:rFonts w:ascii="inherit" w:hAnsi="inherit"/>
          <w:strike w:val="false"/>
          <w:dstrike w:val="false"/>
          <w:color w:val="000000"/>
          <w:sz w:val="17"/>
          <w:u w:val="none"/>
          <w:effect w:val="none"/>
        </w:rPr>
        <w:t>6%</w:t>
      </w:r>
      <w:r>
        <w:rPr>
          <w:rFonts w:ascii="inherit" w:hAnsi="inherit"/>
          <w:sz w:val="17"/>
        </w:rPr>
        <w:t>.</w:t>
      </w:r>
    </w:p>
    <w:p>
      <w:pPr>
        <w:pStyle w:val="TextBody"/>
        <w:spacing w:lineRule="auto" w:line="288" w:before="0" w:after="0"/>
        <w:rPr>
          <w:sz w:val="17"/>
        </w:rPr>
      </w:pPr>
      <w:r>
        <w:rPr>
          <w:rFonts w:ascii="inherit" w:hAnsi="inherit"/>
          <w:sz w:val="17"/>
        </w:rPr>
        <w:t xml:space="preserve">Total segment operations expense </w:t>
      </w:r>
      <w:r>
        <w:rPr>
          <w:rFonts w:ascii="inherit" w:hAnsi="inherit"/>
          <w:strike w:val="false"/>
          <w:dstrike w:val="false"/>
          <w:color w:val="000000"/>
          <w:sz w:val="17"/>
          <w:u w:val="none"/>
          <w:effect w:val="none"/>
        </w:rPr>
        <w:t>increased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$15.2 million</w:t>
      </w:r>
      <w:r>
        <w:rPr>
          <w:sz w:val="17"/>
        </w:rPr>
        <w:t xml:space="preserve"> </w:t>
      </w:r>
      <w:r>
        <w:rPr>
          <w:rFonts w:ascii="inherit" w:hAnsi="inherit"/>
          <w:sz w:val="17"/>
        </w:rPr>
        <w:t>(</w:t>
      </w:r>
      <w:r>
        <w:rPr>
          <w:rFonts w:ascii="inherit" w:hAnsi="inherit"/>
          <w:strike w:val="false"/>
          <w:dstrike w:val="false"/>
          <w:color w:val="000000"/>
          <w:sz w:val="17"/>
          <w:u w:val="none"/>
          <w:effect w:val="none"/>
        </w:rPr>
        <w:t>48%</w:t>
      </w:r>
      <w:r>
        <w:rPr>
          <w:sz w:val="17"/>
        </w:rPr>
        <w:t xml:space="preserve"> </w:t>
      </w:r>
      <w:r>
        <w:rPr>
          <w:rFonts w:ascii="inherit" w:hAnsi="inherit"/>
          <w:sz w:val="17"/>
        </w:rPr>
        <w:t xml:space="preserve">of revenues) in the current quarter from </w:t>
      </w:r>
      <w:r>
        <w:rPr>
          <w:rFonts w:ascii="inherit" w:hAnsi="inherit"/>
          <w:strike w:val="false"/>
          <w:dstrike w:val="false"/>
          <w:color w:val="000000"/>
          <w:sz w:val="17"/>
          <w:u w:val="none"/>
          <w:effect w:val="none"/>
        </w:rPr>
        <w:t>$7.2 million</w:t>
      </w:r>
      <w:r>
        <w:rPr>
          <w:sz w:val="17"/>
        </w:rPr>
        <w:t xml:space="preserve"> </w:t>
      </w:r>
      <w:r>
        <w:rPr>
          <w:rFonts w:ascii="inherit" w:hAnsi="inherit"/>
          <w:sz w:val="17"/>
        </w:rPr>
        <w:t>(</w:t>
      </w:r>
      <w:r>
        <w:rPr>
          <w:rFonts w:ascii="inherit" w:hAnsi="inherit"/>
          <w:strike w:val="false"/>
          <w:dstrike w:val="false"/>
          <w:color w:val="000000"/>
          <w:sz w:val="17"/>
          <w:u w:val="none"/>
          <w:effect w:val="none"/>
        </w:rPr>
        <w:t>47%</w:t>
      </w:r>
      <w:r>
        <w:rPr>
          <w:sz w:val="17"/>
        </w:rPr>
        <w:t xml:space="preserve"> </w:t>
      </w:r>
      <w:r>
        <w:rPr>
          <w:rFonts w:ascii="inherit" w:hAnsi="inherit"/>
          <w:sz w:val="17"/>
        </w:rPr>
        <w:t xml:space="preserve">of revenues). Stores operations expenses increased </w:t>
      </w:r>
      <w:r>
        <w:rPr>
          <w:rFonts w:ascii="inherit" w:hAnsi="inherit"/>
          <w:strike w:val="false"/>
          <w:dstrike w:val="false"/>
          <w:color w:val="000000"/>
          <w:sz w:val="17"/>
          <w:u w:val="none"/>
          <w:effect w:val="none"/>
        </w:rPr>
        <w:t>$3.4 million</w:t>
      </w:r>
      <w:r>
        <w:rPr>
          <w:rFonts w:ascii="inherit" w:hAnsi="inherit"/>
          <w:sz w:val="17"/>
        </w:rPr>
        <w:t xml:space="preserve">, or </w:t>
      </w:r>
      <w:r>
        <w:rPr>
          <w:rFonts w:ascii="inherit" w:hAnsi="inherit"/>
          <w:strike w:val="false"/>
          <w:dstrike w:val="false"/>
          <w:color w:val="000000"/>
          <w:sz w:val="17"/>
          <w:u w:val="none"/>
          <w:effect w:val="none"/>
        </w:rPr>
        <w:t>63%</w:t>
      </w:r>
      <w:r>
        <w:rPr>
          <w:rFonts w:ascii="inherit" w:hAnsi="inherit"/>
          <w:sz w:val="17"/>
        </w:rPr>
        <w:t xml:space="preserve">, due to higher operating costs resulting from the addition of 68 Empeño Fácil stores since the prior year quarter and $1.5 million related to Crediamigo sales commissions. Segment administrative expenses increased </w:t>
      </w:r>
      <w:r>
        <w:rPr>
          <w:rFonts w:ascii="inherit" w:hAnsi="inherit"/>
          <w:strike w:val="false"/>
          <w:dstrike w:val="false"/>
          <w:color w:val="000000"/>
          <w:sz w:val="17"/>
          <w:u w:val="none"/>
          <w:effect w:val="none"/>
        </w:rPr>
        <w:t>$3.3 million</w:t>
      </w:r>
      <w:r>
        <w:rPr>
          <w:sz w:val="17"/>
        </w:rPr>
        <w:t xml:space="preserve"> </w:t>
      </w:r>
      <w:r>
        <w:rPr>
          <w:rFonts w:ascii="inherit" w:hAnsi="inherit"/>
          <w:sz w:val="17"/>
        </w:rPr>
        <w:t xml:space="preserve">from the prior year quarter to </w:t>
      </w:r>
      <w:r>
        <w:rPr>
          <w:rFonts w:ascii="inherit" w:hAnsi="inherit"/>
          <w:strike w:val="false"/>
          <w:dstrike w:val="false"/>
          <w:color w:val="000000"/>
          <w:sz w:val="17"/>
          <w:u w:val="none"/>
          <w:effect w:val="none"/>
        </w:rPr>
        <w:t>$4.3 million</w:t>
      </w:r>
      <w:r>
        <w:rPr>
          <w:sz w:val="17"/>
        </w:rPr>
        <w:t xml:space="preserve"> </w:t>
      </w:r>
      <w:r>
        <w:rPr>
          <w:rFonts w:ascii="inherit" w:hAnsi="inherit"/>
          <w:sz w:val="17"/>
        </w:rPr>
        <w:t xml:space="preserve">mainly due to Crediamigo administrative expenses and other acquisition costs. Depreciation and amortization increased $1.3 million from the prior year quarter to $2.1 million, mainly due to depreciation of assets placed in service at new stores and amortization of acquisition related intangible assets. </w:t>
      </w:r>
    </w:p>
    <w:p>
      <w:pPr>
        <w:pStyle w:val="TextBody"/>
        <w:spacing w:lineRule="auto" w:line="288" w:before="0" w:after="0"/>
        <w:rPr>
          <w:rFonts w:ascii="inherit" w:hAnsi="inherit"/>
          <w:sz w:val="17"/>
        </w:rPr>
      </w:pPr>
      <w:r>
        <w:rPr>
          <w:rFonts w:ascii="inherit" w:hAnsi="inherit"/>
          <w:sz w:val="17"/>
        </w:rPr>
        <w:t xml:space="preserve">In the current quarter, Crediamigo refinanced a portion of its $92.2 million of third party debt at a lower interest rate. This refinancing led to a one-time reduction in interest expense of $2.8 million due to the acceleration of the amortization of the debt premium associated with the refinanced debt. The lower interest rate will result in reduced interest expense going forward. Crediamigo is continuing to refinance other portions of its debt at lower interest rates. </w:t>
      </w:r>
    </w:p>
    <w:p>
      <w:pPr>
        <w:pStyle w:val="TextBody"/>
        <w:spacing w:lineRule="auto" w:line="288" w:before="0" w:after="0"/>
        <w:rPr>
          <w:sz w:val="17"/>
        </w:rPr>
      </w:pPr>
      <w:r>
        <w:rPr>
          <w:rFonts w:ascii="inherit" w:hAnsi="inherit"/>
          <w:sz w:val="17"/>
        </w:rPr>
        <w:t xml:space="preserve">In the current quarter, Latin America's segment contribution increased </w:t>
      </w:r>
      <w:r>
        <w:rPr>
          <w:rFonts w:ascii="inherit" w:hAnsi="inherit"/>
          <w:strike w:val="false"/>
          <w:dstrike w:val="false"/>
          <w:color w:val="000000"/>
          <w:sz w:val="17"/>
          <w:u w:val="none"/>
          <w:effect w:val="none"/>
        </w:rPr>
        <w:t>$5.7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$6.5 million</w:t>
      </w:r>
      <w:r>
        <w:rPr>
          <w:rFonts w:ascii="inherit" w:hAnsi="inherit"/>
          <w:sz w:val="17"/>
        </w:rPr>
        <w:t xml:space="preserve">. Contribution margin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15.4</w:t>
      </w:r>
      <w:r>
        <w:rPr>
          <w:sz w:val="17"/>
        </w:rPr>
        <w:t xml:space="preserve"> </w:t>
      </w:r>
      <w:r>
        <w:rPr>
          <w:rFonts w:ascii="inherit" w:hAnsi="inherit"/>
          <w:sz w:val="17"/>
        </w:rPr>
        <w:t xml:space="preserve">percentage points to </w:t>
      </w:r>
      <w:r>
        <w:rPr>
          <w:rFonts w:ascii="inherit" w:hAnsi="inherit"/>
          <w:strike w:val="false"/>
          <w:dstrike w:val="false"/>
          <w:color w:val="000000"/>
          <w:sz w:val="17"/>
          <w:u w:val="none"/>
          <w:effect w:val="none"/>
        </w:rPr>
        <w:t>20.3%</w:t>
      </w:r>
      <w:r>
        <w:rPr>
          <w:sz w:val="17"/>
        </w:rPr>
        <w:t xml:space="preserve"> </w:t>
      </w:r>
      <w:r>
        <w:rPr>
          <w:rFonts w:ascii="inherit" w:hAnsi="inherit"/>
          <w:sz w:val="17"/>
        </w:rPr>
        <w:t xml:space="preserve">from the prior year quarter. For the current quarter Latin America's segment contribution represents 12% of consolidated segment contribution compared to 1% a year ago, this 11 percentage point increase makes Latin America our fastest growing segment.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49</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for the Other International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478"/>
        <w:gridCol w:w="181"/>
        <w:gridCol w:w="1222"/>
        <w:gridCol w:w="246"/>
        <w:gridCol w:w="151"/>
        <w:gridCol w:w="181"/>
        <w:gridCol w:w="1222"/>
        <w:gridCol w:w="524"/>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47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478" w:type="dxa"/>
            <w:tcBorders/>
            <w:shd w:fill="auto" w:val="clear"/>
            <w:vAlign w:val="center"/>
          </w:tcPr>
          <w:p>
            <w:pPr>
              <w:pStyle w:val="TableContents"/>
              <w:spacing w:before="0" w:after="0"/>
              <w:ind w:left="0" w:right="0" w:firstLine="30"/>
              <w:jc w:val="left"/>
              <w:rPr/>
            </w:pPr>
            <w:r>
              <w:rPr/>
              <w:t> </w:t>
            </w:r>
          </w:p>
        </w:tc>
        <w:tc>
          <w:tcPr>
            <w:tcW w:w="3727"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478" w:type="dxa"/>
            <w:tcBorders/>
            <w:shd w:fill="auto" w:val="clear"/>
            <w:vAlign w:val="center"/>
          </w:tcPr>
          <w:p>
            <w:pPr>
              <w:pStyle w:val="TableContents"/>
              <w:spacing w:before="0" w:after="0"/>
              <w:ind w:left="0" w:right="0" w:firstLine="30"/>
              <w:jc w:val="left"/>
              <w:rPr/>
            </w:pPr>
            <w:r>
              <w:rPr/>
              <w:t> </w:t>
            </w:r>
          </w:p>
        </w:tc>
        <w:tc>
          <w:tcPr>
            <w:tcW w:w="164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478" w:type="dxa"/>
            <w:tcBorders/>
            <w:shd w:fill="auto" w:val="clear"/>
            <w:vAlign w:val="center"/>
          </w:tcPr>
          <w:p>
            <w:pPr>
              <w:pStyle w:val="TableContents"/>
              <w:spacing w:before="0" w:after="0"/>
              <w:ind w:left="0" w:right="0" w:firstLine="30"/>
              <w:jc w:val="left"/>
              <w:rPr/>
            </w:pPr>
            <w:r>
              <w:rPr/>
              <w:t> </w:t>
            </w:r>
          </w:p>
        </w:tc>
        <w:tc>
          <w:tcPr>
            <w:tcW w:w="3727"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shd w:fill="CCEEFF" w:val="clear"/>
            <w:vAlign w:val="center"/>
          </w:tcPr>
          <w:p>
            <w:pPr>
              <w:pStyle w:val="TableContents"/>
              <w:spacing w:before="0" w:after="0"/>
              <w:jc w:val="right"/>
              <w:rPr>
                <w:rFonts w:ascii="inherit" w:hAnsi="inherit"/>
                <w:sz w:val="17"/>
              </w:rPr>
            </w:pPr>
            <w:r>
              <w:rPr>
                <w:rFonts w:ascii="inherit" w:hAnsi="inherit"/>
                <w:sz w:val="17"/>
              </w:rPr>
              <w:t>3,880</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shd w:fill="CCEEFF" w:val="clear"/>
            <w:vAlign w:val="center"/>
          </w:tcPr>
          <w:p>
            <w:pPr>
              <w:pStyle w:val="TableContents"/>
              <w:spacing w:before="0" w:after="0"/>
              <w:jc w:val="right"/>
              <w:rPr/>
            </w:pPr>
            <w:r>
              <w:rPr/>
              <w:t>—</w:t>
            </w:r>
          </w:p>
        </w:tc>
        <w:tc>
          <w:tcPr>
            <w:tcW w:w="5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2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bottom w:val="single" w:sz="2" w:space="0" w:color="000000"/>
            </w:tcBorders>
            <w:shd w:fill="auto" w:val="clear"/>
            <w:tcMar>
              <w:bottom w:w="30" w:type="dxa"/>
            </w:tcMar>
            <w:vAlign w:val="center"/>
          </w:tcPr>
          <w:p>
            <w:pPr>
              <w:pStyle w:val="TableContents"/>
              <w:spacing w:before="0" w:after="0"/>
              <w:ind w:left="0" w:right="0" w:firstLine="420"/>
              <w:rPr/>
            </w:pPr>
            <w:r>
              <w:rPr/>
              <w:t> </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4,038</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pPr>
            <w:r>
              <w:rPr/>
              <w:t>—</w:t>
            </w:r>
          </w:p>
        </w:tc>
        <w:tc>
          <w:tcPr>
            <w:tcW w:w="5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1,251</w:t>
            </w:r>
          </w:p>
        </w:tc>
        <w:tc>
          <w:tcPr>
            <w:tcW w:w="246"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524"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2,787</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pPr>
            <w:r>
              <w:rPr/>
              <w:t>—</w:t>
            </w:r>
          </w:p>
        </w:tc>
        <w:tc>
          <w:tcPr>
            <w:tcW w:w="52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64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shd w:fill="auto" w:val="clear"/>
            <w:vAlign w:val="center"/>
          </w:tcPr>
          <w:p>
            <w:pPr>
              <w:pStyle w:val="TableContents"/>
              <w:spacing w:before="0" w:after="0"/>
              <w:ind w:left="0" w:right="0" w:firstLine="420"/>
              <w:rPr/>
            </w:pPr>
            <w:r>
              <w:rPr/>
              <w:t> </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942</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pPr>
            <w:r>
              <w:rPr/>
              <w:t>—</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1,870</w:t>
            </w:r>
          </w:p>
        </w:tc>
        <w:tc>
          <w:tcPr>
            <w:tcW w:w="2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506</w:t>
            </w:r>
          </w:p>
        </w:tc>
        <w:tc>
          <w:tcPr>
            <w:tcW w:w="52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73</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pPr>
            <w:r>
              <w:rPr/>
              <w:t>—</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2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shd w:fill="auto" w:val="clear"/>
            <w:vAlign w:val="center"/>
          </w:tcPr>
          <w:p>
            <w:pPr>
              <w:pStyle w:val="TableContents"/>
              <w:spacing w:before="0" w:after="0"/>
              <w:jc w:val="right"/>
              <w:rPr/>
            </w:pPr>
            <w:r>
              <w:rPr/>
              <w:t>—</w:t>
            </w:r>
          </w:p>
        </w:tc>
        <w:tc>
          <w:tcPr>
            <w:tcW w:w="52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pPr>
            <w:r>
              <w:rPr/>
              <w:t>—</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w:t>
            </w:r>
          </w:p>
        </w:tc>
        <w:tc>
          <w:tcPr>
            <w:tcW w:w="140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4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shd w:fill="auto" w:val="clear"/>
            <w:vAlign w:val="center"/>
          </w:tcPr>
          <w:p>
            <w:pPr>
              <w:pStyle w:val="TableContents"/>
              <w:spacing w:before="0" w:after="0"/>
              <w:jc w:val="right"/>
              <w:rPr/>
            </w:pPr>
            <w:r>
              <w:rPr/>
              <w:t>—</w:t>
            </w:r>
          </w:p>
        </w:tc>
        <w:tc>
          <w:tcPr>
            <w:tcW w:w="524"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(4,197</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(4,099</w:t>
            </w:r>
          </w:p>
        </w:tc>
        <w:tc>
          <w:tcPr>
            <w:tcW w:w="524"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(441</w:t>
            </w:r>
          </w:p>
        </w:tc>
        <w:tc>
          <w:tcPr>
            <w:tcW w:w="246"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auto" w:val="clear"/>
            <w:vAlign w:val="center"/>
          </w:tcPr>
          <w:p>
            <w:pPr>
              <w:pStyle w:val="TableContents"/>
              <w:spacing w:before="0" w:after="0"/>
              <w:ind w:left="0" w:right="0" w:firstLine="30"/>
              <w:rPr/>
            </w:pPr>
            <w:r>
              <w:rPr/>
              <w:t> </w:t>
            </w:r>
          </w:p>
        </w:tc>
        <w:tc>
          <w:tcPr>
            <w:tcW w:w="140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(107</w:t>
            </w:r>
          </w:p>
        </w:tc>
        <w:tc>
          <w:tcPr>
            <w:tcW w:w="524"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4,297</w:t>
            </w:r>
          </w:p>
        </w:tc>
        <w:tc>
          <w:tcPr>
            <w:tcW w:w="246"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1"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22"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3,700</w:t>
            </w:r>
          </w:p>
        </w:tc>
        <w:tc>
          <w:tcPr>
            <w:tcW w:w="524"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47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649" w:type="dxa"/>
            <w:gridSpan w:val="3"/>
            <w:tcBorders/>
            <w:shd w:fill="auto" w:val="clear"/>
            <w:vAlign w:val="center"/>
          </w:tcPr>
          <w:p>
            <w:pPr>
              <w:pStyle w:val="TableContents"/>
              <w:spacing w:before="0" w:after="0"/>
              <w:ind w:left="0" w:right="0" w:firstLine="30"/>
              <w:rPr/>
            </w:pPr>
            <w:r>
              <w:rPr/>
              <w:t> </w:t>
            </w:r>
          </w:p>
        </w:tc>
        <w:tc>
          <w:tcPr>
            <w:tcW w:w="151" w:type="dxa"/>
            <w:tcBorders/>
            <w:shd w:fill="auto" w:val="clear"/>
            <w:vAlign w:val="center"/>
          </w:tcPr>
          <w:p>
            <w:pPr>
              <w:pStyle w:val="TableContents"/>
              <w:spacing w:before="0" w:after="0"/>
              <w:ind w:left="0" w:right="0" w:firstLine="30"/>
              <w:rPr/>
            </w:pPr>
            <w:r>
              <w:rPr/>
              <w:t> </w:t>
            </w:r>
          </w:p>
        </w:tc>
        <w:tc>
          <w:tcPr>
            <w:tcW w:w="1927" w:type="dxa"/>
            <w:gridSpan w:val="3"/>
            <w:tcBorders/>
            <w:shd w:fill="auto" w:val="clear"/>
            <w:vAlign w:val="center"/>
          </w:tcPr>
          <w:p>
            <w:pPr>
              <w:pStyle w:val="TableContents"/>
              <w:spacing w:before="0" w:after="0"/>
              <w:ind w:left="0" w:right="0" w:firstLine="420"/>
              <w:rPr/>
            </w:pPr>
            <w:r>
              <w:rPr/>
              <w:t> </w:t>
            </w:r>
          </w:p>
        </w:tc>
      </w:tr>
      <w:tr>
        <w:trPr/>
        <w:tc>
          <w:tcPr>
            <w:tcW w:w="647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 of consumer loan fees</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32</w:t>
            </w:r>
          </w:p>
        </w:tc>
        <w:tc>
          <w:tcPr>
            <w:tcW w:w="24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51" w:type="dxa"/>
            <w:tcBorders/>
            <w:shd w:fill="CCEEFF" w:val="clear"/>
            <w:vAlign w:val="center"/>
          </w:tcPr>
          <w:p>
            <w:pPr>
              <w:pStyle w:val="TableContents"/>
              <w:spacing w:before="0" w:after="0"/>
              <w:ind w:left="0" w:right="0" w:firstLine="30"/>
              <w:rPr/>
            </w:pPr>
            <w:r>
              <w:rPr/>
              <w:t> </w:t>
            </w:r>
          </w:p>
        </w:tc>
        <w:tc>
          <w:tcPr>
            <w:tcW w:w="140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524"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On April 14, 2012, we acquired a 72% interest in Cash Genie, an online lending business in the U.K. Since acquisition, Cash Genie's consumer loan fees were </w:t>
      </w:r>
      <w:r>
        <w:rPr>
          <w:rFonts w:ascii="inherit" w:hAnsi="inherit"/>
          <w:strike w:val="false"/>
          <w:dstrike w:val="false"/>
          <w:color w:val="000000"/>
          <w:sz w:val="17"/>
          <w:u w:val="none"/>
          <w:effect w:val="none"/>
        </w:rPr>
        <w:t>$3.9 million</w:t>
      </w:r>
      <w:r>
        <w:rPr>
          <w:rFonts w:ascii="inherit" w:hAnsi="inherit"/>
          <w:sz w:val="17"/>
        </w:rPr>
        <w:t xml:space="preserve">, with bad debt as a percentage of fees at </w:t>
      </w:r>
      <w:r>
        <w:rPr>
          <w:rFonts w:ascii="inherit" w:hAnsi="inherit"/>
          <w:strike w:val="false"/>
          <w:dstrike w:val="false"/>
          <w:color w:val="000000"/>
          <w:sz w:val="17"/>
          <w:u w:val="none"/>
          <w:effect w:val="none"/>
        </w:rPr>
        <w:t>32%</w:t>
      </w:r>
      <w:r>
        <w:rPr>
          <w:rFonts w:ascii="inherit" w:hAnsi="inherit"/>
          <w:sz w:val="17"/>
        </w:rPr>
        <w:t>. After operations and administrative expenses, and other smaller items, Cash Genie broke even for the quarter.</w:t>
      </w:r>
    </w:p>
    <w:p>
      <w:pPr>
        <w:pStyle w:val="TextBody"/>
        <w:spacing w:lineRule="auto" w:line="288" w:before="0" w:after="0"/>
        <w:rPr>
          <w:sz w:val="17"/>
        </w:rPr>
      </w:pPr>
      <w:r>
        <w:rPr>
          <w:rFonts w:ascii="inherit" w:hAnsi="inherit"/>
          <w:sz w:val="17"/>
        </w:rPr>
        <w:t xml:space="preserve">Our equity in the net income of unconsolidated affiliates (Albemarle &amp; Bond and Cash Converters International)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w:t>
      </w:r>
      <w:r>
        <w:rPr>
          <w:sz w:val="17"/>
        </w:rPr>
        <w:t xml:space="preserve"> </w:t>
      </w:r>
      <w:r>
        <w:rPr>
          <w:rFonts w:ascii="inherit" w:hAnsi="inherit"/>
          <w:sz w:val="17"/>
        </w:rPr>
        <w:t xml:space="preserve">from the prior year quarter to </w:t>
      </w:r>
      <w:r>
        <w:rPr>
          <w:rFonts w:ascii="inherit" w:hAnsi="inherit"/>
          <w:strike w:val="false"/>
          <w:dstrike w:val="false"/>
          <w:color w:val="000000"/>
          <w:sz w:val="17"/>
          <w:u w:val="none"/>
          <w:effect w:val="none"/>
        </w:rPr>
        <w:t>$4.2 million</w:t>
      </w:r>
      <w:r>
        <w:rPr>
          <w:rFonts w:ascii="inherit" w:hAnsi="inherit"/>
          <w:sz w:val="17"/>
        </w:rPr>
        <w:t xml:space="preserve">. As we recognize their earnings on a three month lag, our current quarter equity in their net income represents our estimate of their earnings from January 1, 2012 to March 31, 2012. </w:t>
      </w:r>
    </w:p>
    <w:p>
      <w:pPr>
        <w:pStyle w:val="TextBody"/>
        <w:spacing w:lineRule="auto" w:line="288" w:before="0" w:after="0"/>
        <w:rPr>
          <w:sz w:val="17"/>
        </w:rPr>
      </w:pPr>
      <w:r>
        <w:rPr>
          <w:rFonts w:ascii="inherit" w:hAnsi="inherit"/>
          <w:sz w:val="17"/>
        </w:rPr>
        <w:t xml:space="preserve">In the current quarter, segment contribution from the Other International segment increased </w:t>
      </w:r>
      <w:r>
        <w:rPr>
          <w:rFonts w:ascii="inherit" w:hAnsi="inherit"/>
          <w:strike w:val="false"/>
          <w:dstrike w:val="false"/>
          <w:color w:val="000000"/>
          <w:sz w:val="17"/>
          <w:u w:val="none"/>
          <w:effect w:val="none"/>
        </w:rPr>
        <w:t>$0.6 million</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$4.3 million</w:t>
      </w:r>
      <w:r>
        <w:rPr>
          <w:rFonts w:ascii="inherit" w:hAnsi="inherit"/>
          <w:sz w:val="17"/>
        </w:rPr>
        <w:t xml:space="preserve">. For the current quarter, the segment's contribution represents 8% of total contribution compared to 7% in the prior year quarter.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50</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Items</w:t>
      </w:r>
    </w:p>
    <w:p>
      <w:pPr>
        <w:pStyle w:val="TextBody"/>
        <w:spacing w:lineRule="auto" w:line="288" w:before="0" w:after="0"/>
        <w:rPr>
          <w:rFonts w:ascii="inherit" w:hAnsi="inherit"/>
          <w:sz w:val="17"/>
        </w:rPr>
      </w:pPr>
      <w:r>
        <w:rPr>
          <w:rFonts w:ascii="inherit" w:hAnsi="inherit"/>
          <w:sz w:val="17"/>
        </w:rPr>
        <w:t>The following table reconciles our consolidated store operating income discussed above to net income, including items that affect our consolidated financial results but are not allocated among segments: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517"/>
        <w:gridCol w:w="180"/>
        <w:gridCol w:w="1317"/>
        <w:gridCol w:w="99"/>
        <w:gridCol w:w="150"/>
        <w:gridCol w:w="180"/>
        <w:gridCol w:w="1317"/>
        <w:gridCol w:w="445"/>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51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17"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517" w:type="dxa"/>
            <w:tcBorders/>
            <w:shd w:fill="auto" w:val="clear"/>
            <w:vAlign w:val="center"/>
          </w:tcPr>
          <w:p>
            <w:pPr>
              <w:pStyle w:val="TableContents"/>
              <w:spacing w:before="0" w:after="0"/>
              <w:ind w:left="0" w:right="0" w:firstLine="30"/>
              <w:jc w:val="left"/>
              <w:rPr/>
            </w:pPr>
            <w:r>
              <w:rPr/>
              <w:t> </w:t>
            </w:r>
          </w:p>
        </w:tc>
        <w:tc>
          <w:tcPr>
            <w:tcW w:w="368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Three Months Ended June 30,</w:t>
            </w:r>
          </w:p>
        </w:tc>
      </w:tr>
      <w:tr>
        <w:trPr/>
        <w:tc>
          <w:tcPr>
            <w:tcW w:w="6517" w:type="dxa"/>
            <w:tcBorders/>
            <w:shd w:fill="auto" w:val="clear"/>
            <w:vAlign w:val="center"/>
          </w:tcPr>
          <w:p>
            <w:pPr>
              <w:pStyle w:val="TableContents"/>
              <w:spacing w:before="0" w:after="0"/>
              <w:ind w:left="0" w:right="0" w:firstLine="30"/>
              <w:jc w:val="left"/>
              <w:rPr/>
            </w:pPr>
            <w:r>
              <w:rPr/>
              <w:t> </w:t>
            </w:r>
          </w:p>
        </w:tc>
        <w:tc>
          <w:tcPr>
            <w:tcW w:w="1596"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50" w:type="dxa"/>
            <w:tcBorders/>
            <w:shd w:fill="auto" w:val="clear"/>
            <w:vAlign w:val="center"/>
          </w:tcPr>
          <w:p>
            <w:pPr>
              <w:pStyle w:val="TableContents"/>
              <w:spacing w:before="0" w:after="0"/>
              <w:ind w:left="0" w:right="0" w:firstLine="30"/>
              <w:rPr/>
            </w:pPr>
            <w:r>
              <w:rPr/>
              <w:t> </w:t>
            </w:r>
          </w:p>
        </w:tc>
        <w:tc>
          <w:tcPr>
            <w:tcW w:w="194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517" w:type="dxa"/>
            <w:tcBorders/>
            <w:shd w:fill="auto" w:val="clear"/>
            <w:vAlign w:val="center"/>
          </w:tcPr>
          <w:p>
            <w:pPr>
              <w:pStyle w:val="TableContents"/>
              <w:spacing w:before="0" w:after="0"/>
              <w:ind w:left="0" w:right="0" w:firstLine="30"/>
              <w:jc w:val="left"/>
              <w:rPr/>
            </w:pPr>
            <w:r>
              <w:rPr/>
              <w:t> </w:t>
            </w:r>
          </w:p>
        </w:tc>
        <w:tc>
          <w:tcPr>
            <w:tcW w:w="3688"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5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55,170</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shd w:fill="CCEEFF" w:val="clear"/>
            <w:vAlign w:val="center"/>
          </w:tcPr>
          <w:p>
            <w:pPr>
              <w:pStyle w:val="TableContents"/>
              <w:spacing w:before="0" w:after="0"/>
              <w:jc w:val="right"/>
              <w:rPr>
                <w:rFonts w:ascii="inherit" w:hAnsi="inherit"/>
                <w:sz w:val="17"/>
              </w:rPr>
            </w:pPr>
            <w:r>
              <w:rPr>
                <w:rFonts w:ascii="inherit" w:hAnsi="inherit"/>
                <w:sz w:val="17"/>
              </w:rPr>
              <w:t>50,754</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 expenses</w:t>
            </w:r>
          </w:p>
        </w:tc>
        <w:tc>
          <w:tcPr>
            <w:tcW w:w="14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10,522</w:t>
            </w:r>
          </w:p>
        </w:tc>
        <w:tc>
          <w:tcPr>
            <w:tcW w:w="9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97"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8,566</w:t>
            </w:r>
          </w:p>
        </w:tc>
        <w:tc>
          <w:tcPr>
            <w:tcW w:w="44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 and amortization</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1,466</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991</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877</w:t>
            </w:r>
          </w:p>
        </w:tc>
        <w:tc>
          <w:tcPr>
            <w:tcW w:w="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543</w:t>
            </w:r>
          </w:p>
        </w:tc>
        <w:tc>
          <w:tcPr>
            <w:tcW w:w="44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before income taxes</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42,305</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40,654</w:t>
            </w:r>
          </w:p>
        </w:tc>
        <w:tc>
          <w:tcPr>
            <w:tcW w:w="44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5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12,594</w:t>
            </w:r>
          </w:p>
        </w:tc>
        <w:tc>
          <w:tcPr>
            <w:tcW w:w="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14,127</w:t>
            </w:r>
          </w:p>
        </w:tc>
        <w:tc>
          <w:tcPr>
            <w:tcW w:w="44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29,711</w:t>
            </w:r>
          </w:p>
        </w:tc>
        <w:tc>
          <w:tcPr>
            <w:tcW w:w="9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497"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26,527</w:t>
            </w:r>
          </w:p>
        </w:tc>
        <w:tc>
          <w:tcPr>
            <w:tcW w:w="445"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1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1,188</w:t>
            </w:r>
          </w:p>
        </w:tc>
        <w:tc>
          <w:tcPr>
            <w:tcW w:w="9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auto" w:val="clear"/>
            <w:vAlign w:val="center"/>
          </w:tcPr>
          <w:p>
            <w:pPr>
              <w:pStyle w:val="TableContents"/>
              <w:spacing w:before="0" w:after="0"/>
              <w:ind w:left="0" w:right="0" w:firstLine="30"/>
              <w:rPr/>
            </w:pPr>
            <w:r>
              <w:rPr/>
              <w:t> </w:t>
            </w:r>
          </w:p>
        </w:tc>
        <w:tc>
          <w:tcPr>
            <w:tcW w:w="1497"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45"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51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28,523</w:t>
            </w:r>
          </w:p>
        </w:tc>
        <w:tc>
          <w:tcPr>
            <w:tcW w:w="9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50"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1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26,527</w:t>
            </w:r>
          </w:p>
        </w:tc>
        <w:tc>
          <w:tcPr>
            <w:tcW w:w="445"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Corporate expenses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$2.7 million</w:t>
      </w:r>
      <w:r>
        <w:rPr>
          <w:rFonts w:ascii="inherit" w:hAnsi="inherit"/>
          <w:sz w:val="17"/>
        </w:rPr>
        <w:t xml:space="preserve">, or </w:t>
      </w:r>
      <w:r>
        <w:rPr>
          <w:rFonts w:ascii="inherit" w:hAnsi="inherit"/>
          <w:strike w:val="false"/>
          <w:dstrike w:val="false"/>
          <w:color w:val="000000"/>
          <w:sz w:val="17"/>
          <w:u w:val="none"/>
          <w:effect w:val="none"/>
        </w:rPr>
        <w:t>27%</w:t>
      </w:r>
      <w:r>
        <w:rPr>
          <w:rFonts w:ascii="inherit" w:hAnsi="inherit"/>
          <w:sz w:val="17"/>
        </w:rPr>
        <w:t xml:space="preserve">, to </w:t>
      </w:r>
      <w:r>
        <w:rPr>
          <w:rFonts w:ascii="inherit" w:hAnsi="inherit"/>
          <w:strike w:val="false"/>
          <w:dstrike w:val="false"/>
          <w:color w:val="000000"/>
          <w:sz w:val="17"/>
          <w:u w:val="none"/>
          <w:effect w:val="none"/>
        </w:rPr>
        <w:t>$12.9 million</w:t>
      </w:r>
      <w:r>
        <w:rPr>
          <w:sz w:val="17"/>
        </w:rPr>
        <w:t xml:space="preserve"> </w:t>
      </w:r>
      <w:r>
        <w:rPr>
          <w:rFonts w:ascii="inherit" w:hAnsi="inherit"/>
          <w:sz w:val="17"/>
        </w:rPr>
        <w:t xml:space="preserve">mainly as a result of a </w:t>
      </w:r>
      <w:r>
        <w:rPr>
          <w:rFonts w:ascii="inherit" w:hAnsi="inherit"/>
          <w:strike w:val="false"/>
          <w:dstrike w:val="false"/>
          <w:color w:val="000000"/>
          <w:sz w:val="17"/>
          <w:u w:val="none"/>
          <w:effect w:val="none"/>
        </w:rPr>
        <w:t>62%</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interest expense due to greater utilization of our revolver, a </w:t>
      </w:r>
      <w:r>
        <w:rPr>
          <w:rFonts w:ascii="inherit" w:hAnsi="inherit"/>
          <w:strike w:val="false"/>
          <w:dstrike w:val="false"/>
          <w:color w:val="000000"/>
          <w:sz w:val="17"/>
          <w:u w:val="none"/>
          <w:effect w:val="none"/>
        </w:rPr>
        <w:t>23%</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administrative expenses due to continued investment in growth and profitability initiatives and a </w:t>
      </w:r>
      <w:r>
        <w:rPr>
          <w:rFonts w:ascii="inherit" w:hAnsi="inherit"/>
          <w:strike w:val="false"/>
          <w:dstrike w:val="false"/>
          <w:color w:val="000000"/>
          <w:sz w:val="17"/>
          <w:u w:val="none"/>
          <w:effect w:val="none"/>
        </w:rPr>
        <w:t>48%</w:t>
      </w:r>
      <w:r>
        <w:rPr>
          <w:sz w:val="17"/>
        </w:rPr>
        <w:t xml:space="preserve"> </w:t>
      </w:r>
      <w:r>
        <w:rPr>
          <w:rFonts w:ascii="inherit" w:hAnsi="inherit"/>
          <w:sz w:val="17"/>
        </w:rPr>
        <w:t>increase in depreciation due to new assets placed in service as a result of investment in infrastructure to support our globalization strategy.</w:t>
      </w:r>
    </w:p>
    <w:p>
      <w:pPr>
        <w:pStyle w:val="TextBody"/>
        <w:spacing w:lineRule="auto" w:line="288" w:before="0" w:after="0"/>
        <w:rPr>
          <w:sz w:val="17"/>
        </w:rPr>
      </w:pPr>
      <w:r>
        <w:rPr>
          <w:rFonts w:ascii="inherit" w:hAnsi="inherit"/>
          <w:sz w:val="17"/>
        </w:rPr>
        <w:t xml:space="preserve">Consolidated income before taxes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$1.7 million</w:t>
      </w:r>
      <w:r>
        <w:rPr>
          <w:rFonts w:ascii="inherit" w:hAnsi="inherit"/>
          <w:sz w:val="17"/>
        </w:rPr>
        <w:t xml:space="preserve">, or </w:t>
      </w:r>
      <w:r>
        <w:rPr>
          <w:rFonts w:ascii="inherit" w:hAnsi="inherit"/>
          <w:strike w:val="false"/>
          <w:dstrike w:val="false"/>
          <w:color w:val="000000"/>
          <w:sz w:val="17"/>
          <w:u w:val="none"/>
          <w:effect w:val="none"/>
        </w:rPr>
        <w:t>4%</w:t>
      </w:r>
      <w:r>
        <w:rPr>
          <w:rFonts w:ascii="inherit" w:hAnsi="inherit"/>
          <w:sz w:val="17"/>
        </w:rPr>
        <w:t xml:space="preserve">, to </w:t>
      </w:r>
      <w:r>
        <w:rPr>
          <w:rFonts w:ascii="inherit" w:hAnsi="inherit"/>
          <w:strike w:val="false"/>
          <w:dstrike w:val="false"/>
          <w:color w:val="000000"/>
          <w:sz w:val="17"/>
          <w:u w:val="none"/>
          <w:effect w:val="none"/>
        </w:rPr>
        <w:t>$42.3 million</w:t>
      </w:r>
      <w:r>
        <w:rPr>
          <w:sz w:val="17"/>
        </w:rPr>
        <w:t xml:space="preserve"> </w:t>
      </w:r>
      <w:r>
        <w:rPr>
          <w:rFonts w:ascii="inherit" w:hAnsi="inherit"/>
          <w:sz w:val="17"/>
        </w:rPr>
        <w:t xml:space="preserve">due to an </w:t>
      </w:r>
      <w:r>
        <w:rPr>
          <w:rFonts w:ascii="inherit" w:hAnsi="inherit"/>
          <w:strike w:val="false"/>
          <w:dstrike w:val="false"/>
          <w:color w:val="000000"/>
          <w:sz w:val="17"/>
          <w:u w:val="none"/>
          <w:effect w:val="none"/>
        </w:rPr>
        <w:t>$5.7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$0.6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contribution from the Latin America and Other International segments respectively, partially offset by an </w:t>
      </w:r>
      <w:r>
        <w:rPr>
          <w:rFonts w:ascii="inherit" w:hAnsi="inherit"/>
          <w:strike w:val="false"/>
          <w:dstrike w:val="false"/>
          <w:color w:val="000000"/>
          <w:sz w:val="17"/>
          <w:u w:val="none"/>
          <w:effect w:val="none"/>
        </w:rPr>
        <w:t>$1.9 million</w:t>
      </w:r>
      <w:r>
        <w:rPr>
          <w:sz w:val="17"/>
        </w:rPr>
        <w:t xml:space="preserve"> </w:t>
      </w:r>
      <w:r>
        <w:rPr>
          <w:rFonts w:ascii="inherit" w:hAnsi="inherit"/>
          <w:sz w:val="17"/>
        </w:rPr>
        <w:t xml:space="preserve">decrease in contribution from the U.S. &amp; Canada segment and a </w:t>
      </w:r>
      <w:r>
        <w:rPr>
          <w:rFonts w:ascii="inherit" w:hAnsi="inherit"/>
          <w:strike w:val="false"/>
          <w:dstrike w:val="false"/>
          <w:color w:val="000000"/>
          <w:sz w:val="17"/>
          <w:u w:val="none"/>
          <w:effect w:val="none"/>
        </w:rPr>
        <w:t>$2.7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in corporate expenses.</w:t>
      </w:r>
    </w:p>
    <w:p>
      <w:pPr>
        <w:pStyle w:val="TextBody"/>
        <w:spacing w:lineRule="auto" w:line="288" w:before="0" w:after="0"/>
        <w:rPr>
          <w:sz w:val="17"/>
        </w:rPr>
      </w:pPr>
      <w:r>
        <w:rPr>
          <w:rFonts w:ascii="inherit" w:hAnsi="inherit"/>
          <w:sz w:val="17"/>
        </w:rPr>
        <w:t xml:space="preserve">Income tax expense decreased </w:t>
      </w:r>
      <w:r>
        <w:rPr>
          <w:rFonts w:ascii="inherit" w:hAnsi="inherit"/>
          <w:strike w:val="false"/>
          <w:dstrike w:val="false"/>
          <w:color w:val="000000"/>
          <w:sz w:val="17"/>
          <w:u w:val="none"/>
          <w:effect w:val="none"/>
        </w:rPr>
        <w:t>$1.5 million</w:t>
      </w:r>
      <w:r>
        <w:rPr>
          <w:rFonts w:ascii="inherit" w:hAnsi="inherit"/>
          <w:sz w:val="17"/>
        </w:rPr>
        <w:t xml:space="preserve">, or </w:t>
      </w:r>
      <w:r>
        <w:rPr>
          <w:rFonts w:ascii="inherit" w:hAnsi="inherit"/>
          <w:strike w:val="false"/>
          <w:dstrike w:val="false"/>
          <w:color w:val="000000"/>
          <w:sz w:val="17"/>
          <w:u w:val="none"/>
          <w:effect w:val="none"/>
        </w:rPr>
        <w:t>11%</w:t>
      </w:r>
      <w:r>
        <w:rPr>
          <w:rFonts w:ascii="inherit" w:hAnsi="inherit"/>
          <w:sz w:val="17"/>
        </w:rPr>
        <w:t>, due to a 4.9 percentage points decrease in the quarter's effective tax rate from 35% to 30.1%, as our effective tax rate for the year was reduced from 35% to 33.5%, reflecting the success and growth of our business in areas outside of the United States.</w:t>
      </w:r>
    </w:p>
    <w:p>
      <w:pPr>
        <w:pStyle w:val="TextBody"/>
        <w:spacing w:lineRule="auto" w:line="288" w:before="0" w:after="0"/>
        <w:rPr>
          <w:sz w:val="17"/>
        </w:rPr>
      </w:pPr>
      <w:r>
        <w:rPr>
          <w:rFonts w:ascii="inherit" w:hAnsi="inherit"/>
          <w:sz w:val="17"/>
        </w:rPr>
        <w:t xml:space="preserve">In the current quarter, net income attributable to EZCORP, Inc.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$2.0 million</w:t>
      </w:r>
      <w:r>
        <w:rPr>
          <w:rFonts w:ascii="inherit" w:hAnsi="inherit"/>
          <w:sz w:val="17"/>
        </w:rPr>
        <w:t xml:space="preserve">, or </w:t>
      </w:r>
      <w:r>
        <w:rPr>
          <w:rFonts w:ascii="inherit" w:hAnsi="inherit"/>
          <w:strike w:val="false"/>
          <w:dstrike w:val="false"/>
          <w:color w:val="000000"/>
          <w:sz w:val="17"/>
          <w:u w:val="none"/>
          <w:effect w:val="none"/>
        </w:rPr>
        <w:t>8%</w:t>
      </w:r>
      <w:r>
        <w:rPr>
          <w:rFonts w:ascii="inherit" w:hAnsi="inherit"/>
          <w:sz w:val="17"/>
        </w:rPr>
        <w:t xml:space="preserve">, to </w:t>
      </w:r>
      <w:r>
        <w:rPr>
          <w:rFonts w:ascii="inherit" w:hAnsi="inherit"/>
          <w:strike w:val="false"/>
          <w:dstrike w:val="false"/>
          <w:color w:val="000000"/>
          <w:sz w:val="17"/>
          <w:u w:val="none"/>
          <w:effect w:val="none"/>
        </w:rPr>
        <w:t>$28.5 million</w:t>
      </w:r>
      <w:r>
        <w:rPr>
          <w:rFonts w:ascii="inherit" w:hAnsi="inherit"/>
          <w:sz w:val="17"/>
        </w:rPr>
        <w:t xml:space="preserve">, after a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of net income attributable to the noncontrolling interest.</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bookmarkStart w:id="40" w:name="sED0C4EC8C99334897E36BEC5F9879D7A"/>
      <w:bookmarkEnd w:id="40"/>
      <w:r>
        <w:rPr>
          <w:rFonts w:ascii="inherit" w:hAnsi="inherit"/>
          <w:color w:val="000000"/>
          <w:sz w:val="17"/>
          <w:u w:val="single"/>
        </w:rPr>
        <w:t>Nine Months Ended June 30, 2012</w:t>
      </w:r>
      <w:r>
        <w:rPr>
          <w:sz w:val="17"/>
          <w:u w:val="single"/>
        </w:rPr>
        <w:t xml:space="preserve"> </w:t>
      </w:r>
      <w:r>
        <w:rPr>
          <w:rFonts w:ascii="inherit" w:hAnsi="inherit"/>
          <w:sz w:val="17"/>
          <w:u w:val="single"/>
        </w:rPr>
        <w:t xml:space="preserve">vs. </w:t>
      </w:r>
      <w:r>
        <w:rPr>
          <w:rFonts w:ascii="inherit" w:hAnsi="inherit"/>
          <w:color w:val="000000"/>
          <w:sz w:val="17"/>
          <w:u w:val="single"/>
        </w:rPr>
        <w:t>Nine Months Ended June 30, 2011</w:t>
      </w:r>
      <w:r>
        <w:rPr>
          <w:sz w:val="17"/>
          <w:u w:val="single"/>
        </w:rPr>
        <w:t xml:space="preserve"> </w:t>
      </w:r>
    </w:p>
    <w:p>
      <w:pPr>
        <w:pStyle w:val="TextBody"/>
        <w:spacing w:lineRule="auto" w:line="288" w:before="0" w:after="0"/>
        <w:rPr>
          <w:sz w:val="17"/>
        </w:rPr>
      </w:pPr>
      <w:r>
        <w:rPr>
          <w:rFonts w:ascii="inherit" w:hAnsi="inherit"/>
          <w:sz w:val="17"/>
        </w:rPr>
        <w:t xml:space="preserve">The following discussion compares our results of operations for the nine-month period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to the nine-month period ended </w:t>
      </w:r>
      <w:r>
        <w:rPr>
          <w:rFonts w:ascii="inherit" w:hAnsi="inherit"/>
          <w:strike w:val="false"/>
          <w:dstrike w:val="false"/>
          <w:color w:val="000000"/>
          <w:sz w:val="17"/>
          <w:u w:val="none"/>
          <w:effect w:val="none"/>
        </w:rPr>
        <w:t>June 30, 2011</w:t>
      </w:r>
      <w:r>
        <w:rPr>
          <w:rFonts w:ascii="inherit" w:hAnsi="inherit"/>
          <w:sz w:val="17"/>
        </w:rPr>
        <w:t>. It should be read with the accompanying unaudited financial statements and related notes.</w:t>
      </w:r>
    </w:p>
    <w:p>
      <w:pPr>
        <w:pStyle w:val="TextBody"/>
        <w:spacing w:lineRule="auto" w:line="288" w:before="0" w:after="0"/>
        <w:rPr>
          <w:sz w:val="17"/>
        </w:rPr>
      </w:pPr>
      <w:r>
        <w:rPr>
          <w:rFonts w:ascii="inherit" w:hAnsi="inherit"/>
          <w:sz w:val="17"/>
        </w:rPr>
        <w:t xml:space="preserve">In the current </w:t>
      </w:r>
      <w:r>
        <w:rPr>
          <w:rFonts w:ascii="inherit" w:hAnsi="inherit"/>
          <w:strike w:val="false"/>
          <w:dstrike w:val="false"/>
          <w:color w:val="000000"/>
          <w:sz w:val="17"/>
          <w:u w:val="none"/>
          <w:effect w:val="none"/>
        </w:rPr>
        <w:t>nine-month period</w:t>
      </w:r>
      <w:r>
        <w:rPr>
          <w:rFonts w:ascii="inherit" w:hAnsi="inherit"/>
          <w:sz w:val="17"/>
        </w:rPr>
        <w:t xml:space="preserve">, consolidated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16%</w:t>
      </w:r>
      <w:r>
        <w:rPr>
          <w:rFonts w:ascii="inherit" w:hAnsi="inherit"/>
          <w:sz w:val="17"/>
        </w:rPr>
        <w:t xml:space="preserve">, or </w:t>
      </w:r>
      <w:r>
        <w:rPr>
          <w:rFonts w:ascii="inherit" w:hAnsi="inherit"/>
          <w:strike w:val="false"/>
          <w:dstrike w:val="false"/>
          <w:color w:val="000000"/>
          <w:sz w:val="17"/>
          <w:u w:val="none"/>
          <w:effect w:val="none"/>
        </w:rPr>
        <w:t>$98.9 million</w:t>
      </w:r>
      <w:r>
        <w:rPr>
          <w:rFonts w:ascii="inherit" w:hAnsi="inherit"/>
          <w:sz w:val="17"/>
        </w:rPr>
        <w:t xml:space="preserve">, to </w:t>
      </w:r>
      <w:r>
        <w:rPr>
          <w:rFonts w:ascii="inherit" w:hAnsi="inherit"/>
          <w:strike w:val="false"/>
          <w:dstrike w:val="false"/>
          <w:color w:val="000000"/>
          <w:sz w:val="17"/>
          <w:u w:val="none"/>
          <w:effect w:val="none"/>
        </w:rPr>
        <w:t>$734.1 million</w:t>
      </w:r>
      <w:r>
        <w:rPr>
          <w:rFonts w:ascii="inherit" w:hAnsi="inherit"/>
          <w:sz w:val="17"/>
        </w:rPr>
        <w:t xml:space="preserve">, compared to the prior </w:t>
      </w:r>
      <w:r>
        <w:rPr>
          <w:rFonts w:ascii="inherit" w:hAnsi="inherit"/>
          <w:strike w:val="false"/>
          <w:dstrike w:val="false"/>
          <w:color w:val="000000"/>
          <w:sz w:val="17"/>
          <w:u w:val="none"/>
          <w:effect w:val="none"/>
        </w:rPr>
        <w:t>nine-month period</w:t>
      </w:r>
      <w:r>
        <w:rPr>
          <w:rFonts w:ascii="inherit" w:hAnsi="inherit"/>
          <w:sz w:val="17"/>
        </w:rPr>
        <w:t xml:space="preserve">. Same store total revenues increased $3.9 million, or 1%, and new and acquired stores contributed $95.0 million. Net income attributable to EZCORP, Inc.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23%</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$105.1 million</w:t>
      </w:r>
      <w:r>
        <w:rPr>
          <w:rFonts w:ascii="inherit" w:hAnsi="inherit"/>
          <w:sz w:val="17"/>
        </w:rPr>
        <w:t>.</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51</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U.S. &amp; Canada</w:t>
      </w:r>
    </w:p>
    <w:p>
      <w:pPr>
        <w:pStyle w:val="TextBody"/>
        <w:spacing w:lineRule="auto" w:line="288" w:before="0" w:after="0"/>
        <w:rPr>
          <w:rFonts w:ascii="inherit" w:hAnsi="inherit"/>
          <w:sz w:val="17"/>
        </w:rPr>
      </w:pPr>
      <w:r>
        <w:rPr>
          <w:rFonts w:ascii="inherit" w:hAnsi="inherit"/>
          <w:sz w:val="17"/>
        </w:rPr>
        <w:t>The following table presents selected financial data for the U.S. &amp; Canada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5941"/>
        <w:gridCol w:w="180"/>
        <w:gridCol w:w="1355"/>
        <w:gridCol w:w="249"/>
        <w:gridCol w:w="147"/>
        <w:gridCol w:w="180"/>
        <w:gridCol w:w="1355"/>
        <w:gridCol w:w="798"/>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5941"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355" w:type="dxa"/>
            <w:tcBorders/>
            <w:shd w:fill="auto" w:val="clear"/>
            <w:vAlign w:val="center"/>
          </w:tcPr>
          <w:p>
            <w:pPr>
              <w:pStyle w:val="TableContents"/>
              <w:spacing w:before="0" w:after="283"/>
              <w:rPr>
                <w:sz w:val="4"/>
                <w:szCs w:val="4"/>
              </w:rPr>
            </w:pPr>
            <w:r>
              <w:rPr>
                <w:sz w:val="4"/>
                <w:szCs w:val="4"/>
              </w:rPr>
            </w:r>
          </w:p>
        </w:tc>
        <w:tc>
          <w:tcPr>
            <w:tcW w:w="798"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41" w:type="dxa"/>
            <w:tcBorders/>
            <w:shd w:fill="auto" w:val="clear"/>
            <w:vAlign w:val="center"/>
          </w:tcPr>
          <w:p>
            <w:pPr>
              <w:pStyle w:val="TableContents"/>
              <w:spacing w:before="0" w:after="0"/>
              <w:ind w:left="0" w:right="0" w:firstLine="30"/>
              <w:jc w:val="left"/>
              <w:rPr/>
            </w:pPr>
            <w:r>
              <w:rPr/>
              <w:t> </w:t>
            </w:r>
          </w:p>
        </w:tc>
        <w:tc>
          <w:tcPr>
            <w:tcW w:w="4264"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5941" w:type="dxa"/>
            <w:tcBorders/>
            <w:shd w:fill="auto" w:val="clear"/>
            <w:vAlign w:val="center"/>
          </w:tcPr>
          <w:p>
            <w:pPr>
              <w:pStyle w:val="TableContents"/>
              <w:spacing w:before="0" w:after="0"/>
              <w:ind w:left="0" w:right="0" w:firstLine="30"/>
              <w:jc w:val="left"/>
              <w:rPr/>
            </w:pPr>
            <w:r>
              <w:rPr/>
              <w:t> </w:t>
            </w:r>
          </w:p>
        </w:tc>
        <w:tc>
          <w:tcPr>
            <w:tcW w:w="1784"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7" w:type="dxa"/>
            <w:tcBorders/>
            <w:shd w:fill="auto" w:val="clear"/>
            <w:vAlign w:val="center"/>
          </w:tcPr>
          <w:p>
            <w:pPr>
              <w:pStyle w:val="TableContents"/>
              <w:spacing w:before="0" w:after="0"/>
              <w:ind w:left="0" w:right="0" w:firstLine="30"/>
              <w:rPr/>
            </w:pPr>
            <w:r>
              <w:rPr/>
              <w:t> </w:t>
            </w:r>
          </w:p>
        </w:tc>
        <w:tc>
          <w:tcPr>
            <w:tcW w:w="233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5941" w:type="dxa"/>
            <w:tcBorders/>
            <w:shd w:fill="auto" w:val="clear"/>
            <w:vAlign w:val="center"/>
          </w:tcPr>
          <w:p>
            <w:pPr>
              <w:pStyle w:val="TableContents"/>
              <w:spacing w:before="0" w:after="0"/>
              <w:ind w:left="0" w:right="0" w:firstLine="30"/>
              <w:jc w:val="left"/>
              <w:rPr/>
            </w:pPr>
            <w:r>
              <w:rPr/>
              <w:t> </w:t>
            </w:r>
          </w:p>
        </w:tc>
        <w:tc>
          <w:tcPr>
            <w:tcW w:w="4264"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55" w:type="dxa"/>
            <w:tcBorders/>
            <w:shd w:fill="CCEEFF" w:val="clear"/>
            <w:vAlign w:val="center"/>
          </w:tcPr>
          <w:p>
            <w:pPr>
              <w:pStyle w:val="TableContents"/>
              <w:spacing w:before="0" w:after="0"/>
              <w:jc w:val="right"/>
              <w:rPr>
                <w:rFonts w:ascii="inherit" w:hAnsi="inherit"/>
                <w:sz w:val="17"/>
              </w:rPr>
            </w:pPr>
            <w:r>
              <w:rPr>
                <w:rFonts w:ascii="inherit" w:hAnsi="inherit"/>
                <w:sz w:val="17"/>
              </w:rPr>
              <w:t>227,849</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55" w:type="dxa"/>
            <w:tcBorders/>
            <w:shd w:fill="CCEEFF" w:val="clear"/>
            <w:vAlign w:val="center"/>
          </w:tcPr>
          <w:p>
            <w:pPr>
              <w:pStyle w:val="TableContents"/>
              <w:spacing w:before="0" w:after="0"/>
              <w:jc w:val="right"/>
              <w:rPr>
                <w:rFonts w:ascii="inherit" w:hAnsi="inherit"/>
                <w:sz w:val="17"/>
              </w:rPr>
            </w:pPr>
            <w:r>
              <w:rPr>
                <w:rFonts w:ascii="inherit" w:hAnsi="inherit"/>
                <w:sz w:val="17"/>
              </w:rPr>
              <w:t>196,898</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139,736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138,068</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154,854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133,355</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127,061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125,652</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5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2,444</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944</w:t>
            </w:r>
          </w:p>
        </w:tc>
        <w:tc>
          <w:tcPr>
            <w:tcW w:w="798"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651,944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594,917</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132,469</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112,605</w:t>
            </w:r>
          </w:p>
        </w:tc>
        <w:tc>
          <w:tcPr>
            <w:tcW w:w="79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87,102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87,416</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5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26,136</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27,795</w:t>
            </w:r>
          </w:p>
        </w:tc>
        <w:tc>
          <w:tcPr>
            <w:tcW w:w="798" w:type="dxa"/>
            <w:tcBorders>
              <w:bottom w:val="single" w:sz="2" w:space="0" w:color="000000"/>
            </w:tcBorders>
            <w:shd w:fill="CCEEFF" w:val="clear"/>
            <w:tcMar>
              <w:bottom w:w="28" w:type="dxa"/>
            </w:tcMar>
            <w:vAlign w:val="center"/>
          </w:tcPr>
          <w:p>
            <w:pPr>
              <w:pStyle w:val="TableContents"/>
              <w:spacing w:before="0" w:after="0"/>
              <w:ind w:left="0" w:right="0" w:firstLine="78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406,237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367,101</w:t>
            </w:r>
          </w:p>
        </w:tc>
        <w:tc>
          <w:tcPr>
            <w:tcW w:w="79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784" w:type="dxa"/>
            <w:gridSpan w:val="3"/>
            <w:tcBorders/>
            <w:shd w:fill="CCEEFF" w:val="clear"/>
            <w:vAlign w:val="center"/>
          </w:tcPr>
          <w:p>
            <w:pPr>
              <w:pStyle w:val="TableContents"/>
              <w:spacing w:before="0" w:after="0"/>
              <w:ind w:left="0" w:right="0" w:firstLine="30"/>
              <w:rPr/>
            </w:pPr>
            <w:r>
              <w:rPr/>
              <w:t> </w:t>
            </w:r>
          </w:p>
        </w:tc>
        <w:tc>
          <w:tcPr>
            <w:tcW w:w="147" w:type="dxa"/>
            <w:tcBorders/>
            <w:shd w:fill="CCEEFF" w:val="clear"/>
            <w:vAlign w:val="center"/>
          </w:tcPr>
          <w:p>
            <w:pPr>
              <w:pStyle w:val="TableContents"/>
              <w:spacing w:before="0" w:after="0"/>
              <w:ind w:left="0" w:right="0" w:firstLine="30"/>
              <w:rPr/>
            </w:pPr>
            <w:r>
              <w:rPr/>
              <w:t> </w:t>
            </w:r>
          </w:p>
        </w:tc>
        <w:tc>
          <w:tcPr>
            <w:tcW w:w="2333" w:type="dxa"/>
            <w:gridSpan w:val="3"/>
            <w:tcBorders/>
            <w:shd w:fill="CCEEFF" w:val="clear"/>
            <w:vAlign w:val="center"/>
          </w:tcPr>
          <w:p>
            <w:pPr>
              <w:pStyle w:val="TableContents"/>
              <w:spacing w:before="0" w:after="0"/>
              <w:ind w:left="0" w:right="0" w:firstLine="420"/>
              <w:rPr/>
            </w:pPr>
            <w:r>
              <w:rPr/>
              <w:t> </w:t>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203,190</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182,769</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17,841</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14,103</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10,121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8,194</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353</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 on sale or disposal of assets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(15</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5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345</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w:t>
            </w:r>
          </w:p>
        </w:tc>
        <w:tc>
          <w:tcPr>
            <w:tcW w:w="79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5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174,405</w:t>
            </w:r>
          </w:p>
        </w:tc>
        <w:tc>
          <w:tcPr>
            <w:tcW w:w="249"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55"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161,672</w:t>
            </w:r>
          </w:p>
        </w:tc>
        <w:tc>
          <w:tcPr>
            <w:tcW w:w="79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84" w:type="dxa"/>
            <w:gridSpan w:val="3"/>
            <w:tcBorders/>
            <w:shd w:fill="auto" w:val="clear"/>
            <w:vAlign w:val="center"/>
          </w:tcPr>
          <w:p>
            <w:pPr>
              <w:pStyle w:val="TableContents"/>
              <w:spacing w:before="0" w:after="0"/>
              <w:ind w:left="0" w:right="0" w:firstLine="30"/>
              <w:rPr/>
            </w:pPr>
            <w:r>
              <w:rPr/>
              <w:t> </w:t>
            </w:r>
          </w:p>
        </w:tc>
        <w:tc>
          <w:tcPr>
            <w:tcW w:w="147" w:type="dxa"/>
            <w:tcBorders/>
            <w:shd w:fill="auto" w:val="clear"/>
            <w:vAlign w:val="center"/>
          </w:tcPr>
          <w:p>
            <w:pPr>
              <w:pStyle w:val="TableContents"/>
              <w:spacing w:before="0" w:after="0"/>
              <w:ind w:left="0" w:right="0" w:firstLine="30"/>
              <w:rPr/>
            </w:pPr>
            <w:r>
              <w:rPr/>
              <w:t> </w:t>
            </w:r>
          </w:p>
        </w:tc>
        <w:tc>
          <w:tcPr>
            <w:tcW w:w="2333" w:type="dxa"/>
            <w:gridSpan w:val="3"/>
            <w:tcBorders/>
            <w:shd w:fill="auto" w:val="clear"/>
            <w:vAlign w:val="center"/>
          </w:tcPr>
          <w:p>
            <w:pPr>
              <w:pStyle w:val="TableContents"/>
              <w:spacing w:before="0" w:after="0"/>
              <w:ind w:left="0" w:right="0" w:firstLine="420"/>
              <w:rPr/>
            </w:pPr>
            <w:r>
              <w:rPr/>
              <w:t> </w:t>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41.9</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42.8</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37.7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36.7</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40.3</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55" w:type="dxa"/>
            <w:tcBorders/>
            <w:shd w:fill="auto" w:val="clear"/>
            <w:vAlign w:val="center"/>
          </w:tcPr>
          <w:p>
            <w:pPr>
              <w:pStyle w:val="TableContents"/>
              <w:spacing w:before="0" w:after="0"/>
              <w:jc w:val="right"/>
              <w:rPr>
                <w:rFonts w:ascii="inherit" w:hAnsi="inherit"/>
                <w:sz w:val="17"/>
              </w:rPr>
            </w:pPr>
            <w:r>
              <w:rPr>
                <w:rFonts w:ascii="inherit" w:hAnsi="inherit"/>
                <w:sz w:val="17"/>
              </w:rPr>
              <w:t>285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7" w:type="dxa"/>
            <w:tcBorders/>
            <w:shd w:fill="auto" w:val="clear"/>
            <w:vAlign w:val="center"/>
          </w:tcPr>
          <w:p>
            <w:pPr>
              <w:pStyle w:val="TableContents"/>
              <w:spacing w:before="0" w:after="0"/>
              <w:ind w:left="0" w:right="0" w:firstLine="30"/>
              <w:rPr/>
            </w:pPr>
            <w:r>
              <w:rPr/>
              <w:t> </w:t>
            </w:r>
          </w:p>
        </w:tc>
        <w:tc>
          <w:tcPr>
            <w:tcW w:w="180"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355" w:type="dxa"/>
            <w:tcBorders/>
            <w:shd w:fill="auto" w:val="clear"/>
            <w:vAlign w:val="center"/>
          </w:tcPr>
          <w:p>
            <w:pPr>
              <w:pStyle w:val="TableContents"/>
              <w:spacing w:before="0" w:after="0"/>
              <w:jc w:val="right"/>
              <w:rPr>
                <w:rFonts w:ascii="inherit" w:hAnsi="inherit"/>
                <w:sz w:val="17"/>
              </w:rPr>
            </w:pPr>
            <w:r>
              <w:rPr>
                <w:rFonts w:ascii="inherit" w:hAnsi="inherit"/>
                <w:sz w:val="17"/>
              </w:rPr>
              <w:t>293</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w:t>
            </w:r>
          </w:p>
        </w:tc>
        <w:tc>
          <w:tcPr>
            <w:tcW w:w="798"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941"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auto" w:val="clear"/>
            <w:vAlign w:val="center"/>
          </w:tcPr>
          <w:p>
            <w:pPr>
              <w:pStyle w:val="TableContents"/>
              <w:spacing w:before="0" w:after="0"/>
              <w:ind w:left="0" w:right="0" w:firstLine="30"/>
              <w:rPr/>
            </w:pPr>
            <w:r>
              <w:rPr/>
              <w:t> </w:t>
            </w:r>
          </w:p>
        </w:tc>
        <w:tc>
          <w:tcPr>
            <w:tcW w:w="1535"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82</w:t>
            </w:r>
          </w:p>
        </w:tc>
        <w:tc>
          <w:tcPr>
            <w:tcW w:w="798"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5941"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21</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7" w:type="dxa"/>
            <w:tcBorders/>
            <w:shd w:fill="CCEEFF" w:val="clear"/>
            <w:vAlign w:val="center"/>
          </w:tcPr>
          <w:p>
            <w:pPr>
              <w:pStyle w:val="TableContents"/>
              <w:spacing w:before="0" w:after="0"/>
              <w:ind w:left="0" w:right="0" w:firstLine="30"/>
              <w:rPr/>
            </w:pPr>
            <w:r>
              <w:rPr/>
              <w:t> </w:t>
            </w:r>
          </w:p>
        </w:tc>
        <w:tc>
          <w:tcPr>
            <w:tcW w:w="1535"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w:t>
            </w:r>
          </w:p>
        </w:tc>
        <w:tc>
          <w:tcPr>
            <w:tcW w:w="79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996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Average yield on pawn loan portfolio is calculated as pawn service charge revenues for the period divided by the average pawn loan balance during the period.</w:t>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U.S. &amp; Canada segment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$57.0 million</w:t>
      </w:r>
      <w:r>
        <w:rPr>
          <w:rFonts w:ascii="inherit" w:hAnsi="inherit"/>
          <w:sz w:val="17"/>
        </w:rPr>
        <w:t xml:space="preserve">, or </w:t>
      </w:r>
      <w:r>
        <w:rPr>
          <w:rFonts w:ascii="inherit" w:hAnsi="inherit"/>
          <w:strike w:val="false"/>
          <w:dstrike w:val="false"/>
          <w:color w:val="000000"/>
          <w:sz w:val="17"/>
          <w:u w:val="none"/>
          <w:effect w:val="none"/>
        </w:rPr>
        <w:t>10%</w:t>
      </w:r>
      <w:r>
        <w:rPr>
          <w:rFonts w:ascii="inherit" w:hAnsi="inherit"/>
          <w:sz w:val="17"/>
        </w:rPr>
        <w:t xml:space="preserve">,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$651.9 million</w:t>
      </w:r>
      <w:r>
        <w:rPr>
          <w:rFonts w:ascii="inherit" w:hAnsi="inherit"/>
          <w:sz w:val="17"/>
        </w:rPr>
        <w:t xml:space="preserve">. Same store total revenues stayed relatively constant at $592.9 million. New and acquired stores total revenue for the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was $59.0 million. In the current </w:t>
      </w:r>
      <w:r>
        <w:rPr>
          <w:rFonts w:ascii="inherit" w:hAnsi="inherit"/>
          <w:strike w:val="false"/>
          <w:dstrike w:val="false"/>
          <w:color w:val="000000"/>
          <w:sz w:val="17"/>
          <w:u w:val="none"/>
          <w:effect w:val="none"/>
        </w:rPr>
        <w:t>nine-month period</w:t>
      </w:r>
      <w:r>
        <w:rPr>
          <w:rFonts w:ascii="inherit" w:hAnsi="inherit"/>
          <w:sz w:val="17"/>
        </w:rPr>
        <w:t xml:space="preserve">, we acquired 26 pawn stores, </w:t>
      </w:r>
      <w:r>
        <w:rPr>
          <w:rFonts w:ascii="inherit" w:hAnsi="inherit"/>
          <w:strike w:val="false"/>
          <w:dstrike w:val="false"/>
          <w:color w:val="000000"/>
          <w:sz w:val="17"/>
          <w:u w:val="none"/>
          <w:effect w:val="none"/>
        </w:rPr>
        <w:t>seven</w:t>
      </w:r>
      <w:r>
        <w:rPr>
          <w:sz w:val="17"/>
        </w:rPr>
        <w:t xml:space="preserve"> </w:t>
      </w:r>
      <w:r>
        <w:rPr>
          <w:rFonts w:ascii="inherit" w:hAnsi="inherit"/>
          <w:sz w:val="17"/>
        </w:rPr>
        <w:t xml:space="preserve">retail stores, </w:t>
      </w:r>
      <w:r>
        <w:rPr>
          <w:rFonts w:ascii="inherit" w:hAnsi="inherit"/>
          <w:strike w:val="false"/>
          <w:dstrike w:val="false"/>
          <w:color w:val="000000"/>
          <w:sz w:val="17"/>
          <w:u w:val="none"/>
          <w:effect w:val="none"/>
        </w:rPr>
        <w:t>15</w:t>
      </w:r>
      <w:r>
        <w:rPr>
          <w:sz w:val="17"/>
        </w:rPr>
        <w:t xml:space="preserve"> </w:t>
      </w:r>
      <w:r>
        <w:rPr>
          <w:rFonts w:ascii="inherit" w:hAnsi="inherit"/>
          <w:sz w:val="17"/>
        </w:rPr>
        <w:t xml:space="preserve">financial services stores in the U.S. and </w:t>
      </w:r>
      <w:r>
        <w:rPr>
          <w:rFonts w:ascii="inherit" w:hAnsi="inherit"/>
          <w:strike w:val="false"/>
          <w:dstrike w:val="false"/>
          <w:color w:val="000000"/>
          <w:sz w:val="17"/>
          <w:u w:val="none"/>
          <w:effect w:val="none"/>
        </w:rPr>
        <w:t>one</w:t>
      </w:r>
      <w:r>
        <w:rPr>
          <w:sz w:val="17"/>
        </w:rPr>
        <w:t xml:space="preserve"> </w:t>
      </w:r>
      <w:r>
        <w:rPr>
          <w:rFonts w:ascii="inherit" w:hAnsi="inherit"/>
          <w:sz w:val="17"/>
        </w:rPr>
        <w:t xml:space="preserve">retail store in Canada for $73.4 million. As part of these acquisitions, we began operations in the states of Pennsylvania, Virginia, Hawaii and Minnesota, bringing the total number of states in which we operate at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to 24.</w:t>
      </w:r>
    </w:p>
    <w:p>
      <w:pPr>
        <w:pStyle w:val="TextBody"/>
        <w:spacing w:lineRule="auto" w:line="288" w:before="0" w:after="0"/>
        <w:rPr>
          <w:sz w:val="17"/>
        </w:rPr>
      </w:pPr>
      <w:r>
        <w:rPr>
          <w:rFonts w:ascii="inherit" w:hAnsi="inherit"/>
          <w:sz w:val="17"/>
        </w:rPr>
        <w:t xml:space="preserve">Our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pawn service charge revenue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16%</w:t>
      </w:r>
      <w:r>
        <w:rPr>
          <w:rFonts w:ascii="inherit" w:hAnsi="inherit"/>
          <w:sz w:val="17"/>
        </w:rPr>
        <w:t xml:space="preserve">, or </w:t>
      </w:r>
      <w:r>
        <w:rPr>
          <w:rFonts w:ascii="inherit" w:hAnsi="inherit"/>
          <w:strike w:val="false"/>
          <w:dstrike w:val="false"/>
          <w:color w:val="000000"/>
          <w:sz w:val="17"/>
          <w:u w:val="none"/>
          <w:effect w:val="none"/>
        </w:rPr>
        <w:t>$21.5 million</w:t>
      </w:r>
      <w:r>
        <w:rPr>
          <w:rFonts w:ascii="inherit" w:hAnsi="inherit"/>
          <w:sz w:val="17"/>
        </w:rPr>
        <w:t xml:space="preserve">,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$154.9 million</w:t>
      </w:r>
      <w:r>
        <w:rPr>
          <w:rFonts w:ascii="inherit" w:hAnsi="inherit"/>
          <w:sz w:val="17"/>
        </w:rPr>
        <w:t xml:space="preserve">. Same store pawn service charges increased 10.3 million, or 8%, with new and acquired stores net of closed stores contributing $11.2 million. The same store improvement was due to a 6% increase in average same store pawn loan balance. </w:t>
      </w:r>
    </w:p>
    <w:p>
      <w:pPr>
        <w:pStyle w:val="TextBody"/>
        <w:spacing w:lineRule="auto" w:line="288" w:before="0" w:after="0"/>
        <w:rPr>
          <w:sz w:val="17"/>
        </w:rPr>
      </w:pPr>
      <w:r>
        <w:rPr>
          <w:rFonts w:ascii="inherit" w:hAnsi="inherit"/>
          <w:sz w:val="17"/>
        </w:rPr>
        <w:t xml:space="preserve">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merchandise sales gross profit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$11.1 million</w:t>
      </w:r>
      <w:r>
        <w:rPr>
          <w:rFonts w:ascii="inherit" w:hAnsi="inherit"/>
          <w:sz w:val="17"/>
        </w:rPr>
        <w:t xml:space="preserve">, or </w:t>
      </w:r>
      <w:r>
        <w:rPr>
          <w:rFonts w:ascii="inherit" w:hAnsi="inherit"/>
          <w:strike w:val="false"/>
          <w:dstrike w:val="false"/>
          <w:color w:val="000000"/>
          <w:sz w:val="17"/>
          <w:u w:val="none"/>
          <w:effect w:val="none"/>
        </w:rPr>
        <w:t>13%</w:t>
      </w:r>
      <w:r>
        <w:rPr>
          <w:rFonts w:ascii="inherit" w:hAnsi="inherit"/>
          <w:sz w:val="17"/>
        </w:rPr>
        <w:t xml:space="preserve">, from the prior </w:t>
      </w:r>
      <w:r>
        <w:rPr>
          <w:rFonts w:ascii="inherit" w:hAnsi="inherit"/>
          <w:strike w:val="false"/>
          <w:dstrike w:val="false"/>
          <w:color w:val="000000"/>
          <w:sz w:val="17"/>
          <w:u w:val="none"/>
          <w:effect w:val="none"/>
        </w:rPr>
        <w:t xml:space="preserve">nine-month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52</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trike w:val="false"/>
          <w:dstrike w:val="false"/>
          <w:color w:val="000000"/>
          <w:sz w:val="17"/>
          <w:u w:val="none"/>
          <w:effect w:val="none"/>
        </w:rPr>
        <w:t>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$95.4 million</w:t>
      </w:r>
      <w:r>
        <w:rPr>
          <w:rFonts w:ascii="inherit" w:hAnsi="inherit"/>
          <w:sz w:val="17"/>
        </w:rPr>
        <w:t xml:space="preserve">. This was due to $30.1 million in sales from new and acquired stores net of closed stores, a $0.9 million increase in same store sales, partially offset by a 0.9 percentage point decrease in gross margins. The decrease in gross margins is primarily due to a shift in sales mix from jewelry sales to general merchandise. On a same store basis, general merchandise sales were up </w:t>
      </w:r>
      <w:r>
        <w:rPr>
          <w:rFonts w:ascii="inherit" w:hAnsi="inherit"/>
          <w:strike w:val="false"/>
          <w:dstrike w:val="false"/>
          <w:color w:val="000000"/>
          <w:sz w:val="17"/>
          <w:u w:val="none"/>
          <w:effect w:val="none"/>
        </w:rPr>
        <w:t>8%</w:t>
      </w:r>
      <w:r>
        <w:rPr>
          <w:sz w:val="17"/>
        </w:rPr>
        <w:t xml:space="preserve"> </w:t>
      </w:r>
      <w:r>
        <w:rPr>
          <w:rFonts w:ascii="inherit" w:hAnsi="inherit"/>
          <w:sz w:val="17"/>
        </w:rPr>
        <w:t xml:space="preserve">while jewelry sales were down </w:t>
      </w:r>
      <w:r>
        <w:rPr>
          <w:rFonts w:ascii="inherit" w:hAnsi="inherit"/>
          <w:strike w:val="false"/>
          <w:dstrike w:val="false"/>
          <w:color w:val="000000"/>
          <w:sz w:val="17"/>
          <w:u w:val="none"/>
          <w:effect w:val="none"/>
        </w:rPr>
        <w:t>15%</w:t>
      </w:r>
      <w:r>
        <w:rPr>
          <w:rFonts w:ascii="inherit" w:hAnsi="inherit"/>
          <w:sz w:val="17"/>
        </w:rPr>
        <w:t xml:space="preserve">. </w:t>
      </w:r>
    </w:p>
    <w:p>
      <w:pPr>
        <w:pStyle w:val="TextBody"/>
        <w:spacing w:lineRule="auto" w:line="288" w:before="0" w:after="0"/>
        <w:rPr>
          <w:sz w:val="17"/>
        </w:rPr>
      </w:pPr>
      <w:r>
        <w:rPr>
          <w:rFonts w:ascii="inherit" w:hAnsi="inherit"/>
          <w:sz w:val="17"/>
        </w:rPr>
        <w:t xml:space="preserve">Gross profit on jewelry scrapping sales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$2.0 million</w:t>
      </w:r>
      <w:r>
        <w:rPr>
          <w:rFonts w:ascii="inherit" w:hAnsi="inherit"/>
          <w:sz w:val="17"/>
        </w:rPr>
        <w:t xml:space="preserve">, or </w:t>
      </w:r>
      <w:r>
        <w:rPr>
          <w:rFonts w:ascii="inherit" w:hAnsi="inherit"/>
          <w:strike w:val="false"/>
          <w:dstrike w:val="false"/>
          <w:color w:val="000000"/>
          <w:sz w:val="17"/>
          <w:u w:val="none"/>
          <w:effect w:val="none"/>
        </w:rPr>
        <w:t>4%</w:t>
      </w:r>
      <w:r>
        <w:rPr>
          <w:rFonts w:ascii="inherit" w:hAnsi="inherit"/>
          <w:sz w:val="17"/>
        </w:rPr>
        <w:t xml:space="preserve">,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$52.6 million</w:t>
      </w:r>
      <w:r>
        <w:rPr>
          <w:rFonts w:ascii="inherit" w:hAnsi="inherit"/>
          <w:sz w:val="17"/>
        </w:rPr>
        <w:t xml:space="preserve">. Jewelry scrapping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$1.7 million</w:t>
      </w:r>
      <w:r>
        <w:rPr>
          <w:rFonts w:ascii="inherit" w:hAnsi="inherit"/>
          <w:sz w:val="17"/>
        </w:rPr>
        <w:t xml:space="preserve">, or </w:t>
      </w:r>
      <w:r>
        <w:rPr>
          <w:rFonts w:ascii="inherit" w:hAnsi="inherit"/>
          <w:strike w:val="false"/>
          <w:dstrike w:val="false"/>
          <w:color w:val="000000"/>
          <w:sz w:val="17"/>
          <w:u w:val="none"/>
          <w:effect w:val="none"/>
        </w:rPr>
        <w:t>1%</w:t>
      </w:r>
      <w:r>
        <w:rPr>
          <w:rFonts w:ascii="inherit" w:hAnsi="inherit"/>
          <w:sz w:val="17"/>
        </w:rPr>
        <w:t xml:space="preserve">, due to an 18% increase in proceeds realized per gram of gold jewelry scrapped mostly offset by a 17% decrease in gold volume. Same store jewelry scrapping sales decreased $11.6 million, or 8%, and new and acquired stores contributed $13.1 million. Jewelry scrapping sales include the sale of approximately $7.8 million of loose diamonds removed from scrap jewelry in the current period and $4.0 million in the prior year period. The increase in cost per gram was mostly offset by the decrease in volume, and as a result scrap cost of goods remained relatively constant at </w:t>
      </w:r>
      <w:r>
        <w:rPr>
          <w:rFonts w:ascii="inherit" w:hAnsi="inherit"/>
          <w:strike w:val="false"/>
          <w:dstrike w:val="false"/>
          <w:color w:val="000000"/>
          <w:sz w:val="17"/>
          <w:u w:val="none"/>
          <w:effect w:val="none"/>
        </w:rPr>
        <w:t>$87.1 million</w:t>
      </w:r>
      <w:r>
        <w:rPr>
          <w:rFonts w:ascii="inherit" w:hAnsi="inherit"/>
          <w:sz w:val="17"/>
        </w:rPr>
        <w:t xml:space="preserve">. </w:t>
      </w:r>
    </w:p>
    <w:p>
      <w:pPr>
        <w:pStyle w:val="TextBody"/>
        <w:spacing w:lineRule="auto" w:line="288" w:before="0" w:after="0"/>
        <w:rPr>
          <w:sz w:val="17"/>
        </w:rPr>
      </w:pPr>
      <w:r>
        <w:rPr>
          <w:rFonts w:ascii="inherit" w:hAnsi="inherit"/>
          <w:sz w:val="17"/>
        </w:rPr>
        <w:t xml:space="preserve">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consumer loan fees increased </w:t>
      </w:r>
      <w:r>
        <w:rPr>
          <w:rFonts w:ascii="inherit" w:hAnsi="inherit"/>
          <w:strike w:val="false"/>
          <w:dstrike w:val="false"/>
          <w:color w:val="000000"/>
          <w:sz w:val="17"/>
          <w:u w:val="none"/>
          <w:effect w:val="none"/>
        </w:rPr>
        <w:t>$1.4 million</w:t>
      </w:r>
      <w:r>
        <w:rPr>
          <w:rFonts w:ascii="inherit" w:hAnsi="inherit"/>
          <w:sz w:val="17"/>
        </w:rPr>
        <w:t xml:space="preserve">, or </w:t>
      </w:r>
      <w:r>
        <w:rPr>
          <w:rFonts w:ascii="inherit" w:hAnsi="inherit"/>
          <w:strike w:val="false"/>
          <w:dstrike w:val="false"/>
          <w:color w:val="000000"/>
          <w:sz w:val="17"/>
          <w:u w:val="none"/>
          <w:effect w:val="none"/>
        </w:rPr>
        <w:t>1%</w:t>
      </w:r>
      <w:r>
        <w:rPr>
          <w:rFonts w:ascii="inherit" w:hAnsi="inherit"/>
          <w:sz w:val="17"/>
        </w:rPr>
        <w:t xml:space="preserve">. Same store consumer loan fees remained relatively constant at $122.5 million, and consumer loan fees from new and acquired stores were $4.6 million. Consumer loan bad debt as a percentage of fees decreased </w:t>
      </w:r>
      <w:r>
        <w:rPr>
          <w:rFonts w:ascii="inherit" w:hAnsi="inherit"/>
          <w:strike w:val="false"/>
          <w:dstrike w:val="false"/>
          <w:color w:val="000000"/>
          <w:sz w:val="17"/>
          <w:u w:val="none"/>
          <w:effect w:val="none"/>
        </w:rPr>
        <w:t>1.6</w:t>
      </w:r>
      <w:r>
        <w:rPr>
          <w:sz w:val="17"/>
        </w:rPr>
        <w:t xml:space="preserve">  </w:t>
      </w:r>
      <w:r>
        <w:rPr>
          <w:rFonts w:ascii="inherit" w:hAnsi="inherit"/>
          <w:sz w:val="17"/>
        </w:rPr>
        <w:t xml:space="preserve">percentage points to </w:t>
      </w:r>
      <w:r>
        <w:rPr>
          <w:rFonts w:ascii="inherit" w:hAnsi="inherit"/>
          <w:strike w:val="false"/>
          <w:dstrike w:val="false"/>
          <w:color w:val="000000"/>
          <w:sz w:val="17"/>
          <w:u w:val="none"/>
          <w:effect w:val="none"/>
        </w:rPr>
        <w:t>21%</w:t>
      </w:r>
      <w:r>
        <w:rPr>
          <w:rFonts w:ascii="inherit" w:hAnsi="inherit"/>
          <w:sz w:val="17"/>
        </w:rPr>
        <w:t>.</w:t>
      </w:r>
    </w:p>
    <w:p>
      <w:pPr>
        <w:pStyle w:val="TextBody"/>
        <w:spacing w:lineRule="auto" w:line="288" w:before="0" w:after="0"/>
        <w:rPr>
          <w:sz w:val="17"/>
        </w:rPr>
      </w:pPr>
      <w:r>
        <w:rPr>
          <w:rFonts w:ascii="inherit" w:hAnsi="inherit"/>
          <w:sz w:val="17"/>
        </w:rPr>
        <w:t xml:space="preserve">Total segment operations expense </w:t>
      </w:r>
      <w:r>
        <w:rPr>
          <w:rFonts w:ascii="inherit" w:hAnsi="inherit"/>
          <w:strike w:val="false"/>
          <w:dstrike w:val="false"/>
          <w:color w:val="000000"/>
          <w:sz w:val="17"/>
          <w:u w:val="none"/>
          <w:effect w:val="none"/>
        </w:rPr>
        <w:t>increased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$231.8 million</w:t>
      </w:r>
      <w:r>
        <w:rPr>
          <w:sz w:val="17"/>
        </w:rPr>
        <w:t xml:space="preserve"> </w:t>
      </w:r>
      <w:r>
        <w:rPr>
          <w:rFonts w:ascii="inherit" w:hAnsi="inherit"/>
          <w:sz w:val="17"/>
        </w:rPr>
        <w:t>(</w:t>
      </w:r>
      <w:r>
        <w:rPr>
          <w:rFonts w:ascii="inherit" w:hAnsi="inherit"/>
          <w:strike w:val="false"/>
          <w:dstrike w:val="false"/>
          <w:color w:val="000000"/>
          <w:sz w:val="17"/>
          <w:u w:val="none"/>
          <w:effect w:val="none"/>
        </w:rPr>
        <w:t>36%</w:t>
      </w:r>
      <w:r>
        <w:rPr>
          <w:sz w:val="17"/>
        </w:rPr>
        <w:t xml:space="preserve"> </w:t>
      </w:r>
      <w:r>
        <w:rPr>
          <w:rFonts w:ascii="inherit" w:hAnsi="inherit"/>
          <w:sz w:val="17"/>
        </w:rPr>
        <w:t xml:space="preserve">of revenues) 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$205.4 million</w:t>
      </w:r>
      <w:r>
        <w:rPr>
          <w:sz w:val="17"/>
        </w:rPr>
        <w:t xml:space="preserve"> </w:t>
      </w:r>
      <w:r>
        <w:rPr>
          <w:rFonts w:ascii="inherit" w:hAnsi="inherit"/>
          <w:sz w:val="17"/>
        </w:rPr>
        <w:t>(</w:t>
      </w:r>
      <w:r>
        <w:rPr>
          <w:rFonts w:ascii="inherit" w:hAnsi="inherit"/>
          <w:strike w:val="false"/>
          <w:dstrike w:val="false"/>
          <w:color w:val="000000"/>
          <w:sz w:val="17"/>
          <w:u w:val="none"/>
          <w:effect w:val="none"/>
        </w:rPr>
        <w:t>35%</w:t>
      </w:r>
      <w:r>
        <w:rPr>
          <w:sz w:val="17"/>
        </w:rPr>
        <w:t xml:space="preserve"> </w:t>
      </w:r>
      <w:r>
        <w:rPr>
          <w:rFonts w:ascii="inherit" w:hAnsi="inherit"/>
          <w:sz w:val="17"/>
        </w:rPr>
        <w:t xml:space="preserve">of revenues) in the prior </w:t>
      </w:r>
      <w:r>
        <w:rPr>
          <w:rFonts w:ascii="inherit" w:hAnsi="inherit"/>
          <w:strike w:val="false"/>
          <w:dstrike w:val="false"/>
          <w:color w:val="000000"/>
          <w:sz w:val="17"/>
          <w:u w:val="none"/>
          <w:effect w:val="none"/>
        </w:rPr>
        <w:t>nine-month period</w:t>
      </w:r>
      <w:r>
        <w:rPr>
          <w:rFonts w:ascii="inherit" w:hAnsi="inherit"/>
          <w:sz w:val="17"/>
        </w:rPr>
        <w:t xml:space="preserve">. The dollar increase was due to an </w:t>
      </w:r>
      <w:r>
        <w:rPr>
          <w:rFonts w:ascii="inherit" w:hAnsi="inherit"/>
          <w:strike w:val="false"/>
          <w:dstrike w:val="false"/>
          <w:color w:val="000000"/>
          <w:sz w:val="17"/>
          <w:u w:val="none"/>
          <w:effect w:val="none"/>
        </w:rPr>
        <w:t>11%</w:t>
      </w:r>
      <w:r>
        <w:rPr>
          <w:rFonts w:ascii="inherit" w:hAnsi="inherit"/>
          <w:sz w:val="17"/>
        </w:rPr>
        <w:t xml:space="preserve">, or </w:t>
      </w:r>
      <w:r>
        <w:rPr>
          <w:rFonts w:ascii="inherit" w:hAnsi="inherit"/>
          <w:strike w:val="false"/>
          <w:dstrike w:val="false"/>
          <w:color w:val="000000"/>
          <w:sz w:val="17"/>
          <w:u w:val="none"/>
          <w:effect w:val="none"/>
        </w:rPr>
        <w:t>$20.4 million</w:t>
      </w:r>
      <w:r>
        <w:rPr>
          <w:rFonts w:ascii="inherit" w:hAnsi="inherit"/>
          <w:sz w:val="17"/>
        </w:rPr>
        <w:t xml:space="preserve">, increase in store operations expenses due to operating costs resulting from new and acquired stores, a </w:t>
      </w:r>
      <w:r>
        <w:rPr>
          <w:rFonts w:ascii="inherit" w:hAnsi="inherit"/>
          <w:strike w:val="false"/>
          <w:dstrike w:val="false"/>
          <w:color w:val="000000"/>
          <w:sz w:val="17"/>
          <w:u w:val="none"/>
          <w:effect w:val="none"/>
        </w:rPr>
        <w:t>27%</w:t>
      </w:r>
      <w:r>
        <w:rPr>
          <w:rFonts w:ascii="inherit" w:hAnsi="inherit"/>
          <w:sz w:val="17"/>
        </w:rPr>
        <w:t xml:space="preserve">, or </w:t>
      </w:r>
      <w:r>
        <w:rPr>
          <w:rFonts w:ascii="inherit" w:hAnsi="inherit"/>
          <w:strike w:val="false"/>
          <w:dstrike w:val="false"/>
          <w:color w:val="000000"/>
          <w:sz w:val="17"/>
          <w:u w:val="none"/>
          <w:effect w:val="none"/>
        </w:rPr>
        <w:t>$3.7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administrative expenses from the prior year period to </w:t>
      </w:r>
      <w:r>
        <w:rPr>
          <w:rFonts w:ascii="inherit" w:hAnsi="inherit"/>
          <w:strike w:val="false"/>
          <w:dstrike w:val="false"/>
          <w:color w:val="000000"/>
          <w:sz w:val="17"/>
          <w:u w:val="none"/>
          <w:effect w:val="none"/>
        </w:rPr>
        <w:t>$17.8 million</w:t>
      </w:r>
      <w:r>
        <w:rPr>
          <w:sz w:val="17"/>
        </w:rPr>
        <w:t xml:space="preserve"> </w:t>
      </w:r>
      <w:r>
        <w:rPr>
          <w:rFonts w:ascii="inherit" w:hAnsi="inherit"/>
          <w:sz w:val="17"/>
        </w:rPr>
        <w:t xml:space="preserve">mainly due to increased labor, benefits and additional investments made in infrastructure to support our growth, a </w:t>
      </w:r>
      <w:r>
        <w:rPr>
          <w:rFonts w:ascii="inherit" w:hAnsi="inherit"/>
          <w:strike w:val="false"/>
          <w:dstrike w:val="false"/>
          <w:color w:val="000000"/>
          <w:sz w:val="17"/>
          <w:u w:val="none"/>
          <w:effect w:val="none"/>
        </w:rPr>
        <w:t>23%</w:t>
      </w:r>
      <w:r>
        <w:rPr>
          <w:rFonts w:ascii="inherit" w:hAnsi="inherit"/>
          <w:sz w:val="17"/>
        </w:rPr>
        <w:t xml:space="preserve">, or </w:t>
      </w:r>
      <w:r>
        <w:rPr>
          <w:rFonts w:ascii="inherit" w:hAnsi="inherit"/>
          <w:strike w:val="false"/>
          <w:dstrike w:val="false"/>
          <w:color w:val="000000"/>
          <w:sz w:val="17"/>
          <w:u w:val="none"/>
          <w:effect w:val="none"/>
        </w:rPr>
        <w:t>$2.0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depreciation and amortization from the prior year period to </w:t>
      </w:r>
      <w:r>
        <w:rPr>
          <w:rFonts w:ascii="inherit" w:hAnsi="inherit"/>
          <w:strike w:val="false"/>
          <w:dstrike w:val="false"/>
          <w:color w:val="000000"/>
          <w:sz w:val="17"/>
          <w:u w:val="none"/>
          <w:effect w:val="none"/>
        </w:rPr>
        <w:t>$10.5 million</w:t>
      </w:r>
      <w:r>
        <w:rPr>
          <w:rFonts w:ascii="inherit" w:hAnsi="inherit"/>
          <w:sz w:val="17"/>
        </w:rPr>
        <w:t xml:space="preserve">, mainly due to assets placed in service at new and acquired stores, and </w:t>
      </w:r>
      <w:r>
        <w:rPr>
          <w:rFonts w:ascii="inherit" w:hAnsi="inherit"/>
          <w:strike w:val="false"/>
          <w:dstrike w:val="false"/>
          <w:color w:val="000000"/>
          <w:sz w:val="17"/>
          <w:u w:val="none"/>
          <w:effect w:val="none"/>
        </w:rPr>
        <w:t>$0.3 million</w:t>
      </w:r>
      <w:r>
        <w:rPr>
          <w:sz w:val="17"/>
        </w:rPr>
        <w:t xml:space="preserve">  </w:t>
      </w:r>
      <w:r>
        <w:rPr>
          <w:rFonts w:ascii="inherit" w:hAnsi="inherit"/>
          <w:sz w:val="17"/>
        </w:rPr>
        <w:t>increase in other expenses.</w:t>
      </w:r>
    </w:p>
    <w:p>
      <w:pPr>
        <w:pStyle w:val="TextBody"/>
        <w:spacing w:lineRule="auto" w:line="288" w:before="0" w:after="0"/>
        <w:rPr>
          <w:sz w:val="17"/>
        </w:rPr>
      </w:pPr>
      <w:r>
        <w:rPr>
          <w:rFonts w:ascii="inherit" w:hAnsi="inherit"/>
          <w:sz w:val="17"/>
        </w:rPr>
        <w:t xml:space="preserve">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U.S. &amp; Canada delivered a segment contribution of </w:t>
      </w:r>
      <w:r>
        <w:rPr>
          <w:rFonts w:ascii="inherit" w:hAnsi="inherit"/>
          <w:strike w:val="false"/>
          <w:dstrike w:val="false"/>
          <w:color w:val="000000"/>
          <w:sz w:val="17"/>
          <w:u w:val="none"/>
          <w:effect w:val="none"/>
        </w:rPr>
        <w:t>$174.4 million</w:t>
      </w:r>
      <w:r>
        <w:rPr>
          <w:rFonts w:ascii="inherit" w:hAnsi="inherit"/>
          <w:sz w:val="17"/>
        </w:rPr>
        <w:t xml:space="preserve">, a </w:t>
      </w:r>
      <w:r>
        <w:rPr>
          <w:rFonts w:ascii="inherit" w:hAnsi="inherit"/>
          <w:strike w:val="false"/>
          <w:dstrike w:val="false"/>
          <w:color w:val="000000"/>
          <w:sz w:val="17"/>
          <w:u w:val="none"/>
          <w:effect w:val="none"/>
        </w:rPr>
        <w:t>$12.7 million</w:t>
      </w:r>
      <w:r>
        <w:rPr>
          <w:sz w:val="17"/>
        </w:rPr>
        <w:t xml:space="preserve"> </w:t>
      </w:r>
      <w:r>
        <w:rPr>
          <w:rFonts w:ascii="inherit" w:hAnsi="inherit"/>
          <w:sz w:val="17"/>
        </w:rPr>
        <w:t xml:space="preserve">increase compared to the prior </w:t>
      </w:r>
      <w:r>
        <w:rPr>
          <w:rFonts w:ascii="inherit" w:hAnsi="inherit"/>
          <w:strike w:val="false"/>
          <w:dstrike w:val="false"/>
          <w:color w:val="000000"/>
          <w:sz w:val="17"/>
          <w:u w:val="none"/>
          <w:effect w:val="none"/>
        </w:rPr>
        <w:t>nine-month period</w:t>
      </w:r>
      <w:r>
        <w:rPr>
          <w:rFonts w:ascii="inherit" w:hAnsi="inherit"/>
          <w:sz w:val="17"/>
        </w:rPr>
        <w:t xml:space="preserve">. While have experienced some challenges related to jewelry merchandise sales and gold scrap sales, other elements of the business have continued to show strength, offsetting to a large extent, the challenges in the gold and jewelry environment.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53</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Latin America</w:t>
      </w:r>
    </w:p>
    <w:p>
      <w:pPr>
        <w:pStyle w:val="TextBody"/>
        <w:spacing w:lineRule="auto" w:line="288" w:before="0" w:after="0"/>
        <w:rPr>
          <w:rFonts w:ascii="inherit" w:hAnsi="inherit"/>
          <w:sz w:val="17"/>
        </w:rPr>
      </w:pPr>
      <w:r>
        <w:rPr>
          <w:rFonts w:ascii="inherit" w:hAnsi="inherit"/>
          <w:sz w:val="17"/>
        </w:rPr>
        <w:t>The following table presents selected financial data for the Latin America segment after translation to U.S. dollars from its functional currency of the Mexican peso:</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186"/>
        <w:gridCol w:w="181"/>
        <w:gridCol w:w="1288"/>
        <w:gridCol w:w="249"/>
        <w:gridCol w:w="149"/>
        <w:gridCol w:w="181"/>
        <w:gridCol w:w="1288"/>
        <w:gridCol w:w="68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186"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288"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186" w:type="dxa"/>
            <w:tcBorders/>
            <w:shd w:fill="auto" w:val="clear"/>
            <w:vAlign w:val="center"/>
          </w:tcPr>
          <w:p>
            <w:pPr>
              <w:pStyle w:val="TableContents"/>
              <w:spacing w:before="0" w:after="0"/>
              <w:ind w:left="0" w:right="0" w:firstLine="30"/>
              <w:jc w:val="left"/>
              <w:rPr/>
            </w:pPr>
            <w:r>
              <w:rPr/>
              <w:t> </w:t>
            </w:r>
          </w:p>
        </w:tc>
        <w:tc>
          <w:tcPr>
            <w:tcW w:w="4019"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186" w:type="dxa"/>
            <w:tcBorders/>
            <w:shd w:fill="auto" w:val="clear"/>
            <w:vAlign w:val="center"/>
          </w:tcPr>
          <w:p>
            <w:pPr>
              <w:pStyle w:val="TableContents"/>
              <w:spacing w:before="0" w:after="0"/>
              <w:ind w:left="0" w:right="0" w:firstLine="30"/>
              <w:jc w:val="left"/>
              <w:rPr/>
            </w:pPr>
            <w:r>
              <w:rPr/>
              <w:t> </w:t>
            </w:r>
          </w:p>
        </w:tc>
        <w:tc>
          <w:tcPr>
            <w:tcW w:w="1718"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152"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186" w:type="dxa"/>
            <w:tcBorders/>
            <w:shd w:fill="auto" w:val="clear"/>
            <w:vAlign w:val="center"/>
          </w:tcPr>
          <w:p>
            <w:pPr>
              <w:pStyle w:val="TableContents"/>
              <w:spacing w:before="0" w:after="0"/>
              <w:ind w:left="0" w:right="0" w:firstLine="30"/>
              <w:jc w:val="left"/>
              <w:rPr/>
            </w:pPr>
            <w:r>
              <w:rPr/>
              <w:t> </w:t>
            </w:r>
          </w:p>
        </w:tc>
        <w:tc>
          <w:tcPr>
            <w:tcW w:w="4019"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sales</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rFonts w:ascii="inherit" w:hAnsi="inherit"/>
                <w:sz w:val="17"/>
              </w:rPr>
            </w:pPr>
            <w:r>
              <w:rPr>
                <w:rFonts w:ascii="inherit" w:hAnsi="inherit"/>
                <w:sz w:val="17"/>
              </w:rPr>
              <w:t>30,000</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CCEEFF" w:val="clear"/>
            <w:vAlign w:val="center"/>
          </w:tcPr>
          <w:p>
            <w:pPr>
              <w:pStyle w:val="TableContents"/>
              <w:spacing w:before="0" w:after="0"/>
              <w:jc w:val="right"/>
              <w:rPr>
                <w:rFonts w:ascii="inherit" w:hAnsi="inherit"/>
                <w:sz w:val="17"/>
              </w:rPr>
            </w:pPr>
            <w:r>
              <w:rPr>
                <w:rFonts w:ascii="inherit" w:hAnsi="inherit"/>
                <w:sz w:val="17"/>
              </w:rPr>
              <w:t>17,329</w:t>
            </w:r>
          </w:p>
        </w:tc>
        <w:tc>
          <w:tcPr>
            <w:tcW w:w="6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sales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11,816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11,363</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Pawn service charges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17,545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11,589</w:t>
            </w:r>
          </w:p>
        </w:tc>
        <w:tc>
          <w:tcPr>
            <w:tcW w:w="6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17,764</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pPr>
            <w:r>
              <w:rPr/>
              <w:t>—</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Other revenues</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802</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34</w:t>
            </w:r>
          </w:p>
        </w:tc>
        <w:tc>
          <w:tcPr>
            <w:tcW w:w="683"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77,927</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40,315</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Merchandise cost of goods sold</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16,061</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10,036</w:t>
            </w:r>
          </w:p>
        </w:tc>
        <w:tc>
          <w:tcPr>
            <w:tcW w:w="68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Jewelry scrapping cost of goods sold</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8,831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9,201</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1,140</w:t>
            </w:r>
          </w:p>
        </w:tc>
        <w:tc>
          <w:tcPr>
            <w:tcW w:w="249" w:type="dxa"/>
            <w:tcBorders>
              <w:bottom w:val="single" w:sz="2"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bottom w:val="single" w:sz="2" w:space="0" w:color="000000"/>
            </w:tcBorders>
            <w:shd w:fill="CCEEFF" w:val="clear"/>
            <w:tcMar>
              <w:bottom w:w="30" w:type="dxa"/>
            </w:tcMar>
            <w:vAlign w:val="center"/>
          </w:tcPr>
          <w:p>
            <w:pPr>
              <w:pStyle w:val="TableContents"/>
              <w:spacing w:before="0" w:after="0"/>
              <w:jc w:val="right"/>
              <w:rPr/>
            </w:pPr>
            <w:r>
              <w:rPr/>
              <w:t>—</w:t>
            </w:r>
          </w:p>
        </w:tc>
        <w:tc>
          <w:tcPr>
            <w:tcW w:w="683" w:type="dxa"/>
            <w:tcBorders>
              <w:bottom w:val="single" w:sz="2" w:space="0" w:color="000000"/>
            </w:tcBorders>
            <w:shd w:fill="CCEEFF"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51,895</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21,078</w:t>
            </w:r>
          </w:p>
        </w:tc>
        <w:tc>
          <w:tcPr>
            <w:tcW w:w="6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718" w:type="dxa"/>
            <w:gridSpan w:val="3"/>
            <w:tcBorders/>
            <w:shd w:fill="CCEEFF" w:val="clear"/>
            <w:vAlign w:val="center"/>
          </w:tcPr>
          <w:p>
            <w:pPr>
              <w:pStyle w:val="TableContents"/>
              <w:spacing w:before="0" w:after="0"/>
              <w:ind w:left="0" w:right="0" w:firstLine="30"/>
              <w:rPr/>
            </w:pPr>
            <w:r>
              <w:rPr/>
              <w:t> </w:t>
            </w:r>
          </w:p>
        </w:tc>
        <w:tc>
          <w:tcPr>
            <w:tcW w:w="149" w:type="dxa"/>
            <w:tcBorders/>
            <w:shd w:fill="CCEEFF" w:val="clear"/>
            <w:vAlign w:val="center"/>
          </w:tcPr>
          <w:p>
            <w:pPr>
              <w:pStyle w:val="TableContents"/>
              <w:spacing w:before="0" w:after="0"/>
              <w:ind w:left="0" w:right="0" w:firstLine="30"/>
              <w:rPr/>
            </w:pPr>
            <w:r>
              <w:rPr/>
              <w:t> </w:t>
            </w:r>
          </w:p>
        </w:tc>
        <w:tc>
          <w:tcPr>
            <w:tcW w:w="2152" w:type="dxa"/>
            <w:gridSpan w:val="3"/>
            <w:tcBorders/>
            <w:shd w:fill="CCEEFF" w:val="clear"/>
            <w:vAlign w:val="center"/>
          </w:tcPr>
          <w:p>
            <w:pPr>
              <w:pStyle w:val="TableContents"/>
              <w:spacing w:before="0" w:after="0"/>
              <w:ind w:left="0" w:right="0" w:firstLine="420"/>
              <w:rPr/>
            </w:pPr>
            <w:r>
              <w:rPr/>
              <w:t> </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23,001</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14,533</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9,964</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3,030</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2,576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1,723</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2,651</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301</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(Gain)/loss on sale or disposal of assets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13</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1,755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249"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3</w:t>
            </w:r>
          </w:p>
        </w:tc>
        <w:tc>
          <w:tcPr>
            <w:tcW w:w="68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1"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top w:val="single" w:sz="2" w:space="0" w:color="000000"/>
              <w:bottom w:val="double" w:sz="6" w:space="0" w:color="000000"/>
            </w:tcBorders>
            <w:shd w:fill="CCEEFF" w:val="clear"/>
            <w:tcMar>
              <w:top w:w="30" w:type="dxa"/>
              <w:bottom w:w="30" w:type="dxa"/>
            </w:tcMar>
            <w:vAlign w:val="center"/>
          </w:tcPr>
          <w:p>
            <w:pPr>
              <w:pStyle w:val="TableContents"/>
              <w:spacing w:before="0" w:after="0"/>
              <w:jc w:val="right"/>
              <w:rPr>
                <w:rFonts w:ascii="inherit" w:hAnsi="inherit"/>
                <w:sz w:val="17"/>
              </w:rPr>
            </w:pPr>
            <w:r>
              <w:rPr>
                <w:rFonts w:ascii="inherit" w:hAnsi="inherit"/>
                <w:sz w:val="17"/>
              </w:rPr>
              <w:t>11,948</w:t>
            </w:r>
          </w:p>
        </w:tc>
        <w:tc>
          <w:tcPr>
            <w:tcW w:w="249" w:type="dxa"/>
            <w:tcBorders>
              <w:top w:val="single" w:sz="2" w:space="0" w:color="000000"/>
              <w:bottom w:val="double" w:sz="6" w:space="0" w:color="000000"/>
            </w:tcBorders>
            <w:shd w:fill="CCEEFF" w:val="clear"/>
            <w:tcMar>
              <w:top w:w="28" w:type="dxa"/>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1"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1,471</w:t>
            </w:r>
          </w:p>
        </w:tc>
        <w:tc>
          <w:tcPr>
            <w:tcW w:w="68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18"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152" w:type="dxa"/>
            <w:gridSpan w:val="3"/>
            <w:tcBorders/>
            <w:shd w:fill="auto" w:val="clear"/>
            <w:vAlign w:val="center"/>
          </w:tcPr>
          <w:p>
            <w:pPr>
              <w:pStyle w:val="TableContents"/>
              <w:spacing w:before="0" w:after="0"/>
              <w:ind w:left="0" w:right="0" w:firstLine="420"/>
              <w:rPr/>
            </w:pPr>
            <w:r>
              <w:rPr/>
              <w:t> </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merchandise sales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46.5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42.1</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jewelry scrapping sales</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25.3</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19.0</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Gross margin on total sales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40.5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33.0</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Average pawn loan balance per pawn store at period end</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auto" w:val="clear"/>
            <w:vAlign w:val="center"/>
          </w:tcPr>
          <w:p>
            <w:pPr>
              <w:pStyle w:val="TableContents"/>
              <w:spacing w:before="0" w:after="0"/>
              <w:jc w:val="right"/>
              <w:rPr>
                <w:rFonts w:ascii="inherit" w:hAnsi="inherit"/>
                <w:sz w:val="17"/>
              </w:rPr>
            </w:pPr>
            <w:r>
              <w:rPr>
                <w:rFonts w:ascii="inherit" w:hAnsi="inherit"/>
                <w:sz w:val="17"/>
              </w:rPr>
              <w:t>60</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81" w:type="dxa"/>
            <w:tcBorders/>
            <w:shd w:fill="auto" w:val="clear"/>
            <w:vAlign w:val="center"/>
          </w:tcPr>
          <w:p>
            <w:pPr>
              <w:pStyle w:val="TableContents"/>
              <w:spacing w:before="0" w:after="0"/>
              <w:jc w:val="left"/>
              <w:rPr>
                <w:rFonts w:ascii="inherit" w:hAnsi="inherit"/>
                <w:sz w:val="17"/>
              </w:rPr>
            </w:pPr>
            <w:r>
              <w:rPr>
                <w:rFonts w:ascii="inherit" w:hAnsi="inherit"/>
                <w:sz w:val="17"/>
              </w:rPr>
              <w:t>$</w:t>
            </w:r>
          </w:p>
        </w:tc>
        <w:tc>
          <w:tcPr>
            <w:tcW w:w="1288" w:type="dxa"/>
            <w:tcBorders/>
            <w:shd w:fill="auto" w:val="clear"/>
            <w:vAlign w:val="center"/>
          </w:tcPr>
          <w:p>
            <w:pPr>
              <w:pStyle w:val="TableContents"/>
              <w:spacing w:before="0" w:after="0"/>
              <w:jc w:val="right"/>
              <w:rPr>
                <w:rFonts w:ascii="inherit" w:hAnsi="inherit"/>
                <w:sz w:val="17"/>
              </w:rPr>
            </w:pPr>
            <w:r>
              <w:rPr>
                <w:rFonts w:ascii="inherit" w:hAnsi="inherit"/>
                <w:sz w:val="17"/>
              </w:rPr>
              <w:t>63</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Average yield on pawn loan portfolio (a)</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195</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184</w:t>
            </w:r>
          </w:p>
        </w:tc>
        <w:tc>
          <w:tcPr>
            <w:tcW w:w="68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Pawn loan redemption rate</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76</w:t>
            </w:r>
          </w:p>
        </w:tc>
        <w:tc>
          <w:tcPr>
            <w:tcW w:w="24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9"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73</w:t>
            </w:r>
          </w:p>
        </w:tc>
        <w:tc>
          <w:tcPr>
            <w:tcW w:w="683"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186"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percentage of consumer loan fees</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6</w:t>
            </w:r>
          </w:p>
        </w:tc>
        <w:tc>
          <w:tcPr>
            <w:tcW w:w="249"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9"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683"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43"/>
        <w:gridCol w:w="9962"/>
      </w:tblGrid>
      <w:tr>
        <w:trPr/>
        <w:tc>
          <w:tcPr>
            <w:tcW w:w="243" w:type="dxa"/>
            <w:tcBorders/>
            <w:shd w:fill="auto" w:val="clear"/>
            <w:vAlign w:val="center"/>
          </w:tcPr>
          <w:p>
            <w:pPr>
              <w:pStyle w:val="TableContents"/>
              <w:spacing w:before="0" w:after="283"/>
              <w:rPr>
                <w:sz w:val="4"/>
                <w:szCs w:val="4"/>
              </w:rPr>
            </w:pPr>
            <w:r>
              <w:rPr>
                <w:sz w:val="4"/>
                <w:szCs w:val="4"/>
              </w:rPr>
            </w:r>
          </w:p>
        </w:tc>
        <w:tc>
          <w:tcPr>
            <w:tcW w:w="9962" w:type="dxa"/>
            <w:tcBorders/>
            <w:shd w:fill="auto" w:val="clear"/>
            <w:vAlign w:val="center"/>
          </w:tcPr>
          <w:p>
            <w:pPr>
              <w:pStyle w:val="TableContents"/>
              <w:spacing w:before="0" w:after="283"/>
              <w:rPr>
                <w:sz w:val="4"/>
                <w:szCs w:val="4"/>
              </w:rPr>
            </w:pPr>
            <w:r>
              <w:rPr>
                <w:sz w:val="4"/>
                <w:szCs w:val="4"/>
              </w:rPr>
            </w:r>
          </w:p>
        </w:tc>
      </w:tr>
      <w:tr>
        <w:trPr/>
        <w:tc>
          <w:tcPr>
            <w:tcW w:w="243" w:type="dxa"/>
            <w:tcBorders/>
            <w:shd w:fill="auto" w:val="clear"/>
            <w:vAlign w:val="center"/>
          </w:tcPr>
          <w:p>
            <w:pPr>
              <w:pStyle w:val="TableContents"/>
              <w:spacing w:lineRule="auto" w:line="288" w:before="0" w:after="0"/>
              <w:ind w:left="0" w:right="0" w:hanging="0"/>
              <w:rPr>
                <w:rFonts w:ascii="inherit" w:hAnsi="inherit"/>
                <w:sz w:val="17"/>
              </w:rPr>
            </w:pPr>
            <w:r>
              <w:rPr>
                <w:rFonts w:ascii="inherit" w:hAnsi="inherit"/>
                <w:sz w:val="17"/>
              </w:rPr>
              <w:t>(a)</w:t>
            </w:r>
          </w:p>
        </w:tc>
        <w:tc>
          <w:tcPr>
            <w:tcW w:w="9962"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Average yield on pawn loan portfolio is calculated as pawn service charge revenues for the period divided by the average pawn loan balance during the period.</w:t>
            </w:r>
          </w:p>
        </w:tc>
      </w:tr>
    </w:tbl>
    <w:p>
      <w:pPr>
        <w:pStyle w:val="TextBody"/>
        <w:spacing w:lineRule="auto" w:line="288" w:before="0" w:after="0"/>
        <w:rPr>
          <w:sz w:val="17"/>
        </w:rPr>
      </w:pPr>
      <w:r>
        <w:rPr>
          <w:rFonts w:ascii="inherit" w:hAnsi="inherit"/>
          <w:sz w:val="17"/>
        </w:rPr>
        <w:t xml:space="preserve">The average exchange rate used to translate Latin America’s results from Mexican pesos to U.S. dollars was </w:t>
      </w:r>
      <w:r>
        <w:rPr>
          <w:rFonts w:ascii="inherit" w:hAnsi="inherit"/>
          <w:strike w:val="false"/>
          <w:dstrike w:val="false"/>
          <w:color w:val="000000"/>
          <w:sz w:val="17"/>
          <w:u w:val="none"/>
          <w:effect w:val="none"/>
        </w:rPr>
        <w:t>13.4</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w:t>
      </w:r>
      <w:r>
        <w:rPr>
          <w:rFonts w:ascii="inherit" w:hAnsi="inherit"/>
          <w:sz w:val="17"/>
        </w:rPr>
        <w:t xml:space="preserve">, </w:t>
      </w:r>
      <w:r>
        <w:rPr>
          <w:rFonts w:ascii="inherit" w:hAnsi="inherit"/>
          <w:strike w:val="false"/>
          <w:dstrike w:val="false"/>
          <w:color w:val="000000"/>
          <w:sz w:val="17"/>
          <w:u w:val="none"/>
          <w:effect w:val="none"/>
        </w:rPr>
        <w:t>10%</w:t>
      </w:r>
      <w:r>
        <w:rPr>
          <w:sz w:val="17"/>
        </w:rPr>
        <w:t xml:space="preserve">  </w:t>
      </w:r>
      <w:r>
        <w:rPr>
          <w:rFonts w:ascii="inherit" w:hAnsi="inherit"/>
          <w:sz w:val="17"/>
        </w:rPr>
        <w:t xml:space="preserve">higher than the prior year’s rate of </w:t>
      </w:r>
      <w:r>
        <w:rPr>
          <w:rFonts w:ascii="inherit" w:hAnsi="inherit"/>
          <w:strike w:val="false"/>
          <w:dstrike w:val="false"/>
          <w:color w:val="000000"/>
          <w:sz w:val="17"/>
          <w:u w:val="none"/>
          <w:effect w:val="none"/>
        </w:rPr>
        <w:t>12.1</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w:t>
      </w:r>
      <w:r>
        <w:rPr>
          <w:rFonts w:ascii="inherit" w:hAnsi="inherit"/>
          <w:sz w:val="17"/>
        </w:rPr>
        <w:t xml:space="preserve">. Total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93%</w:t>
      </w:r>
      <w:r>
        <w:rPr>
          <w:sz w:val="17"/>
        </w:rPr>
        <w:t xml:space="preserve"> </w:t>
      </w:r>
      <w:r>
        <w:rPr>
          <w:rFonts w:ascii="inherit" w:hAnsi="inherit"/>
          <w:sz w:val="17"/>
        </w:rPr>
        <w:t xml:space="preserve">in U.S. dollars and 111% in peso terms. Operating expenses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104%</w:t>
      </w:r>
      <w:r>
        <w:rPr>
          <w:sz w:val="17"/>
        </w:rPr>
        <w:t xml:space="preserve"> </w:t>
      </w:r>
      <w:r>
        <w:rPr>
          <w:rFonts w:ascii="inherit" w:hAnsi="inherit"/>
          <w:sz w:val="17"/>
        </w:rPr>
        <w:t xml:space="preserve">in U.S. dollars and 120% increase in peso terms. In the current </w:t>
      </w:r>
      <w:r>
        <w:rPr>
          <w:rFonts w:ascii="inherit" w:hAnsi="inherit"/>
          <w:strike w:val="false"/>
          <w:dstrike w:val="false"/>
          <w:color w:val="000000"/>
          <w:sz w:val="17"/>
          <w:u w:val="none"/>
          <w:effect w:val="none"/>
        </w:rPr>
        <w:t>nine-month period</w:t>
      </w:r>
      <w:r>
        <w:rPr>
          <w:rFonts w:ascii="inherit" w:hAnsi="inherit"/>
          <w:sz w:val="17"/>
        </w:rPr>
        <w:t xml:space="preserve">, we opened </w:t>
      </w:r>
      <w:r>
        <w:rPr>
          <w:rFonts w:ascii="inherit" w:hAnsi="inherit"/>
          <w:strike w:val="false"/>
          <w:dstrike w:val="false"/>
          <w:color w:val="000000"/>
          <w:sz w:val="17"/>
          <w:u w:val="none"/>
          <w:effect w:val="none"/>
        </w:rPr>
        <w:t>46</w:t>
      </w:r>
      <w:r>
        <w:rPr>
          <w:sz w:val="17"/>
        </w:rPr>
        <w:t xml:space="preserve"> </w:t>
      </w:r>
      <w:r>
        <w:rPr>
          <w:rFonts w:ascii="inherit" w:hAnsi="inherit"/>
          <w:sz w:val="17"/>
        </w:rPr>
        <w:t xml:space="preserve">de novo stores and on </w:t>
      </w:r>
      <w:r>
        <w:rPr>
          <w:rFonts w:ascii="inherit" w:hAnsi="inherit"/>
          <w:strike w:val="false"/>
          <w:dstrike w:val="false"/>
          <w:color w:val="000000"/>
          <w:sz w:val="17"/>
          <w:u w:val="none"/>
          <w:effect w:val="none"/>
        </w:rPr>
        <w:t>January 30, 2012</w:t>
      </w:r>
      <w:r>
        <w:rPr>
          <w:sz w:val="17"/>
        </w:rPr>
        <w:t xml:space="preserve"> </w:t>
      </w:r>
      <w:r>
        <w:rPr>
          <w:rFonts w:ascii="inherit" w:hAnsi="inherit"/>
          <w:sz w:val="17"/>
        </w:rPr>
        <w:t xml:space="preserve">acquired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interest in Crediamigo, a specialty consumer finance company headquartered in Mexico City, with </w:t>
      </w:r>
      <w:r>
        <w:rPr>
          <w:rFonts w:ascii="inherit" w:hAnsi="inherit"/>
          <w:strike w:val="false"/>
          <w:dstrike w:val="false"/>
          <w:color w:val="000000"/>
          <w:sz w:val="17"/>
          <w:u w:val="none"/>
          <w:effect w:val="none"/>
        </w:rPr>
        <w:t>45</w:t>
      </w:r>
      <w:r>
        <w:rPr>
          <w:sz w:val="17"/>
        </w:rPr>
        <w:t xml:space="preserve"> </w:t>
      </w:r>
      <w:r>
        <w:rPr>
          <w:rFonts w:ascii="inherit" w:hAnsi="inherit"/>
          <w:sz w:val="17"/>
        </w:rPr>
        <w:t xml:space="preserve">loan servicing locations throughout the country. Crediamigo is included in our results for five months of the </w:t>
      </w:r>
      <w:r>
        <w:rPr>
          <w:rFonts w:ascii="inherit" w:hAnsi="inherit"/>
          <w:strike w:val="false"/>
          <w:dstrike w:val="false"/>
          <w:color w:val="000000"/>
          <w:sz w:val="17"/>
          <w:u w:val="none"/>
          <w:effect w:val="none"/>
        </w:rPr>
        <w:t>nine-month period</w:t>
      </w:r>
      <w:r>
        <w:rPr>
          <w:rFonts w:ascii="inherit" w:hAnsi="inherit"/>
          <w:sz w:val="17"/>
        </w:rPr>
        <w:t>.</w:t>
      </w:r>
    </w:p>
    <w:p>
      <w:pPr>
        <w:pStyle w:val="TextBody"/>
        <w:spacing w:lineRule="auto" w:line="288" w:before="0" w:after="0"/>
        <w:rPr>
          <w:sz w:val="17"/>
        </w:rPr>
      </w:pPr>
      <w:r>
        <w:rPr>
          <w:rFonts w:ascii="inherit" w:hAnsi="inherit"/>
          <w:sz w:val="17"/>
        </w:rPr>
        <w:t xml:space="preserve">The Latin America segment total revenues increased </w:t>
      </w:r>
      <w:r>
        <w:rPr>
          <w:rFonts w:ascii="inherit" w:hAnsi="inherit"/>
          <w:strike w:val="false"/>
          <w:dstrike w:val="false"/>
          <w:color w:val="000000"/>
          <w:sz w:val="17"/>
          <w:u w:val="none"/>
          <w:effect w:val="none"/>
        </w:rPr>
        <w:t>$37.6 million</w:t>
      </w:r>
      <w:r>
        <w:rPr>
          <w:rFonts w:ascii="inherit" w:hAnsi="inherit"/>
          <w:sz w:val="17"/>
        </w:rPr>
        <w:t xml:space="preserve">, or </w:t>
      </w:r>
      <w:r>
        <w:rPr>
          <w:rFonts w:ascii="inherit" w:hAnsi="inherit"/>
          <w:strike w:val="false"/>
          <w:dstrike w:val="false"/>
          <w:color w:val="000000"/>
          <w:sz w:val="17"/>
          <w:u w:val="none"/>
          <w:effect w:val="none"/>
        </w:rPr>
        <w:t>93%</w:t>
      </w:r>
      <w:r>
        <w:rPr>
          <w:rFonts w:ascii="inherit" w:hAnsi="inherit"/>
          <w:sz w:val="17"/>
        </w:rPr>
        <w:t xml:space="preserve">, 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$77.9 million</w:t>
      </w:r>
      <w:r>
        <w:rPr>
          <w:rFonts w:ascii="inherit" w:hAnsi="inherit"/>
          <w:sz w:val="17"/>
        </w:rPr>
        <w:t xml:space="preserve">. Same store total revenues </w:t>
      </w:r>
      <w:r>
        <w:rPr>
          <w:rFonts w:ascii="inherit" w:hAnsi="inherit"/>
          <w:strike w:val="false"/>
          <w:dstrike w:val="false"/>
          <w:color w:val="000000"/>
          <w:sz w:val="17"/>
          <w:u w:val="none"/>
          <w:effect w:val="none"/>
        </w:rPr>
        <w:t>increased</w:t>
      </w:r>
      <w:r>
        <w:rPr>
          <w:sz w:val="17"/>
        </w:rPr>
        <w:t xml:space="preserve"> </w:t>
      </w:r>
      <w:r>
        <w:rPr>
          <w:rFonts w:ascii="inherit" w:hAnsi="inherit"/>
          <w:sz w:val="17"/>
        </w:rPr>
        <w:t xml:space="preserve">$3.6 million, or 9%, and new and acquired stores contributed $34.0 million. The overall increase in total revenues was mostly due to the </w:t>
      </w:r>
      <w:r>
        <w:rPr>
          <w:rFonts w:ascii="inherit" w:hAnsi="inherit"/>
          <w:strike w:val="false"/>
          <w:dstrike w:val="false"/>
          <w:color w:val="000000"/>
          <w:sz w:val="17"/>
          <w:u w:val="none"/>
          <w:effect w:val="none"/>
        </w:rPr>
        <w:t>$17.8 million</w:t>
      </w:r>
      <w:r>
        <w:rPr>
          <w:sz w:val="17"/>
        </w:rPr>
        <w:t xml:space="preserve"> </w:t>
      </w:r>
      <w:r>
        <w:rPr>
          <w:rFonts w:ascii="inherit" w:hAnsi="inherit"/>
          <w:sz w:val="17"/>
        </w:rPr>
        <w:t xml:space="preserve">Crediamigo consumer loan fees, </w:t>
      </w:r>
      <w:r>
        <w:rPr>
          <w:rFonts w:ascii="inherit" w:hAnsi="inherit"/>
          <w:strike w:val="false"/>
          <w:dstrike w:val="false"/>
          <w:color w:val="000000"/>
          <w:sz w:val="17"/>
          <w:u w:val="none"/>
          <w:effect w:val="none"/>
        </w:rPr>
        <w:t>$13.1 million</w:t>
      </w:r>
      <w:r>
        <w:rPr>
          <w:sz w:val="17"/>
        </w:rPr>
        <w:t xml:space="preserv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54</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sz w:val="17"/>
        </w:rPr>
      </w:pPr>
      <w:r>
        <w:rPr>
          <w:rFonts w:ascii="inherit" w:hAnsi="inherit"/>
          <w:sz w:val="17"/>
        </w:rPr>
        <w:t xml:space="preserve">increase in merchandise and jewelry scrapping sales and a </w:t>
      </w:r>
      <w:r>
        <w:rPr>
          <w:rFonts w:ascii="inherit" w:hAnsi="inherit"/>
          <w:strike w:val="false"/>
          <w:dstrike w:val="false"/>
          <w:color w:val="000000"/>
          <w:sz w:val="17"/>
          <w:u w:val="none"/>
          <w:effect w:val="none"/>
        </w:rPr>
        <w:t>$6.0 million</w:t>
      </w:r>
      <w:r>
        <w:rPr>
          <w:sz w:val="17"/>
        </w:rPr>
        <w:t xml:space="preserve"> </w:t>
      </w:r>
      <w:r>
        <w:rPr>
          <w:rFonts w:ascii="inherit" w:hAnsi="inherit"/>
          <w:sz w:val="17"/>
        </w:rPr>
        <w:t>increase in pawn service charges.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Latin America’s pawn service charge revenues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$6.0 million</w:t>
      </w:r>
      <w:r>
        <w:rPr>
          <w:rFonts w:ascii="inherit" w:hAnsi="inherit"/>
          <w:sz w:val="17"/>
        </w:rPr>
        <w:t xml:space="preserve">, or </w:t>
      </w:r>
      <w:r>
        <w:rPr>
          <w:rFonts w:ascii="inherit" w:hAnsi="inherit"/>
          <w:strike w:val="false"/>
          <w:dstrike w:val="false"/>
          <w:color w:val="000000"/>
          <w:sz w:val="17"/>
          <w:u w:val="none"/>
          <w:effect w:val="none"/>
        </w:rPr>
        <w:t>51%</w:t>
      </w:r>
      <w:r>
        <w:rPr>
          <w:rFonts w:ascii="inherit" w:hAnsi="inherit"/>
          <w:sz w:val="17"/>
        </w:rPr>
        <w:t xml:space="preserve">, 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$17.5 million</w:t>
      </w:r>
      <w:r>
        <w:rPr>
          <w:rFonts w:ascii="inherit" w:hAnsi="inherit"/>
          <w:sz w:val="17"/>
        </w:rPr>
        <w:t>. Same store pawn service charges increased approximately $1.8 million, or 15%, and new and acquired stores contributed $4.2 million. The total increase was due to a 37% increase in outstanding pawn loan balance coupled with a 11 percentage point increase in the pawn yield. The yield increased primarily due to a 3 percentage point increase in the loan redemption rate as we continued to focus on loan values.</w:t>
      </w:r>
    </w:p>
    <w:p>
      <w:pPr>
        <w:pStyle w:val="TextBody"/>
        <w:spacing w:lineRule="auto" w:line="288" w:before="0" w:after="0"/>
        <w:rPr>
          <w:sz w:val="17"/>
        </w:rPr>
      </w:pPr>
      <w:r>
        <w:rPr>
          <w:rFonts w:ascii="inherit" w:hAnsi="inherit"/>
          <w:sz w:val="17"/>
        </w:rPr>
        <w:t xml:space="preserve">Merchandise gross profit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$6.6 million</w:t>
      </w:r>
      <w:r>
        <w:rPr>
          <w:rFonts w:ascii="inherit" w:hAnsi="inherit"/>
          <w:sz w:val="17"/>
        </w:rPr>
        <w:t xml:space="preserve">, or </w:t>
      </w:r>
      <w:r>
        <w:rPr>
          <w:rFonts w:ascii="inherit" w:hAnsi="inherit"/>
          <w:strike w:val="false"/>
          <w:dstrike w:val="false"/>
          <w:color w:val="000000"/>
          <w:sz w:val="17"/>
          <w:u w:val="none"/>
          <w:effect w:val="none"/>
        </w:rPr>
        <w:t>91%</w:t>
      </w:r>
      <w:r>
        <w:rPr>
          <w:rFonts w:ascii="inherit" w:hAnsi="inherit"/>
          <w:sz w:val="17"/>
        </w:rPr>
        <w:t xml:space="preserve">,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$13.9 million</w:t>
      </w:r>
      <w:r>
        <w:rPr>
          <w:rFonts w:ascii="inherit" w:hAnsi="inherit"/>
          <w:sz w:val="17"/>
        </w:rPr>
        <w:t xml:space="preserve">. The increase was due to a $4.1 million, or 24%, same store sales increase and $8.6 million in sales from new and acquired stores coupled with a </w:t>
      </w:r>
      <w:r>
        <w:rPr>
          <w:rFonts w:ascii="inherit" w:hAnsi="inherit"/>
          <w:strike w:val="false"/>
          <w:dstrike w:val="false"/>
          <w:color w:val="000000"/>
          <w:sz w:val="17"/>
          <w:u w:val="none"/>
          <w:effect w:val="none"/>
        </w:rPr>
        <w:t>4.4</w:t>
      </w:r>
      <w:r>
        <w:rPr>
          <w:sz w:val="17"/>
        </w:rPr>
        <w:t xml:space="preserve"> </w:t>
      </w:r>
      <w:r>
        <w:rPr>
          <w:rFonts w:ascii="inherit" w:hAnsi="inherit"/>
          <w:sz w:val="17"/>
        </w:rPr>
        <w:t xml:space="preserve">percentage point increase in gross margins to </w:t>
      </w:r>
      <w:r>
        <w:rPr>
          <w:rFonts w:ascii="inherit" w:hAnsi="inherit"/>
          <w:strike w:val="false"/>
          <w:dstrike w:val="false"/>
          <w:color w:val="000000"/>
          <w:sz w:val="17"/>
          <w:u w:val="none"/>
          <w:effect w:val="none"/>
        </w:rPr>
        <w:t>46.5%</w:t>
      </w:r>
      <w:r>
        <w:rPr>
          <w:rFonts w:ascii="inherit" w:hAnsi="inherit"/>
          <w:sz w:val="17"/>
        </w:rPr>
        <w:t>.</w:t>
      </w:r>
    </w:p>
    <w:p>
      <w:pPr>
        <w:pStyle w:val="TextBody"/>
        <w:spacing w:lineRule="auto" w:line="288" w:before="0" w:after="0"/>
        <w:rPr>
          <w:sz w:val="17"/>
        </w:rPr>
      </w:pPr>
      <w:r>
        <w:rPr>
          <w:rFonts w:ascii="inherit" w:hAnsi="inherit"/>
          <w:sz w:val="17"/>
        </w:rPr>
        <w:t xml:space="preserve">Gross profit on jewelry scrapping sales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$0.8 million</w:t>
      </w:r>
      <w:r>
        <w:rPr>
          <w:rFonts w:ascii="inherit" w:hAnsi="inherit"/>
          <w:sz w:val="17"/>
        </w:rPr>
        <w:t xml:space="preserve">, or </w:t>
      </w:r>
      <w:r>
        <w:rPr>
          <w:rFonts w:ascii="inherit" w:hAnsi="inherit"/>
          <w:strike w:val="false"/>
          <w:dstrike w:val="false"/>
          <w:color w:val="000000"/>
          <w:sz w:val="17"/>
          <w:u w:val="none"/>
          <w:effect w:val="none"/>
        </w:rPr>
        <w:t>38%</w:t>
      </w:r>
      <w:r>
        <w:rPr>
          <w:rFonts w:ascii="inherit" w:hAnsi="inherit"/>
          <w:sz w:val="17"/>
        </w:rPr>
        <w:t xml:space="preserve">,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$3.0 million</w:t>
      </w:r>
      <w:r>
        <w:rPr>
          <w:rFonts w:ascii="inherit" w:hAnsi="inherit"/>
          <w:sz w:val="17"/>
        </w:rPr>
        <w:t xml:space="preserve">. Jewelry scrapping revenues increased </w:t>
      </w:r>
      <w:r>
        <w:rPr>
          <w:rFonts w:ascii="inherit" w:hAnsi="inherit"/>
          <w:strike w:val="false"/>
          <w:dstrike w:val="false"/>
          <w:color w:val="000000"/>
          <w:sz w:val="17"/>
          <w:u w:val="none"/>
          <w:effect w:val="none"/>
        </w:rPr>
        <w:t>4%</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$11.8 million</w:t>
      </w:r>
      <w:r>
        <w:rPr>
          <w:rFonts w:ascii="inherit" w:hAnsi="inherit"/>
          <w:sz w:val="17"/>
        </w:rPr>
        <w:t xml:space="preserve">, as the 15% decrease in gold volume was offset by a 17% increase in proceeds realized per gram of gold jewelry scrapped. Same store jewelry scrapping sales decreased $2.4 million, or 21%, and new and acquired stores contributed $2.9 million. Scrap cost of goods decreased </w:t>
      </w:r>
      <w:r>
        <w:rPr>
          <w:rFonts w:ascii="inherit" w:hAnsi="inherit"/>
          <w:strike w:val="false"/>
          <w:dstrike w:val="false"/>
          <w:color w:val="000000"/>
          <w:sz w:val="17"/>
          <w:u w:val="none"/>
          <w:effect w:val="none"/>
        </w:rPr>
        <w:t>$0.4 million</w:t>
      </w:r>
      <w:r>
        <w:rPr>
          <w:sz w:val="17"/>
        </w:rPr>
        <w:t xml:space="preserve"> </w:t>
      </w:r>
      <w:r>
        <w:rPr>
          <w:rFonts w:ascii="inherit" w:hAnsi="inherit"/>
          <w:sz w:val="17"/>
        </w:rPr>
        <w:t xml:space="preserve">or </w:t>
      </w:r>
      <w:r>
        <w:rPr>
          <w:rFonts w:ascii="inherit" w:hAnsi="inherit"/>
          <w:strike w:val="false"/>
          <w:dstrike w:val="false"/>
          <w:color w:val="000000"/>
          <w:sz w:val="17"/>
          <w:u w:val="none"/>
          <w:effect w:val="none"/>
        </w:rPr>
        <w:t>4.0%</w:t>
      </w:r>
      <w:r>
        <w:rPr>
          <w:rFonts w:ascii="inherit" w:hAnsi="inherit"/>
          <w:sz w:val="17"/>
        </w:rPr>
        <w:t xml:space="preserve">, as the the decrease in volume, was partially offset by a 7% increase in cost per gram. </w:t>
      </w:r>
    </w:p>
    <w:p>
      <w:pPr>
        <w:pStyle w:val="TextBody"/>
        <w:spacing w:lineRule="auto" w:line="288" w:before="0" w:after="0"/>
        <w:rPr>
          <w:sz w:val="17"/>
        </w:rPr>
      </w:pPr>
      <w:r>
        <w:rPr>
          <w:rFonts w:ascii="inherit" w:hAnsi="inherit"/>
          <w:sz w:val="17"/>
        </w:rPr>
        <w:t xml:space="preserve">The Crediamigo acquisition marks our initial entry into the non-secured loan business in Mexico. 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Crediamigo contributed total revenues of $18.2 million and net revenues of $17.0 million after bad debt as a percentage of consumer loan fees of </w:t>
      </w:r>
      <w:r>
        <w:rPr>
          <w:rFonts w:ascii="inherit" w:hAnsi="inherit"/>
          <w:strike w:val="false"/>
          <w:dstrike w:val="false"/>
          <w:color w:val="000000"/>
          <w:sz w:val="17"/>
          <w:u w:val="none"/>
          <w:effect w:val="none"/>
        </w:rPr>
        <w:t>6%</w:t>
      </w:r>
      <w:r>
        <w:rPr>
          <w:rFonts w:ascii="inherit" w:hAnsi="inherit"/>
          <w:sz w:val="17"/>
        </w:rPr>
        <w:t>.</w:t>
      </w:r>
    </w:p>
    <w:p>
      <w:pPr>
        <w:pStyle w:val="TextBody"/>
        <w:spacing w:lineRule="auto" w:line="288" w:before="0" w:after="0"/>
        <w:rPr>
          <w:sz w:val="17"/>
        </w:rPr>
      </w:pPr>
      <w:r>
        <w:rPr>
          <w:rFonts w:ascii="inherit" w:hAnsi="inherit"/>
          <w:sz w:val="17"/>
        </w:rPr>
        <w:t xml:space="preserve">Total operations expense </w:t>
      </w:r>
      <w:r>
        <w:rPr>
          <w:rFonts w:ascii="inherit" w:hAnsi="inherit"/>
          <w:strike w:val="false"/>
          <w:dstrike w:val="false"/>
          <w:color w:val="000000"/>
          <w:sz w:val="17"/>
          <w:u w:val="none"/>
          <w:effect w:val="none"/>
        </w:rPr>
        <w:t>increased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$39.9 million</w:t>
      </w:r>
      <w:r>
        <w:rPr>
          <w:sz w:val="17"/>
        </w:rPr>
        <w:t xml:space="preserve"> </w:t>
      </w:r>
      <w:r>
        <w:rPr>
          <w:rFonts w:ascii="inherit" w:hAnsi="inherit"/>
          <w:sz w:val="17"/>
        </w:rPr>
        <w:t>(</w:t>
      </w:r>
      <w:r>
        <w:rPr>
          <w:rFonts w:ascii="inherit" w:hAnsi="inherit"/>
          <w:strike w:val="false"/>
          <w:dstrike w:val="false"/>
          <w:color w:val="000000"/>
          <w:sz w:val="17"/>
          <w:u w:val="none"/>
          <w:effect w:val="none"/>
        </w:rPr>
        <w:t>51%</w:t>
      </w:r>
      <w:r>
        <w:rPr>
          <w:sz w:val="17"/>
        </w:rPr>
        <w:t xml:space="preserve"> </w:t>
      </w:r>
      <w:r>
        <w:rPr>
          <w:rFonts w:ascii="inherit" w:hAnsi="inherit"/>
          <w:sz w:val="17"/>
        </w:rPr>
        <w:t xml:space="preserve">of revenues) 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from </w:t>
      </w:r>
      <w:r>
        <w:rPr>
          <w:rFonts w:ascii="inherit" w:hAnsi="inherit"/>
          <w:strike w:val="false"/>
          <w:dstrike w:val="false"/>
          <w:color w:val="000000"/>
          <w:sz w:val="17"/>
          <w:u w:val="none"/>
          <w:effect w:val="none"/>
        </w:rPr>
        <w:t>$19.6 million</w:t>
      </w:r>
      <w:r>
        <w:rPr>
          <w:sz w:val="17"/>
        </w:rPr>
        <w:t xml:space="preserve"> </w:t>
      </w:r>
      <w:r>
        <w:rPr>
          <w:rFonts w:ascii="inherit" w:hAnsi="inherit"/>
          <w:sz w:val="17"/>
        </w:rPr>
        <w:t>(</w:t>
      </w:r>
      <w:r>
        <w:rPr>
          <w:rFonts w:ascii="inherit" w:hAnsi="inherit"/>
          <w:strike w:val="false"/>
          <w:dstrike w:val="false"/>
          <w:color w:val="000000"/>
          <w:sz w:val="17"/>
          <w:u w:val="none"/>
          <w:effect w:val="none"/>
        </w:rPr>
        <w:t>49%</w:t>
      </w:r>
      <w:r>
        <w:rPr>
          <w:sz w:val="17"/>
        </w:rPr>
        <w:t xml:space="preserve"> </w:t>
      </w:r>
      <w:r>
        <w:rPr>
          <w:rFonts w:ascii="inherit" w:hAnsi="inherit"/>
          <w:sz w:val="17"/>
        </w:rPr>
        <w:t xml:space="preserve">of revenues). The dollar increase was due to a </w:t>
      </w:r>
      <w:r>
        <w:rPr>
          <w:rFonts w:ascii="inherit" w:hAnsi="inherit"/>
          <w:strike w:val="false"/>
          <w:dstrike w:val="false"/>
          <w:color w:val="000000"/>
          <w:sz w:val="17"/>
          <w:u w:val="none"/>
          <w:effect w:val="none"/>
        </w:rPr>
        <w:t>58%</w:t>
      </w:r>
      <w:r>
        <w:rPr>
          <w:rFonts w:ascii="inherit" w:hAnsi="inherit"/>
          <w:sz w:val="17"/>
        </w:rPr>
        <w:t xml:space="preserve">, or </w:t>
      </w:r>
      <w:r>
        <w:rPr>
          <w:rFonts w:ascii="inherit" w:hAnsi="inherit"/>
          <w:strike w:val="false"/>
          <w:dstrike w:val="false"/>
          <w:color w:val="000000"/>
          <w:sz w:val="17"/>
          <w:u w:val="none"/>
          <w:effect w:val="none"/>
        </w:rPr>
        <w:t>$8.5 million</w:t>
      </w:r>
      <w:r>
        <w:rPr>
          <w:rFonts w:ascii="inherit" w:hAnsi="inherit"/>
          <w:sz w:val="17"/>
        </w:rPr>
        <w:t xml:space="preserve">, increase in store operations expenses due to </w:t>
      </w:r>
      <w:r>
        <w:rPr>
          <w:rFonts w:ascii="inherit" w:hAnsi="inherit"/>
          <w:strike w:val="false"/>
          <w:dstrike w:val="false"/>
          <w:color w:val="000000"/>
          <w:sz w:val="17"/>
          <w:u w:val="none"/>
          <w:effect w:val="none"/>
        </w:rPr>
        <w:t>higher</w:t>
      </w:r>
      <w:r>
        <w:rPr>
          <w:sz w:val="17"/>
        </w:rPr>
        <w:t xml:space="preserve"> </w:t>
      </w:r>
      <w:r>
        <w:rPr>
          <w:rFonts w:ascii="inherit" w:hAnsi="inherit"/>
          <w:sz w:val="17"/>
        </w:rPr>
        <w:t xml:space="preserve">operating costs resulting from the addition of 68 Empeño Fácil stores since the end of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and $2.8 million related to Crediamigo commissions, a </w:t>
      </w:r>
      <w:r>
        <w:rPr>
          <w:rFonts w:ascii="inherit" w:hAnsi="inherit"/>
          <w:strike w:val="false"/>
          <w:dstrike w:val="false"/>
          <w:color w:val="000000"/>
          <w:sz w:val="17"/>
          <w:u w:val="none"/>
          <w:effect w:val="none"/>
        </w:rPr>
        <w:t>$6.9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administrative expenses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$10.0 million</w:t>
      </w:r>
      <w:r>
        <w:rPr>
          <w:rFonts w:ascii="inherit" w:hAnsi="inherit"/>
          <w:sz w:val="17"/>
        </w:rPr>
        <w:t xml:space="preserve">, mainly due to Crediamigo administrative expenses and other acquisition costs, a $3.2 million increase in depreciation and amortization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$5.3 million, mainly due to depreciation of assets placed in service at new stores and amortization of acquisition related intangible assets, as well as a </w:t>
      </w:r>
      <w:r>
        <w:rPr>
          <w:rFonts w:ascii="inherit" w:hAnsi="inherit"/>
          <w:strike w:val="false"/>
          <w:dstrike w:val="false"/>
          <w:color w:val="000000"/>
          <w:sz w:val="17"/>
          <w:u w:val="none"/>
          <w:effect w:val="none"/>
        </w:rPr>
        <w:t>$1.8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net interest expense related to Crediamigo’s debt. </w:t>
      </w:r>
    </w:p>
    <w:p>
      <w:pPr>
        <w:pStyle w:val="TextBody"/>
        <w:spacing w:lineRule="auto" w:line="288" w:before="0" w:after="0"/>
        <w:rPr>
          <w:rFonts w:ascii="inherit" w:hAnsi="inherit"/>
          <w:sz w:val="17"/>
        </w:rPr>
      </w:pPr>
      <w:r>
        <w:rPr>
          <w:rFonts w:ascii="inherit" w:hAnsi="inherit"/>
          <w:sz w:val="17"/>
        </w:rPr>
        <w:t xml:space="preserve">In June 2012, Crediamigo refinanced a portion of its $92.2 million of third party debt at a lower interest rate. This refinancing led to a one-time reduction in interest expense of $2.8 million due to the acceleration of the amortization of the debt premium associated with the refinanced debt. The lower interest rate will result in reduced interest expense going forward. Crediamigo is continuing to refinance other portions of its debt at lower interest rates. </w:t>
      </w:r>
    </w:p>
    <w:p>
      <w:pPr>
        <w:pStyle w:val="TextBody"/>
        <w:spacing w:lineRule="auto" w:line="288" w:before="0" w:after="0"/>
        <w:rPr>
          <w:sz w:val="17"/>
        </w:rPr>
      </w:pPr>
      <w:r>
        <w:rPr>
          <w:rFonts w:ascii="inherit" w:hAnsi="inherit"/>
          <w:sz w:val="17"/>
        </w:rPr>
        <w:t xml:space="preserve">In the current </w:t>
      </w:r>
      <w:r>
        <w:rPr>
          <w:rFonts w:ascii="inherit" w:hAnsi="inherit"/>
          <w:strike w:val="false"/>
          <w:dstrike w:val="false"/>
          <w:color w:val="000000"/>
          <w:sz w:val="17"/>
          <w:u w:val="none"/>
          <w:effect w:val="none"/>
        </w:rPr>
        <w:t>nine-month period</w:t>
      </w:r>
      <w:r>
        <w:rPr>
          <w:rFonts w:ascii="inherit" w:hAnsi="inherit"/>
          <w:sz w:val="17"/>
        </w:rPr>
        <w:t xml:space="preserve">, the </w:t>
      </w:r>
      <w:r>
        <w:rPr>
          <w:rFonts w:ascii="inherit" w:hAnsi="inherit"/>
          <w:strike w:val="false"/>
          <w:dstrike w:val="false"/>
          <w:color w:val="000000"/>
          <w:sz w:val="17"/>
          <w:u w:val="none"/>
          <w:effect w:val="none"/>
        </w:rPr>
        <w:t>$30.8 million</w:t>
      </w:r>
      <w:r>
        <w:rPr>
          <w:sz w:val="17"/>
        </w:rPr>
        <w:t xml:space="preserve"> </w:t>
      </w:r>
      <w:r>
        <w:rPr>
          <w:rFonts w:ascii="inherit" w:hAnsi="inherit"/>
          <w:sz w:val="17"/>
        </w:rPr>
        <w:t xml:space="preserve">greater net revenues were significantly offset by the </w:t>
      </w:r>
      <w:r>
        <w:rPr>
          <w:rFonts w:ascii="inherit" w:hAnsi="inherit"/>
          <w:strike w:val="false"/>
          <w:dstrike w:val="false"/>
          <w:color w:val="000000"/>
          <w:sz w:val="17"/>
          <w:u w:val="none"/>
          <w:effect w:val="none"/>
        </w:rPr>
        <w:t>$20.3 million</w:t>
      </w:r>
      <w:r>
        <w:rPr>
          <w:sz w:val="17"/>
        </w:rPr>
        <w:t xml:space="preserve"> </w:t>
      </w:r>
      <w:r>
        <w:rPr>
          <w:rFonts w:ascii="inherit" w:hAnsi="inherit"/>
          <w:sz w:val="17"/>
        </w:rPr>
        <w:t xml:space="preserve">higher operations expense, resulting in a </w:t>
      </w:r>
      <w:r>
        <w:rPr>
          <w:rFonts w:ascii="inherit" w:hAnsi="inherit"/>
          <w:strike w:val="false"/>
          <w:dstrike w:val="false"/>
          <w:color w:val="000000"/>
          <w:sz w:val="17"/>
          <w:u w:val="none"/>
          <w:effect w:val="none"/>
        </w:rPr>
        <w:t>$10.5 million</w:t>
      </w:r>
      <w:r>
        <w:rPr>
          <w:sz w:val="17"/>
        </w:rPr>
        <w:t xml:space="preserve"> </w:t>
      </w:r>
      <w:r>
        <w:rPr>
          <w:rFonts w:ascii="inherit" w:hAnsi="inherit"/>
          <w:sz w:val="17"/>
        </w:rPr>
        <w:t xml:space="preserve">increase in contribution for the Latin America segment. Contribution margin increased </w:t>
      </w:r>
      <w:r>
        <w:rPr>
          <w:rFonts w:ascii="inherit" w:hAnsi="inherit"/>
          <w:strike w:val="false"/>
          <w:dstrike w:val="false"/>
          <w:color w:val="000000"/>
          <w:sz w:val="17"/>
          <w:u w:val="none"/>
          <w:effect w:val="none"/>
        </w:rPr>
        <w:t>11.7</w:t>
      </w:r>
      <w:r>
        <w:rPr>
          <w:sz w:val="17"/>
        </w:rPr>
        <w:t xml:space="preserve"> </w:t>
      </w:r>
      <w:r>
        <w:rPr>
          <w:rFonts w:ascii="inherit" w:hAnsi="inherit"/>
          <w:sz w:val="17"/>
        </w:rPr>
        <w:t xml:space="preserve">percentage points to </w:t>
      </w:r>
      <w:r>
        <w:rPr>
          <w:rFonts w:ascii="inherit" w:hAnsi="inherit"/>
          <w:strike w:val="false"/>
          <w:dstrike w:val="false"/>
          <w:color w:val="000000"/>
          <w:sz w:val="17"/>
          <w:u w:val="none"/>
          <w:effect w:val="none"/>
        </w:rPr>
        <w:t>15.3%</w:t>
      </w:r>
      <w:r>
        <w:rPr>
          <w:rFonts w:ascii="inherit" w:hAnsi="inherit"/>
          <w:sz w:val="17"/>
        </w:rPr>
        <w:t xml:space="preserve">. For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Latin America's segment contribution represents 6% of consolidated segment contribution compared to 1% a year ago, this 5.0 percentage point increase makes Latin America our fastest growing segment.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55</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jc w:val="center"/>
        <w:rPr>
          <w:rFonts w:ascii="inherit" w:hAnsi="inherit"/>
          <w:b/>
          <w:sz w:val="17"/>
        </w:rPr>
      </w:pPr>
      <w:r>
        <w:rPr>
          <w:rFonts w:ascii="inherit" w:hAnsi="inherit"/>
          <w:b/>
          <w:sz w:val="17"/>
        </w:rPr>
        <w:t>Other International</w:t>
      </w:r>
    </w:p>
    <w:p>
      <w:pPr>
        <w:pStyle w:val="TextBody"/>
        <w:spacing w:lineRule="auto" w:line="288" w:before="0" w:after="0"/>
        <w:rPr>
          <w:rFonts w:ascii="inherit" w:hAnsi="inherit"/>
          <w:sz w:val="17"/>
        </w:rPr>
      </w:pPr>
      <w:r>
        <w:rPr>
          <w:rFonts w:ascii="inherit" w:hAnsi="inherit"/>
          <w:sz w:val="17"/>
        </w:rPr>
        <w:t>The following table presents selected financial data for the Other International segment:</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202"/>
        <w:gridCol w:w="180"/>
        <w:gridCol w:w="1283"/>
        <w:gridCol w:w="248"/>
        <w:gridCol w:w="149"/>
        <w:gridCol w:w="180"/>
        <w:gridCol w:w="1283"/>
        <w:gridCol w:w="680"/>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202"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14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283" w:type="dxa"/>
            <w:tcBorders/>
            <w:shd w:fill="auto" w:val="clear"/>
            <w:vAlign w:val="center"/>
          </w:tcPr>
          <w:p>
            <w:pPr>
              <w:pStyle w:val="TableContents"/>
              <w:spacing w:before="0" w:after="283"/>
              <w:rPr>
                <w:sz w:val="4"/>
                <w:szCs w:val="4"/>
              </w:rPr>
            </w:pPr>
            <w:r>
              <w:rPr>
                <w:sz w:val="4"/>
                <w:szCs w:val="4"/>
              </w:rPr>
            </w:r>
          </w:p>
        </w:tc>
        <w:tc>
          <w:tcPr>
            <w:tcW w:w="68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202" w:type="dxa"/>
            <w:tcBorders/>
            <w:shd w:fill="auto" w:val="clear"/>
            <w:vAlign w:val="center"/>
          </w:tcPr>
          <w:p>
            <w:pPr>
              <w:pStyle w:val="TableContents"/>
              <w:spacing w:before="0" w:after="0"/>
              <w:ind w:left="0" w:right="0" w:firstLine="30"/>
              <w:jc w:val="left"/>
              <w:rPr/>
            </w:pPr>
            <w:r>
              <w:rPr/>
              <w:t> </w:t>
            </w:r>
          </w:p>
        </w:tc>
        <w:tc>
          <w:tcPr>
            <w:tcW w:w="4003"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202" w:type="dxa"/>
            <w:tcBorders/>
            <w:shd w:fill="auto" w:val="clear"/>
            <w:vAlign w:val="center"/>
          </w:tcPr>
          <w:p>
            <w:pPr>
              <w:pStyle w:val="TableContents"/>
              <w:spacing w:before="0" w:after="0"/>
              <w:ind w:left="0" w:right="0" w:firstLine="30"/>
              <w:jc w:val="left"/>
              <w:rPr/>
            </w:pPr>
            <w:r>
              <w:rPr/>
              <w:t> </w:t>
            </w:r>
          </w:p>
        </w:tc>
        <w:tc>
          <w:tcPr>
            <w:tcW w:w="171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9" w:type="dxa"/>
            <w:tcBorders/>
            <w:shd w:fill="auto" w:val="clear"/>
            <w:vAlign w:val="center"/>
          </w:tcPr>
          <w:p>
            <w:pPr>
              <w:pStyle w:val="TableContents"/>
              <w:spacing w:before="0" w:after="0"/>
              <w:ind w:left="0" w:right="0" w:firstLine="30"/>
              <w:rPr/>
            </w:pPr>
            <w:r>
              <w:rPr/>
              <w:t> </w:t>
            </w:r>
          </w:p>
        </w:tc>
        <w:tc>
          <w:tcPr>
            <w:tcW w:w="214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202" w:type="dxa"/>
            <w:tcBorders/>
            <w:shd w:fill="auto" w:val="clear"/>
            <w:vAlign w:val="center"/>
          </w:tcPr>
          <w:p>
            <w:pPr>
              <w:pStyle w:val="TableContents"/>
              <w:spacing w:before="0" w:after="0"/>
              <w:ind w:left="0" w:right="0" w:firstLine="30"/>
              <w:jc w:val="left"/>
              <w:rPr/>
            </w:pPr>
            <w:r>
              <w:rPr/>
              <w:t> </w:t>
            </w:r>
          </w:p>
        </w:tc>
        <w:tc>
          <w:tcPr>
            <w:tcW w:w="4003"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fees</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3" w:type="dxa"/>
            <w:tcBorders/>
            <w:shd w:fill="CCEEFF" w:val="clear"/>
            <w:vAlign w:val="center"/>
          </w:tcPr>
          <w:p>
            <w:pPr>
              <w:pStyle w:val="TableContents"/>
              <w:spacing w:before="0" w:after="0"/>
              <w:jc w:val="right"/>
              <w:rPr>
                <w:rFonts w:ascii="inherit" w:hAnsi="inherit"/>
                <w:sz w:val="17"/>
              </w:rPr>
            </w:pPr>
            <w:r>
              <w:rPr>
                <w:rFonts w:ascii="inherit" w:hAnsi="inherit"/>
                <w:sz w:val="17"/>
              </w:rPr>
              <w:t>4,086</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0"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283" w:type="dxa"/>
            <w:tcBorders/>
            <w:shd w:fill="CCEEFF" w:val="clear"/>
            <w:vAlign w:val="center"/>
          </w:tcPr>
          <w:p>
            <w:pPr>
              <w:pStyle w:val="TableContents"/>
              <w:spacing w:before="0" w:after="0"/>
              <w:jc w:val="right"/>
              <w:rPr/>
            </w:pPr>
            <w:r>
              <w:rPr/>
              <w:t>—</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158</w:t>
            </w:r>
          </w:p>
        </w:tc>
        <w:tc>
          <w:tcPr>
            <w:tcW w:w="2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80"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 revenues</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4,244</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pPr>
            <w:r>
              <w:rPr/>
              <w:t>—</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1,466</w:t>
            </w:r>
          </w:p>
        </w:tc>
        <w:tc>
          <w:tcPr>
            <w:tcW w:w="248"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680" w:type="dxa"/>
            <w:tcBorders>
              <w:bottom w:val="single" w:sz="2" w:space="0" w:color="000000"/>
            </w:tcBorders>
            <w:shd w:fill="auto" w:val="clear"/>
            <w:tcMar>
              <w:bottom w:w="28" w:type="dxa"/>
            </w:tcMar>
            <w:vAlign w:val="center"/>
          </w:tcPr>
          <w:p>
            <w:pPr>
              <w:pStyle w:val="TableContents"/>
              <w:spacing w:before="0" w:after="0"/>
              <w:ind w:left="0" w:right="0" w:firstLine="660"/>
              <w:jc w:val="left"/>
              <w:rPr>
                <w:rFonts w:ascii="inherit" w:hAnsi="inherit"/>
                <w:sz w:val="17"/>
              </w:rPr>
            </w:pPr>
            <w:r>
              <w:rPr>
                <w:rFonts w:ascii="inherit" w:hAnsi="inherit"/>
                <w:sz w:val="17"/>
              </w:rPr>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revenues</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2,778</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pPr>
            <w:r>
              <w:rPr/>
              <w:t>—</w:t>
            </w:r>
          </w:p>
        </w:tc>
        <w:tc>
          <w:tcPr>
            <w:tcW w:w="680"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Operations expense:</w:t>
            </w:r>
          </w:p>
        </w:tc>
        <w:tc>
          <w:tcPr>
            <w:tcW w:w="1711"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143" w:type="dxa"/>
            <w:gridSpan w:val="3"/>
            <w:tcBorders/>
            <w:shd w:fill="auto" w:val="clear"/>
            <w:vAlign w:val="center"/>
          </w:tcPr>
          <w:p>
            <w:pPr>
              <w:pStyle w:val="TableContents"/>
              <w:spacing w:before="0" w:after="0"/>
              <w:ind w:left="0" w:right="0" w:firstLine="420"/>
              <w:rPr/>
            </w:pPr>
            <w:r>
              <w:rPr/>
              <w:t> </w:t>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Store operations</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1,288</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pPr>
            <w:r>
              <w:rPr/>
              <w:t>—</w:t>
            </w:r>
          </w:p>
        </w:tc>
        <w:tc>
          <w:tcPr>
            <w:tcW w:w="6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w:t>
            </w:r>
          </w:p>
        </w:tc>
        <w:tc>
          <w:tcPr>
            <w:tcW w:w="14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2,292</w:t>
            </w:r>
          </w:p>
        </w:tc>
        <w:tc>
          <w:tcPr>
            <w:tcW w:w="2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558</w:t>
            </w:r>
          </w:p>
        </w:tc>
        <w:tc>
          <w:tcPr>
            <w:tcW w:w="6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109</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pPr>
            <w:r>
              <w:rPr/>
              <w:t>—</w:t>
            </w:r>
          </w:p>
        </w:tc>
        <w:tc>
          <w:tcPr>
            <w:tcW w:w="6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Amortization</w:t>
            </w:r>
          </w:p>
        </w:tc>
        <w:tc>
          <w:tcPr>
            <w:tcW w:w="14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21</w:t>
            </w:r>
          </w:p>
        </w:tc>
        <w:tc>
          <w:tcPr>
            <w:tcW w:w="2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auto" w:val="clear"/>
            <w:vAlign w:val="center"/>
          </w:tcPr>
          <w:p>
            <w:pPr>
              <w:pStyle w:val="TableContents"/>
              <w:spacing w:before="0" w:after="0"/>
              <w:ind w:left="0" w:right="0" w:firstLine="30"/>
              <w:rPr/>
            </w:pPr>
            <w:r>
              <w:rPr/>
              <w:t> </w:t>
            </w:r>
          </w:p>
        </w:tc>
        <w:tc>
          <w:tcPr>
            <w:tcW w:w="1463" w:type="dxa"/>
            <w:gridSpan w:val="2"/>
            <w:tcBorders/>
            <w:shd w:fill="auto" w:val="clear"/>
            <w:vAlign w:val="center"/>
          </w:tcPr>
          <w:p>
            <w:pPr>
              <w:pStyle w:val="TableContents"/>
              <w:spacing w:before="0" w:after="0"/>
              <w:jc w:val="right"/>
              <w:rPr/>
            </w:pPr>
            <w:r>
              <w:rPr/>
              <w:t>—</w:t>
            </w:r>
          </w:p>
        </w:tc>
        <w:tc>
          <w:tcPr>
            <w:tcW w:w="6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Loss on sale or disposal of assets</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223</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pPr>
            <w:r>
              <w:rPr/>
              <w:t>—</w:t>
            </w:r>
          </w:p>
        </w:tc>
        <w:tc>
          <w:tcPr>
            <w:tcW w:w="6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463"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w:t>
            </w:r>
          </w:p>
        </w:tc>
        <w:tc>
          <w:tcPr>
            <w:tcW w:w="248"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3" w:type="dxa"/>
            <w:gridSpan w:val="2"/>
            <w:tcBorders/>
            <w:shd w:fill="auto" w:val="clear"/>
            <w:vAlign w:val="center"/>
          </w:tcPr>
          <w:p>
            <w:pPr>
              <w:pStyle w:val="TableContents"/>
              <w:spacing w:before="0" w:after="0"/>
              <w:jc w:val="right"/>
              <w:rPr/>
            </w:pPr>
            <w:r>
              <w:rPr/>
              <w:t>—</w:t>
            </w:r>
          </w:p>
        </w:tc>
        <w:tc>
          <w:tcPr>
            <w:tcW w:w="680" w:type="dxa"/>
            <w:tcBorders/>
            <w:shd w:fill="auto"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Equity in net income of unconsolidated affiliates</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(12,935</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(12,157</w:t>
            </w:r>
          </w:p>
        </w:tc>
        <w:tc>
          <w:tcPr>
            <w:tcW w:w="680"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t>)</w:t>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(505</w:t>
            </w:r>
          </w:p>
        </w:tc>
        <w:tc>
          <w:tcPr>
            <w:tcW w:w="248"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auto" w:val="clear"/>
            <w:vAlign w:val="center"/>
          </w:tcPr>
          <w:p>
            <w:pPr>
              <w:pStyle w:val="TableContents"/>
              <w:spacing w:before="0" w:after="0"/>
              <w:ind w:left="0" w:right="0" w:firstLine="30"/>
              <w:rPr/>
            </w:pPr>
            <w:r>
              <w:rPr/>
              <w:t> </w:t>
            </w:r>
          </w:p>
        </w:tc>
        <w:tc>
          <w:tcPr>
            <w:tcW w:w="1463"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(168</w:t>
            </w:r>
          </w:p>
        </w:tc>
        <w:tc>
          <w:tcPr>
            <w:tcW w:w="680"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w:t>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12,286</w:t>
            </w:r>
          </w:p>
        </w:tc>
        <w:tc>
          <w:tcPr>
            <w:tcW w:w="248"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9" w:type="dxa"/>
            <w:tcBorders/>
            <w:shd w:fill="CCEEFF" w:val="clear"/>
            <w:vAlign w:val="center"/>
          </w:tcPr>
          <w:p>
            <w:pPr>
              <w:pStyle w:val="TableContents"/>
              <w:spacing w:before="0" w:after="0"/>
              <w:ind w:left="0" w:right="0" w:firstLine="30"/>
              <w:rPr/>
            </w:pPr>
            <w:r>
              <w:rPr/>
              <w:t> </w:t>
            </w:r>
          </w:p>
        </w:tc>
        <w:tc>
          <w:tcPr>
            <w:tcW w:w="180"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2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11,767</w:t>
            </w:r>
          </w:p>
        </w:tc>
        <w:tc>
          <w:tcPr>
            <w:tcW w:w="680"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Other data:</w:t>
            </w:r>
          </w:p>
        </w:tc>
        <w:tc>
          <w:tcPr>
            <w:tcW w:w="1711" w:type="dxa"/>
            <w:gridSpan w:val="3"/>
            <w:tcBorders/>
            <w:shd w:fill="auto" w:val="clear"/>
            <w:vAlign w:val="center"/>
          </w:tcPr>
          <w:p>
            <w:pPr>
              <w:pStyle w:val="TableContents"/>
              <w:spacing w:before="0" w:after="0"/>
              <w:ind w:left="0" w:right="0" w:firstLine="30"/>
              <w:rPr/>
            </w:pPr>
            <w:r>
              <w:rPr/>
              <w:t> </w:t>
            </w:r>
          </w:p>
        </w:tc>
        <w:tc>
          <w:tcPr>
            <w:tcW w:w="149" w:type="dxa"/>
            <w:tcBorders/>
            <w:shd w:fill="auto" w:val="clear"/>
            <w:vAlign w:val="center"/>
          </w:tcPr>
          <w:p>
            <w:pPr>
              <w:pStyle w:val="TableContents"/>
              <w:spacing w:before="0" w:after="0"/>
              <w:ind w:left="0" w:right="0" w:firstLine="30"/>
              <w:rPr/>
            </w:pPr>
            <w:r>
              <w:rPr/>
              <w:t> </w:t>
            </w:r>
          </w:p>
        </w:tc>
        <w:tc>
          <w:tcPr>
            <w:tcW w:w="2143" w:type="dxa"/>
            <w:gridSpan w:val="3"/>
            <w:tcBorders/>
            <w:shd w:fill="auto" w:val="clear"/>
            <w:vAlign w:val="center"/>
          </w:tcPr>
          <w:p>
            <w:pPr>
              <w:pStyle w:val="TableContents"/>
              <w:spacing w:before="0" w:after="0"/>
              <w:ind w:left="0" w:right="0" w:firstLine="420"/>
              <w:rPr/>
            </w:pPr>
            <w:r>
              <w:rPr/>
              <w:t> </w:t>
            </w:r>
          </w:p>
        </w:tc>
      </w:tr>
      <w:tr>
        <w:trPr/>
        <w:tc>
          <w:tcPr>
            <w:tcW w:w="6202"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Consumer loan bad debt as a percent of consumer loan fees</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36</w:t>
            </w:r>
          </w:p>
        </w:tc>
        <w:tc>
          <w:tcPr>
            <w:tcW w:w="248"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149" w:type="dxa"/>
            <w:tcBorders/>
            <w:shd w:fill="CCEEFF" w:val="clear"/>
            <w:vAlign w:val="center"/>
          </w:tcPr>
          <w:p>
            <w:pPr>
              <w:pStyle w:val="TableContents"/>
              <w:spacing w:before="0" w:after="0"/>
              <w:ind w:left="0" w:right="0" w:firstLine="30"/>
              <w:rPr/>
            </w:pPr>
            <w:r>
              <w:rPr/>
              <w:t> </w:t>
            </w:r>
          </w:p>
        </w:tc>
        <w:tc>
          <w:tcPr>
            <w:tcW w:w="1463"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N/A</w:t>
            </w:r>
          </w:p>
        </w:tc>
        <w:tc>
          <w:tcPr>
            <w:tcW w:w="680" w:type="dxa"/>
            <w:tcBorders/>
            <w:shd w:fill="CCEEFF" w:val="cle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In the first quarter of fiscal 2012 we began offering consumer loans online in the U.K. On April 14, we acquired a 72% interest in Cash Genie, an online lending business in the U.K. and consolidated with our existing U.K. operations. For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consumer loan fees were </w:t>
      </w:r>
      <w:r>
        <w:rPr>
          <w:rFonts w:ascii="inherit" w:hAnsi="inherit"/>
          <w:strike w:val="false"/>
          <w:dstrike w:val="false"/>
          <w:color w:val="000000"/>
          <w:sz w:val="17"/>
          <w:u w:val="none"/>
          <w:effect w:val="none"/>
        </w:rPr>
        <w:t>$4.1 million</w:t>
      </w:r>
      <w:r>
        <w:rPr>
          <w:sz w:val="17"/>
        </w:rPr>
        <w:t xml:space="preserve"> </w:t>
      </w:r>
      <w:r>
        <w:rPr>
          <w:rFonts w:ascii="inherit" w:hAnsi="inherit"/>
          <w:sz w:val="17"/>
        </w:rPr>
        <w:t xml:space="preserve">with bad debt as a percentage of fees at </w:t>
      </w:r>
      <w:r>
        <w:rPr>
          <w:rFonts w:ascii="inherit" w:hAnsi="inherit"/>
          <w:strike w:val="false"/>
          <w:dstrike w:val="false"/>
          <w:color w:val="000000"/>
          <w:sz w:val="17"/>
          <w:u w:val="none"/>
          <w:effect w:val="none"/>
        </w:rPr>
        <w:t>36%</w:t>
      </w:r>
      <w:r>
        <w:rPr>
          <w:rFonts w:ascii="inherit" w:hAnsi="inherit"/>
          <w:sz w:val="17"/>
        </w:rPr>
        <w:t xml:space="preserve">. </w:t>
      </w:r>
    </w:p>
    <w:p>
      <w:pPr>
        <w:pStyle w:val="TextBody"/>
        <w:spacing w:lineRule="auto" w:line="288" w:before="0" w:after="0"/>
        <w:rPr>
          <w:sz w:val="17"/>
        </w:rPr>
      </w:pPr>
      <w:r>
        <w:rPr>
          <w:rFonts w:ascii="inherit" w:hAnsi="inherit"/>
          <w:sz w:val="17"/>
        </w:rPr>
        <w:t xml:space="preserve">Our equity in the net income of unconsolidated affiliates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$0.8 million</w:t>
      </w:r>
      <w:r>
        <w:rPr>
          <w:rFonts w:ascii="inherit" w:hAnsi="inherit"/>
          <w:sz w:val="17"/>
        </w:rPr>
        <w:t xml:space="preserve">, or </w:t>
      </w:r>
      <w:r>
        <w:rPr>
          <w:rFonts w:ascii="inherit" w:hAnsi="inherit"/>
          <w:strike w:val="false"/>
          <w:dstrike w:val="false"/>
          <w:color w:val="000000"/>
          <w:sz w:val="17"/>
          <w:u w:val="none"/>
          <w:effect w:val="none"/>
        </w:rPr>
        <w:t>6%</w:t>
      </w:r>
      <w:r>
        <w:rPr>
          <w:rFonts w:ascii="inherit" w:hAnsi="inherit"/>
          <w:sz w:val="17"/>
        </w:rPr>
        <w:t xml:space="preserve">, from the prior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to </w:t>
      </w:r>
      <w:r>
        <w:rPr>
          <w:rFonts w:ascii="inherit" w:hAnsi="inherit"/>
          <w:strike w:val="false"/>
          <w:dstrike w:val="false"/>
          <w:color w:val="000000"/>
          <w:sz w:val="17"/>
          <w:u w:val="none"/>
          <w:effect w:val="none"/>
        </w:rPr>
        <w:t>$12.9 million</w:t>
      </w:r>
      <w:r>
        <w:rPr>
          <w:rFonts w:ascii="inherit" w:hAnsi="inherit"/>
          <w:sz w:val="17"/>
        </w:rPr>
        <w:t>. The increase is due to a strong performance from Albermarle &amp; Bond offset by a slight decrease by Cash Converters International due to a series of one-time costs.</w:t>
      </w:r>
    </w:p>
    <w:p>
      <w:pPr>
        <w:pStyle w:val="TextBody"/>
        <w:spacing w:lineRule="auto" w:line="288" w:before="0" w:after="0"/>
        <w:rPr>
          <w:sz w:val="17"/>
        </w:rPr>
      </w:pPr>
      <w:r>
        <w:rPr>
          <w:rFonts w:ascii="inherit" w:hAnsi="inherit"/>
          <w:sz w:val="17"/>
        </w:rPr>
        <w:t xml:space="preserve">In the current </w:t>
      </w:r>
      <w:r>
        <w:rPr>
          <w:rFonts w:ascii="inherit" w:hAnsi="inherit"/>
          <w:strike w:val="false"/>
          <w:dstrike w:val="false"/>
          <w:color w:val="000000"/>
          <w:sz w:val="17"/>
          <w:u w:val="none"/>
          <w:effect w:val="none"/>
        </w:rPr>
        <w:t>nine-month period</w:t>
      </w:r>
      <w:r>
        <w:rPr>
          <w:rFonts w:ascii="inherit" w:hAnsi="inherit"/>
          <w:sz w:val="17"/>
        </w:rPr>
        <w:t>, operations expenses were $3.4 million, which include $2.9 million of Cash Genie expenses.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56</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Other Items</w:t>
      </w:r>
    </w:p>
    <w:p>
      <w:pPr>
        <w:pStyle w:val="TextBody"/>
        <w:spacing w:lineRule="auto" w:line="288" w:before="0" w:after="0"/>
        <w:rPr>
          <w:rFonts w:ascii="inherit" w:hAnsi="inherit"/>
          <w:sz w:val="17"/>
        </w:rPr>
      </w:pPr>
      <w:r>
        <w:rPr>
          <w:rFonts w:ascii="inherit" w:hAnsi="inherit"/>
          <w:sz w:val="17"/>
        </w:rPr>
        <w:t>The following table reconciles our consolidated store operating income discussed above to net income, including items that affect our consolidated financial results but are not allocated among segments: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6397"/>
        <w:gridCol w:w="177"/>
        <w:gridCol w:w="1383"/>
        <w:gridCol w:w="97"/>
        <w:gridCol w:w="148"/>
        <w:gridCol w:w="177"/>
        <w:gridCol w:w="1383"/>
        <w:gridCol w:w="443"/>
      </w:tblGrid>
      <w:tr>
        <w:trPr/>
        <w:tc>
          <w:tcPr>
            <w:tcW w:w="10205" w:type="dxa"/>
            <w:gridSpan w:val="8"/>
            <w:tcBorders/>
            <w:shd w:fill="auto" w:val="clear"/>
            <w:vAlign w:val="center"/>
          </w:tcPr>
          <w:p>
            <w:pPr>
              <w:pStyle w:val="TableContents"/>
              <w:spacing w:before="0" w:after="283"/>
              <w:rPr>
                <w:sz w:val="4"/>
                <w:szCs w:val="4"/>
              </w:rPr>
            </w:pPr>
            <w:r>
              <w:rPr>
                <w:sz w:val="4"/>
                <w:szCs w:val="4"/>
              </w:rPr>
            </w:r>
          </w:p>
        </w:tc>
      </w:tr>
      <w:tr>
        <w:trPr/>
        <w:tc>
          <w:tcPr>
            <w:tcW w:w="6397"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48"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83" w:type="dxa"/>
            <w:tcBorders/>
            <w:shd w:fill="auto" w:val="clear"/>
            <w:vAlign w:val="center"/>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397" w:type="dxa"/>
            <w:tcBorders/>
            <w:shd w:fill="auto" w:val="clear"/>
            <w:vAlign w:val="center"/>
          </w:tcPr>
          <w:p>
            <w:pPr>
              <w:pStyle w:val="TableContents"/>
              <w:spacing w:before="0" w:after="0"/>
              <w:ind w:left="0" w:right="0" w:firstLine="30"/>
              <w:jc w:val="left"/>
              <w:rPr/>
            </w:pPr>
            <w:r>
              <w:rPr/>
              <w:t> </w:t>
            </w:r>
          </w:p>
        </w:tc>
        <w:tc>
          <w:tcPr>
            <w:tcW w:w="3808" w:type="dxa"/>
            <w:gridSpan w:val="7"/>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Nine Months Ended June 30,</w:t>
            </w:r>
          </w:p>
        </w:tc>
      </w:tr>
      <w:tr>
        <w:trPr/>
        <w:tc>
          <w:tcPr>
            <w:tcW w:w="6397" w:type="dxa"/>
            <w:tcBorders/>
            <w:shd w:fill="auto" w:val="clear"/>
            <w:vAlign w:val="center"/>
          </w:tcPr>
          <w:p>
            <w:pPr>
              <w:pStyle w:val="TableContents"/>
              <w:spacing w:before="0" w:after="0"/>
              <w:ind w:left="0" w:right="0" w:firstLine="30"/>
              <w:jc w:val="left"/>
              <w:rPr/>
            </w:pPr>
            <w:r>
              <w:rPr/>
              <w:t> </w:t>
            </w:r>
          </w:p>
        </w:tc>
        <w:tc>
          <w:tcPr>
            <w:tcW w:w="1657"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2012</w:t>
            </w:r>
          </w:p>
        </w:tc>
        <w:tc>
          <w:tcPr>
            <w:tcW w:w="148" w:type="dxa"/>
            <w:tcBorders/>
            <w:shd w:fill="auto" w:val="clear"/>
            <w:vAlign w:val="center"/>
          </w:tcPr>
          <w:p>
            <w:pPr>
              <w:pStyle w:val="TableContents"/>
              <w:spacing w:before="0" w:after="0"/>
              <w:ind w:left="0" w:right="0" w:firstLine="30"/>
              <w:rPr/>
            </w:pPr>
            <w:r>
              <w:rPr/>
              <w:t> </w:t>
            </w:r>
          </w:p>
        </w:tc>
        <w:tc>
          <w:tcPr>
            <w:tcW w:w="2003"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2011</w:t>
            </w:r>
          </w:p>
        </w:tc>
      </w:tr>
      <w:tr>
        <w:trPr/>
        <w:tc>
          <w:tcPr>
            <w:tcW w:w="6397" w:type="dxa"/>
            <w:tcBorders/>
            <w:shd w:fill="auto" w:val="clear"/>
            <w:vAlign w:val="center"/>
          </w:tcPr>
          <w:p>
            <w:pPr>
              <w:pStyle w:val="TableContents"/>
              <w:spacing w:before="0" w:after="0"/>
              <w:ind w:left="0" w:right="0" w:firstLine="30"/>
              <w:jc w:val="left"/>
              <w:rPr/>
            </w:pPr>
            <w:r>
              <w:rPr/>
              <w:t> </w:t>
            </w:r>
          </w:p>
        </w:tc>
        <w:tc>
          <w:tcPr>
            <w:tcW w:w="3808" w:type="dxa"/>
            <w:gridSpan w:val="7"/>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63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Segment contribution</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83" w:type="dxa"/>
            <w:tcBorders/>
            <w:shd w:fill="CCEEFF" w:val="clear"/>
            <w:vAlign w:val="center"/>
          </w:tcPr>
          <w:p>
            <w:pPr>
              <w:pStyle w:val="TableContents"/>
              <w:spacing w:before="0" w:after="0"/>
              <w:jc w:val="right"/>
              <w:rPr>
                <w:rFonts w:ascii="inherit" w:hAnsi="inherit"/>
                <w:sz w:val="17"/>
              </w:rPr>
            </w:pPr>
            <w:r>
              <w:rPr>
                <w:rFonts w:ascii="inherit" w:hAnsi="inherit"/>
                <w:sz w:val="17"/>
              </w:rPr>
              <w:t>198,639</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7"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1383" w:type="dxa"/>
            <w:tcBorders/>
            <w:shd w:fill="CCEEFF" w:val="clear"/>
            <w:vAlign w:val="center"/>
          </w:tcPr>
          <w:p>
            <w:pPr>
              <w:pStyle w:val="TableContents"/>
              <w:spacing w:before="0" w:after="0"/>
              <w:jc w:val="right"/>
              <w:rPr>
                <w:rFonts w:ascii="inherit" w:hAnsi="inherit"/>
                <w:sz w:val="17"/>
              </w:rPr>
            </w:pPr>
            <w:r>
              <w:rPr>
                <w:rFonts w:ascii="inherit" w:hAnsi="inherit"/>
                <w:sz w:val="17"/>
              </w:rPr>
              <w:t>174,910</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Administrative expenses</w:t>
            </w:r>
          </w:p>
        </w:tc>
        <w:tc>
          <w:tcPr>
            <w:tcW w:w="1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33,664</w:t>
            </w:r>
          </w:p>
        </w:tc>
        <w:tc>
          <w:tcPr>
            <w:tcW w:w="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60"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38,559</w:t>
            </w:r>
          </w:p>
        </w:tc>
        <w:tc>
          <w:tcPr>
            <w:tcW w:w="4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Depreciation</w:t>
            </w:r>
          </w:p>
        </w:tc>
        <w:tc>
          <w:tcPr>
            <w:tcW w:w="1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3,999</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2,753</w:t>
            </w:r>
          </w:p>
        </w:tc>
        <w:tc>
          <w:tcPr>
            <w:tcW w:w="44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net</w:t>
            </w:r>
          </w:p>
        </w:tc>
        <w:tc>
          <w:tcPr>
            <w:tcW w:w="15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1,937</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1,127</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Consolidated income before income taxes</w:t>
            </w:r>
          </w:p>
        </w:tc>
        <w:tc>
          <w:tcPr>
            <w:tcW w:w="1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159,039</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60" w:type="dxa"/>
            <w:gridSpan w:val="2"/>
            <w:tcBorders>
              <w:top w:val="single" w:sz="2" w:space="0" w:color="000000"/>
            </w:tcBorders>
            <w:shd w:fill="CCEEFF" w:val="clear"/>
            <w:tcMar>
              <w:top w:w="30" w:type="dxa"/>
            </w:tcMar>
            <w:vAlign w:val="center"/>
          </w:tcPr>
          <w:p>
            <w:pPr>
              <w:pStyle w:val="TableContents"/>
              <w:spacing w:before="0" w:after="0"/>
              <w:jc w:val="right"/>
              <w:rPr>
                <w:rFonts w:ascii="inherit" w:hAnsi="inherit"/>
                <w:sz w:val="17"/>
              </w:rPr>
            </w:pPr>
            <w:r>
              <w:rPr>
                <w:rFonts w:ascii="inherit" w:hAnsi="inherit"/>
                <w:sz w:val="17"/>
              </w:rPr>
              <w:t>132,471</w:t>
            </w:r>
          </w:p>
        </w:tc>
        <w:tc>
          <w:tcPr>
            <w:tcW w:w="443" w:type="dxa"/>
            <w:tcBorders>
              <w:top w:val="single" w:sz="2" w:space="0" w:color="000000"/>
            </w:tcBorders>
            <w:shd w:fill="CCEEFF" w:val="clear"/>
            <w:tcMar>
              <w:top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63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Income tax expense</w:t>
            </w:r>
          </w:p>
        </w:tc>
        <w:tc>
          <w:tcPr>
            <w:tcW w:w="15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52,603</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46,677</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w:t>
            </w:r>
          </w:p>
        </w:tc>
        <w:tc>
          <w:tcPr>
            <w:tcW w:w="1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106,436</w:t>
            </w:r>
          </w:p>
        </w:tc>
        <w:tc>
          <w:tcPr>
            <w:tcW w:w="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560"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85,794</w:t>
            </w:r>
          </w:p>
        </w:tc>
        <w:tc>
          <w:tcPr>
            <w:tcW w:w="443" w:type="dxa"/>
            <w:tcBorders/>
            <w:shd w:fill="CCEEFF" w:val="cle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7"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noncontrolling interest</w:t>
            </w:r>
          </w:p>
        </w:tc>
        <w:tc>
          <w:tcPr>
            <w:tcW w:w="1560"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1,300</w:t>
            </w:r>
          </w:p>
        </w:tc>
        <w:tc>
          <w:tcPr>
            <w:tcW w:w="97"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auto" w:val="clear"/>
            <w:vAlign w:val="center"/>
          </w:tcPr>
          <w:p>
            <w:pPr>
              <w:pStyle w:val="TableContents"/>
              <w:spacing w:before="0" w:after="0"/>
              <w:ind w:left="0" w:right="0" w:firstLine="30"/>
              <w:rPr/>
            </w:pPr>
            <w:r>
              <w:rPr/>
              <w:t> </w:t>
            </w:r>
          </w:p>
        </w:tc>
        <w:tc>
          <w:tcPr>
            <w:tcW w:w="1560"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443" w:type="dxa"/>
            <w:tcBorders>
              <w:bottom w:val="single" w:sz="2" w:space="0" w:color="000000"/>
            </w:tcBorders>
            <w:shd w:fill="auto" w:val="clear"/>
            <w:tcMar>
              <w:bottom w:w="28" w:type="dxa"/>
            </w:tcMar>
            <w:vAlign w:val="center"/>
          </w:tcPr>
          <w:p>
            <w:pPr>
              <w:pStyle w:val="TableContents"/>
              <w:spacing w:before="0" w:after="0"/>
              <w:ind w:left="0" w:right="0" w:firstLine="420"/>
              <w:jc w:val="left"/>
              <w:rPr>
                <w:rFonts w:ascii="inherit" w:hAnsi="inherit"/>
                <w:sz w:val="17"/>
              </w:rPr>
            </w:pPr>
            <w:r>
              <w:rPr>
                <w:rFonts w:ascii="inherit" w:hAnsi="inherit"/>
                <w:sz w:val="17"/>
              </w:rPr>
            </w:r>
          </w:p>
        </w:tc>
      </w:tr>
      <w:tr>
        <w:trPr/>
        <w:tc>
          <w:tcPr>
            <w:tcW w:w="6397"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Net income attributable to EZCORP, Inc.</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105,136</w:t>
            </w:r>
          </w:p>
        </w:tc>
        <w:tc>
          <w:tcPr>
            <w:tcW w:w="97"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48" w:type="dxa"/>
            <w:tcBorders/>
            <w:shd w:fill="CCEEFF" w:val="clear"/>
            <w:vAlign w:val="center"/>
          </w:tcPr>
          <w:p>
            <w:pPr>
              <w:pStyle w:val="TableContents"/>
              <w:spacing w:before="0" w:after="0"/>
              <w:ind w:left="0" w:right="0" w:firstLine="30"/>
              <w:rPr/>
            </w:pPr>
            <w:r>
              <w:rPr/>
              <w:t> </w:t>
            </w:r>
          </w:p>
        </w:tc>
        <w:tc>
          <w:tcPr>
            <w:tcW w:w="177"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1383"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85,794</w:t>
            </w:r>
          </w:p>
        </w:tc>
        <w:tc>
          <w:tcPr>
            <w:tcW w:w="443" w:type="dxa"/>
            <w:tcBorders>
              <w:bottom w:val="double" w:sz="6" w:space="0" w:color="000000"/>
            </w:tcBorders>
            <w:shd w:fill="CCEEFF" w:val="clear"/>
            <w:tcMar>
              <w:bottom w:w="28" w:type="dxa"/>
            </w:tcMar>
            <w:vAlign w:val="center"/>
          </w:tcPr>
          <w:p>
            <w:pPr>
              <w:pStyle w:val="TableContents"/>
              <w:spacing w:before="0" w:after="0"/>
              <w:jc w:val="left"/>
              <w:rPr>
                <w:rFonts w:ascii="inherit" w:hAnsi="inherit"/>
                <w:sz w:val="17"/>
              </w:rPr>
            </w:pPr>
            <w:r>
              <w:rPr>
                <w:rFonts w:ascii="inherit" w:hAnsi="inherit"/>
                <w:sz w:val="17"/>
              </w:rPr>
            </w:r>
          </w:p>
        </w:tc>
      </w:tr>
    </w:tbl>
    <w:p>
      <w:pPr>
        <w:pStyle w:val="TextBody"/>
        <w:spacing w:lineRule="auto" w:line="288" w:before="0" w:after="0"/>
        <w:rPr>
          <w:sz w:val="17"/>
        </w:rPr>
      </w:pPr>
      <w:r>
        <w:rPr>
          <w:rFonts w:ascii="inherit" w:hAnsi="inherit"/>
          <w:sz w:val="17"/>
        </w:rPr>
        <w:t xml:space="preserve">Corporate expenses </w:t>
      </w:r>
      <w:r>
        <w:rPr>
          <w:rFonts w:ascii="inherit" w:hAnsi="inherit"/>
          <w:strike w:val="false"/>
          <w:dstrike w:val="false"/>
          <w:color w:val="000000"/>
          <w:sz w:val="17"/>
          <w:u w:val="none"/>
          <w:effect w:val="none"/>
        </w:rPr>
        <w:t>decreased</w:t>
      </w:r>
      <w:r>
        <w:rPr>
          <w:sz w:val="17"/>
        </w:rPr>
        <w:t xml:space="preserve"> </w:t>
      </w:r>
      <w:r>
        <w:rPr>
          <w:rFonts w:ascii="inherit" w:hAnsi="inherit"/>
          <w:strike w:val="false"/>
          <w:dstrike w:val="false"/>
          <w:color w:val="000000"/>
          <w:sz w:val="17"/>
          <w:u w:val="none"/>
          <w:effect w:val="none"/>
        </w:rPr>
        <w:t>$2.8 million</w:t>
      </w:r>
      <w:r>
        <w:rPr>
          <w:rFonts w:ascii="inherit" w:hAnsi="inherit"/>
          <w:sz w:val="17"/>
        </w:rPr>
        <w:t xml:space="preserve">, or </w:t>
      </w:r>
      <w:r>
        <w:rPr>
          <w:rFonts w:ascii="inherit" w:hAnsi="inherit"/>
          <w:strike w:val="false"/>
          <w:dstrike w:val="false"/>
          <w:color w:val="000000"/>
          <w:sz w:val="17"/>
          <w:u w:val="none"/>
          <w:effect w:val="none"/>
        </w:rPr>
        <w:t>7%</w:t>
      </w:r>
      <w:r>
        <w:rPr>
          <w:rFonts w:ascii="inherit" w:hAnsi="inherit"/>
          <w:sz w:val="17"/>
        </w:rPr>
        <w:t xml:space="preserve">, to </w:t>
      </w:r>
      <w:r>
        <w:rPr>
          <w:rFonts w:ascii="inherit" w:hAnsi="inherit"/>
          <w:strike w:val="false"/>
          <w:dstrike w:val="false"/>
          <w:color w:val="000000"/>
          <w:sz w:val="17"/>
          <w:u w:val="none"/>
          <w:effect w:val="none"/>
        </w:rPr>
        <w:t>$39.6 million</w:t>
      </w:r>
      <w:r>
        <w:rPr>
          <w:sz w:val="17"/>
        </w:rPr>
        <w:t xml:space="preserve"> </w:t>
      </w:r>
      <w:r>
        <w:rPr>
          <w:rFonts w:ascii="inherit" w:hAnsi="inherit"/>
          <w:sz w:val="17"/>
        </w:rPr>
        <w:t xml:space="preserve">as a result of a $4.9 million decrease in administrative expenses to </w:t>
      </w:r>
      <w:r>
        <w:rPr>
          <w:rFonts w:ascii="inherit" w:hAnsi="inherit"/>
          <w:strike w:val="false"/>
          <w:dstrike w:val="false"/>
          <w:color w:val="000000"/>
          <w:sz w:val="17"/>
          <w:u w:val="none"/>
          <w:effect w:val="none"/>
        </w:rPr>
        <w:t>$33.7 million</w:t>
      </w:r>
      <w:r>
        <w:rPr>
          <w:rFonts w:ascii="inherit" w:hAnsi="inherit"/>
          <w:sz w:val="17"/>
        </w:rPr>
        <w:t xml:space="preserve">. This decrease is primarily due to a pre-tax charge of </w:t>
      </w:r>
      <w:r>
        <w:rPr>
          <w:rFonts w:ascii="inherit" w:hAnsi="inherit"/>
          <w:strike w:val="false"/>
          <w:dstrike w:val="false"/>
          <w:color w:val="000000"/>
          <w:sz w:val="17"/>
          <w:u w:val="none"/>
          <w:effect w:val="none"/>
        </w:rPr>
        <w:t>$10.9 million</w:t>
      </w:r>
      <w:r>
        <w:rPr>
          <w:sz w:val="17"/>
        </w:rPr>
        <w:t xml:space="preserve"> </w:t>
      </w:r>
      <w:r>
        <w:rPr>
          <w:rFonts w:ascii="inherit" w:hAnsi="inherit"/>
          <w:sz w:val="17"/>
        </w:rPr>
        <w:t xml:space="preserve">related to the retirement of our former Chief Executive officer in the prior </w:t>
      </w:r>
      <w:r>
        <w:rPr>
          <w:rFonts w:ascii="inherit" w:hAnsi="inherit"/>
          <w:strike w:val="false"/>
          <w:dstrike w:val="false"/>
          <w:color w:val="000000"/>
          <w:sz w:val="17"/>
          <w:u w:val="none"/>
          <w:effect w:val="none"/>
        </w:rPr>
        <w:t>nine-month period</w:t>
      </w:r>
      <w:r>
        <w:rPr>
          <w:rFonts w:ascii="inherit" w:hAnsi="inherit"/>
          <w:sz w:val="17"/>
        </w:rPr>
        <w:t xml:space="preserve">. This charge included </w:t>
      </w:r>
      <w:r>
        <w:rPr>
          <w:rFonts w:ascii="inherit" w:hAnsi="inherit"/>
          <w:strike w:val="false"/>
          <w:dstrike w:val="false"/>
          <w:color w:val="000000"/>
          <w:sz w:val="17"/>
          <w:u w:val="none"/>
          <w:effect w:val="none"/>
        </w:rPr>
        <w:t>$3.4 million</w:t>
      </w:r>
      <w:r>
        <w:rPr>
          <w:sz w:val="17"/>
        </w:rPr>
        <w:t xml:space="preserve"> </w:t>
      </w:r>
      <w:r>
        <w:rPr>
          <w:rFonts w:ascii="inherit" w:hAnsi="inherit"/>
          <w:sz w:val="17"/>
        </w:rPr>
        <w:t xml:space="preserve">attributable to a cash payment and </w:t>
      </w:r>
      <w:r>
        <w:rPr>
          <w:rFonts w:ascii="inherit" w:hAnsi="inherit"/>
          <w:strike w:val="false"/>
          <w:dstrike w:val="false"/>
          <w:color w:val="000000"/>
          <w:sz w:val="17"/>
          <w:u w:val="none"/>
          <w:effect w:val="none"/>
        </w:rPr>
        <w:t>$7.5 million</w:t>
      </w:r>
      <w:r>
        <w:rPr>
          <w:sz w:val="17"/>
        </w:rPr>
        <w:t xml:space="preserve"> </w:t>
      </w:r>
      <w:r>
        <w:rPr>
          <w:rFonts w:ascii="inherit" w:hAnsi="inherit"/>
          <w:sz w:val="17"/>
        </w:rPr>
        <w:t xml:space="preserve">attributable to the accelerated vesting of restricted stock. Excluding this charge, administrative expenses increased </w:t>
      </w:r>
      <w:r>
        <w:rPr>
          <w:rFonts w:ascii="inherit" w:hAnsi="inherit"/>
          <w:strike w:val="false"/>
          <w:dstrike w:val="false"/>
          <w:color w:val="000000"/>
          <w:sz w:val="17"/>
          <w:u w:val="none"/>
          <w:effect w:val="none"/>
        </w:rPr>
        <w:t>$6.0 million</w:t>
      </w:r>
      <w:r>
        <w:rPr>
          <w:rFonts w:ascii="inherit" w:hAnsi="inherit"/>
          <w:sz w:val="17"/>
        </w:rPr>
        <w:t xml:space="preserve">, mostly related to an increase in professional fees associated with our continued investment in growth and profitability initiatives. In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interest expense increased </w:t>
      </w:r>
      <w:r>
        <w:rPr>
          <w:rFonts w:ascii="inherit" w:hAnsi="inherit"/>
          <w:strike w:val="false"/>
          <w:dstrike w:val="false"/>
          <w:color w:val="000000"/>
          <w:sz w:val="17"/>
          <w:u w:val="none"/>
          <w:effect w:val="none"/>
        </w:rPr>
        <w:t>72%</w:t>
      </w:r>
      <w:r>
        <w:rPr>
          <w:sz w:val="17"/>
        </w:rPr>
        <w:t xml:space="preserve"> </w:t>
      </w:r>
      <w:r>
        <w:rPr>
          <w:rFonts w:ascii="inherit" w:hAnsi="inherit"/>
          <w:sz w:val="17"/>
        </w:rPr>
        <w:t xml:space="preserve">due to greater utilization of our revolver and depreciation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45%</w:t>
      </w:r>
      <w:r>
        <w:rPr>
          <w:sz w:val="17"/>
        </w:rPr>
        <w:t xml:space="preserve"> </w:t>
      </w:r>
      <w:r>
        <w:rPr>
          <w:rFonts w:ascii="inherit" w:hAnsi="inherit"/>
          <w:sz w:val="17"/>
        </w:rPr>
        <w:t>due to assets placed in service as we continue to invest in the infrastructure to support our growth.</w:t>
      </w:r>
    </w:p>
    <w:p>
      <w:pPr>
        <w:pStyle w:val="TextBody"/>
        <w:spacing w:lineRule="auto" w:line="288" w:before="0" w:after="0"/>
        <w:rPr>
          <w:sz w:val="17"/>
        </w:rPr>
      </w:pPr>
      <w:r>
        <w:rPr>
          <w:rFonts w:ascii="inherit" w:hAnsi="inherit"/>
          <w:sz w:val="17"/>
        </w:rPr>
        <w:t xml:space="preserve">Consolidated income before taxes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$26.6 million</w:t>
      </w:r>
      <w:r>
        <w:rPr>
          <w:rFonts w:ascii="inherit" w:hAnsi="inherit"/>
          <w:sz w:val="17"/>
        </w:rPr>
        <w:t xml:space="preserve">, or </w:t>
      </w:r>
      <w:r>
        <w:rPr>
          <w:rFonts w:ascii="inherit" w:hAnsi="inherit"/>
          <w:strike w:val="false"/>
          <w:dstrike w:val="false"/>
          <w:color w:val="000000"/>
          <w:sz w:val="17"/>
          <w:u w:val="none"/>
          <w:effect w:val="none"/>
        </w:rPr>
        <w:t>20%</w:t>
      </w:r>
      <w:r>
        <w:rPr>
          <w:rFonts w:ascii="inherit" w:hAnsi="inherit"/>
          <w:sz w:val="17"/>
        </w:rPr>
        <w:t xml:space="preserve">, to </w:t>
      </w:r>
      <w:r>
        <w:rPr>
          <w:rFonts w:ascii="inherit" w:hAnsi="inherit"/>
          <w:strike w:val="false"/>
          <w:dstrike w:val="false"/>
          <w:color w:val="000000"/>
          <w:sz w:val="17"/>
          <w:u w:val="none"/>
          <w:effect w:val="none"/>
        </w:rPr>
        <w:t>$159.0 million</w:t>
      </w:r>
      <w:r>
        <w:rPr>
          <w:sz w:val="17"/>
        </w:rPr>
        <w:t xml:space="preserve"> </w:t>
      </w:r>
      <w:r>
        <w:rPr>
          <w:rFonts w:ascii="inherit" w:hAnsi="inherit"/>
          <w:sz w:val="17"/>
        </w:rPr>
        <w:t xml:space="preserve">mostly due to a </w:t>
      </w:r>
      <w:r>
        <w:rPr>
          <w:rFonts w:ascii="inherit" w:hAnsi="inherit"/>
          <w:strike w:val="false"/>
          <w:dstrike w:val="false"/>
          <w:color w:val="000000"/>
          <w:sz w:val="17"/>
          <w:u w:val="none"/>
          <w:effect w:val="none"/>
        </w:rPr>
        <w:t>$12.7 million</w:t>
      </w:r>
      <w:r>
        <w:rPr>
          <w:sz w:val="17"/>
        </w:rPr>
        <w:t xml:space="preserve"> </w:t>
      </w:r>
      <w:r>
        <w:rPr>
          <w:rFonts w:ascii="inherit" w:hAnsi="inherit"/>
          <w:sz w:val="17"/>
        </w:rPr>
        <w:t xml:space="preserve">, </w:t>
      </w:r>
      <w:r>
        <w:rPr>
          <w:rFonts w:ascii="inherit" w:hAnsi="inherit"/>
          <w:strike w:val="false"/>
          <w:dstrike w:val="false"/>
          <w:color w:val="000000"/>
          <w:sz w:val="17"/>
          <w:u w:val="none"/>
          <w:effect w:val="none"/>
        </w:rPr>
        <w:t>$10.5 million</w:t>
      </w:r>
      <w:r>
        <w:rPr>
          <w:sz w:val="17"/>
        </w:rPr>
        <w:t xml:space="preserve"> </w:t>
      </w:r>
      <w:r>
        <w:rPr>
          <w:rFonts w:ascii="inherit" w:hAnsi="inherit"/>
          <w:sz w:val="17"/>
        </w:rPr>
        <w:t xml:space="preserve">and </w:t>
      </w:r>
      <w:r>
        <w:rPr>
          <w:rFonts w:ascii="inherit" w:hAnsi="inherit"/>
          <w:strike w:val="false"/>
          <w:dstrike w:val="false"/>
          <w:color w:val="000000"/>
          <w:sz w:val="17"/>
          <w:u w:val="none"/>
          <w:effect w:val="none"/>
        </w:rPr>
        <w:t>$0.5 million</w:t>
      </w:r>
      <w:r>
        <w:rPr>
          <w:sz w:val="17"/>
        </w:rPr>
        <w:t xml:space="preserve">  </w:t>
      </w:r>
      <w:r>
        <w:rPr>
          <w:rFonts w:ascii="inherit" w:hAnsi="inherit"/>
          <w:strike w:val="false"/>
          <w:dstrike w:val="false"/>
          <w:color w:val="000000"/>
          <w:sz w:val="17"/>
          <w:u w:val="none"/>
          <w:effect w:val="none"/>
        </w:rPr>
        <w:t>increase</w:t>
      </w:r>
      <w:r>
        <w:rPr>
          <w:sz w:val="17"/>
        </w:rPr>
        <w:t xml:space="preserve"> </w:t>
      </w:r>
      <w:r>
        <w:rPr>
          <w:rFonts w:ascii="inherit" w:hAnsi="inherit"/>
          <w:sz w:val="17"/>
        </w:rPr>
        <w:t xml:space="preserve">in contribution from the U.S. &amp; Canada, Latin America and Other International segments respectively, partially offset by a </w:t>
      </w:r>
      <w:r>
        <w:rPr>
          <w:rFonts w:ascii="inherit" w:hAnsi="inherit"/>
          <w:strike w:val="false"/>
          <w:dstrike w:val="false"/>
          <w:color w:val="000000"/>
          <w:sz w:val="17"/>
          <w:u w:val="none"/>
          <w:effect w:val="none"/>
        </w:rPr>
        <w:t>$2.8 million</w:t>
      </w:r>
      <w:r>
        <w:rPr>
          <w:sz w:val="17"/>
        </w:rPr>
        <w:t xml:space="preserve"> </w:t>
      </w:r>
      <w:r>
        <w:rPr>
          <w:rFonts w:ascii="inherit" w:hAnsi="inherit"/>
          <w:strike w:val="false"/>
          <w:dstrike w:val="false"/>
          <w:color w:val="000000"/>
          <w:sz w:val="17"/>
          <w:u w:val="none"/>
          <w:effect w:val="none"/>
        </w:rPr>
        <w:t>decrease</w:t>
      </w:r>
      <w:r>
        <w:rPr>
          <w:sz w:val="17"/>
        </w:rPr>
        <w:t xml:space="preserve"> </w:t>
      </w:r>
      <w:r>
        <w:rPr>
          <w:rFonts w:ascii="inherit" w:hAnsi="inherit"/>
          <w:sz w:val="17"/>
        </w:rPr>
        <w:t xml:space="preserve">in corporate expenses . </w:t>
      </w:r>
    </w:p>
    <w:p>
      <w:pPr>
        <w:pStyle w:val="TextBody"/>
        <w:spacing w:lineRule="auto" w:line="288" w:before="0" w:after="0"/>
        <w:rPr>
          <w:sz w:val="17"/>
        </w:rPr>
      </w:pPr>
      <w:r>
        <w:rPr>
          <w:rFonts w:ascii="inherit" w:hAnsi="inherit"/>
          <w:sz w:val="17"/>
        </w:rPr>
        <w:t xml:space="preserve">In the current </w:t>
      </w:r>
      <w:r>
        <w:rPr>
          <w:rFonts w:ascii="inherit" w:hAnsi="inherit"/>
          <w:strike w:val="false"/>
          <w:dstrike w:val="false"/>
          <w:color w:val="000000"/>
          <w:sz w:val="17"/>
          <w:u w:val="none"/>
          <w:effect w:val="none"/>
        </w:rPr>
        <w:t>nine-month period</w:t>
      </w:r>
      <w:r>
        <w:rPr>
          <w:rFonts w:ascii="inherit" w:hAnsi="inherit"/>
          <w:sz w:val="17"/>
        </w:rPr>
        <w:t xml:space="preserve">, income tax expense increased </w:t>
      </w:r>
      <w:r>
        <w:rPr>
          <w:rFonts w:ascii="inherit" w:hAnsi="inherit"/>
          <w:strike w:val="false"/>
          <w:dstrike w:val="false"/>
          <w:color w:val="000000"/>
          <w:sz w:val="17"/>
          <w:u w:val="none"/>
          <w:effect w:val="none"/>
        </w:rPr>
        <w:t>$5.9 million</w:t>
      </w:r>
      <w:r>
        <w:rPr>
          <w:rFonts w:ascii="inherit" w:hAnsi="inherit"/>
          <w:sz w:val="17"/>
        </w:rPr>
        <w:t xml:space="preserve">, or </w:t>
      </w:r>
      <w:r>
        <w:rPr>
          <w:rFonts w:ascii="inherit" w:hAnsi="inherit"/>
          <w:strike w:val="false"/>
          <w:dstrike w:val="false"/>
          <w:color w:val="000000"/>
          <w:sz w:val="17"/>
          <w:u w:val="none"/>
          <w:effect w:val="none"/>
        </w:rPr>
        <w:t>13%</w:t>
      </w:r>
      <w:r>
        <w:rPr>
          <w:rFonts w:ascii="inherit" w:hAnsi="inherit"/>
          <w:sz w:val="17"/>
        </w:rPr>
        <w:t xml:space="preserve">, to </w:t>
      </w:r>
      <w:r>
        <w:rPr>
          <w:rFonts w:ascii="inherit" w:hAnsi="inherit"/>
          <w:strike w:val="false"/>
          <w:dstrike w:val="false"/>
          <w:color w:val="000000"/>
          <w:sz w:val="17"/>
          <w:u w:val="none"/>
          <w:effect w:val="none"/>
        </w:rPr>
        <w:t>$52.6 million</w:t>
      </w:r>
      <w:r>
        <w:rPr>
          <w:rFonts w:ascii="inherit" w:hAnsi="inherit"/>
          <w:sz w:val="17"/>
        </w:rPr>
        <w:t xml:space="preserve">. The current </w:t>
      </w:r>
      <w:r>
        <w:rPr>
          <w:rFonts w:ascii="inherit" w:hAnsi="inherit"/>
          <w:strike w:val="false"/>
          <w:dstrike w:val="false"/>
          <w:color w:val="000000"/>
          <w:sz w:val="17"/>
          <w:u w:val="none"/>
          <w:effect w:val="none"/>
        </w:rPr>
        <w:t>nine-month period</w:t>
      </w:r>
      <w:r>
        <w:rPr>
          <w:sz w:val="17"/>
        </w:rPr>
        <w:t xml:space="preserve"> </w:t>
      </w:r>
      <w:r>
        <w:rPr>
          <w:rFonts w:ascii="inherit" w:hAnsi="inherit"/>
          <w:sz w:val="17"/>
        </w:rPr>
        <w:t xml:space="preserve">effective tax rate is </w:t>
      </w:r>
      <w:r>
        <w:rPr>
          <w:rFonts w:ascii="inherit" w:hAnsi="inherit"/>
          <w:strike w:val="false"/>
          <w:dstrike w:val="false"/>
          <w:color w:val="000000"/>
          <w:sz w:val="17"/>
          <w:u w:val="none"/>
          <w:effect w:val="none"/>
        </w:rPr>
        <w:t>33.1%</w:t>
      </w:r>
      <w:r>
        <w:rPr>
          <w:sz w:val="17"/>
        </w:rPr>
        <w:t xml:space="preserve"> </w:t>
      </w:r>
      <w:r>
        <w:rPr>
          <w:rFonts w:ascii="inherit" w:hAnsi="inherit"/>
          <w:sz w:val="17"/>
        </w:rPr>
        <w:t xml:space="preserve">compared to </w:t>
      </w:r>
      <w:r>
        <w:rPr>
          <w:rFonts w:ascii="inherit" w:hAnsi="inherit"/>
          <w:strike w:val="false"/>
          <w:dstrike w:val="false"/>
          <w:color w:val="000000"/>
          <w:sz w:val="17"/>
          <w:u w:val="none"/>
          <w:effect w:val="none"/>
        </w:rPr>
        <w:t>35.2%</w:t>
      </w:r>
      <w:r>
        <w:rPr>
          <w:sz w:val="17"/>
        </w:rPr>
        <w:t xml:space="preserve"> </w:t>
      </w:r>
      <w:r>
        <w:rPr>
          <w:rFonts w:ascii="inherit" w:hAnsi="inherit"/>
          <w:sz w:val="17"/>
        </w:rPr>
        <w:t xml:space="preserve">in the prior </w:t>
      </w:r>
      <w:r>
        <w:rPr>
          <w:rFonts w:ascii="inherit" w:hAnsi="inherit"/>
          <w:strike w:val="false"/>
          <w:dstrike w:val="false"/>
          <w:color w:val="000000"/>
          <w:sz w:val="17"/>
          <w:u w:val="none"/>
          <w:effect w:val="none"/>
        </w:rPr>
        <w:t>nine-month period</w:t>
      </w:r>
      <w:r>
        <w:rPr>
          <w:rFonts w:ascii="inherit" w:hAnsi="inherit"/>
          <w:sz w:val="17"/>
        </w:rPr>
        <w:t>. The decrease is primarily due to the determination that the undistributed earnings of non-U.S. subsidiaries on which income taxes were previously recorded will not be repatriated in the foreseeable future, as well as the recognition of state net operating losses.</w:t>
      </w:r>
    </w:p>
    <w:p>
      <w:pPr>
        <w:pStyle w:val="TextBody"/>
        <w:spacing w:lineRule="auto" w:line="288" w:before="0" w:after="0"/>
        <w:rPr>
          <w:sz w:val="17"/>
        </w:rPr>
      </w:pPr>
      <w:r>
        <w:rPr>
          <w:rFonts w:ascii="inherit" w:hAnsi="inherit"/>
          <w:sz w:val="17"/>
        </w:rPr>
        <w:t xml:space="preserve">In the current </w:t>
      </w:r>
      <w:r>
        <w:rPr>
          <w:rFonts w:ascii="inherit" w:hAnsi="inherit"/>
          <w:strike w:val="false"/>
          <w:dstrike w:val="false"/>
          <w:color w:val="000000"/>
          <w:sz w:val="17"/>
          <w:u w:val="none"/>
          <w:effect w:val="none"/>
        </w:rPr>
        <w:t>nine-month period</w:t>
      </w:r>
      <w:r>
        <w:rPr>
          <w:rFonts w:ascii="inherit" w:hAnsi="inherit"/>
          <w:sz w:val="17"/>
        </w:rPr>
        <w:t xml:space="preserve">, net income attributable to EZCORP, Inc. </w:t>
      </w:r>
      <w:r>
        <w:rPr>
          <w:rFonts w:ascii="inherit" w:hAnsi="inherit"/>
          <w:strike w:val="false"/>
          <w:dstrike w:val="false"/>
          <w:color w:val="000000"/>
          <w:sz w:val="17"/>
          <w:u w:val="none"/>
          <w:effect w:val="none"/>
        </w:rPr>
        <w:t>increased</w:t>
      </w:r>
      <w:r>
        <w:rPr>
          <w:sz w:val="17"/>
        </w:rPr>
        <w:t xml:space="preserve"> </w:t>
      </w:r>
      <w:r>
        <w:rPr>
          <w:rFonts w:ascii="inherit" w:hAnsi="inherit"/>
          <w:strike w:val="false"/>
          <w:dstrike w:val="false"/>
          <w:color w:val="000000"/>
          <w:sz w:val="17"/>
          <w:u w:val="none"/>
          <w:effect w:val="none"/>
        </w:rPr>
        <w:t>$19.3 million</w:t>
      </w:r>
      <w:r>
        <w:rPr>
          <w:rFonts w:ascii="inherit" w:hAnsi="inherit"/>
          <w:sz w:val="17"/>
        </w:rPr>
        <w:t xml:space="preserve">, or </w:t>
      </w:r>
      <w:r>
        <w:rPr>
          <w:rFonts w:ascii="inherit" w:hAnsi="inherit"/>
          <w:strike w:val="false"/>
          <w:dstrike w:val="false"/>
          <w:color w:val="000000"/>
          <w:sz w:val="17"/>
          <w:u w:val="none"/>
          <w:effect w:val="none"/>
        </w:rPr>
        <w:t>23%</w:t>
      </w:r>
      <w:r>
        <w:rPr>
          <w:rFonts w:ascii="inherit" w:hAnsi="inherit"/>
          <w:sz w:val="17"/>
        </w:rPr>
        <w:t xml:space="preserve">, to </w:t>
      </w:r>
      <w:r>
        <w:rPr>
          <w:rFonts w:ascii="inherit" w:hAnsi="inherit"/>
          <w:strike w:val="false"/>
          <w:dstrike w:val="false"/>
          <w:color w:val="000000"/>
          <w:sz w:val="17"/>
          <w:u w:val="none"/>
          <w:effect w:val="none"/>
        </w:rPr>
        <w:t>$105.1 million</w:t>
      </w:r>
      <w:r>
        <w:rPr>
          <w:rFonts w:ascii="inherit" w:hAnsi="inherit"/>
          <w:sz w:val="17"/>
        </w:rPr>
        <w:t xml:space="preserve">, after </w:t>
      </w:r>
      <w:r>
        <w:rPr>
          <w:rFonts w:ascii="inherit" w:hAnsi="inherit"/>
          <w:strike w:val="false"/>
          <w:dstrike w:val="false"/>
          <w:color w:val="000000"/>
          <w:sz w:val="17"/>
          <w:u w:val="none"/>
          <w:effect w:val="none"/>
        </w:rPr>
        <w:t>$1.3 million</w:t>
      </w:r>
      <w:r>
        <w:rPr>
          <w:sz w:val="17"/>
        </w:rPr>
        <w:t xml:space="preserve"> </w:t>
      </w:r>
      <w:r>
        <w:rPr>
          <w:rFonts w:ascii="inherit" w:hAnsi="inherit"/>
          <w:sz w:val="17"/>
        </w:rPr>
        <w:t>of net income attributable to the noncontrolling interest.</w:t>
      </w:r>
    </w:p>
    <w:p>
      <w:pPr>
        <w:pStyle w:val="TextBody"/>
        <w:spacing w:lineRule="auto" w:line="288" w:before="0" w:after="0"/>
        <w:rPr>
          <w:rFonts w:ascii="inherit" w:hAnsi="inherit"/>
          <w:sz w:val="17"/>
        </w:rPr>
      </w:pPr>
      <w:r>
        <w:rPr>
          <w:rFonts w:ascii="inherit" w:hAnsi="inherit"/>
          <w:sz w:val="17"/>
        </w:rPr>
      </w:r>
      <w:bookmarkStart w:id="41" w:name="sEC66456876F45175055CA4124914251C"/>
      <w:bookmarkStart w:id="42" w:name="sEC66456876F45175055CA4124914251C"/>
      <w:bookmarkEnd w:id="42"/>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Liquidity and Capital Resources</w:t>
      </w:r>
    </w:p>
    <w:p>
      <w:pPr>
        <w:pStyle w:val="TextBody"/>
        <w:spacing w:lineRule="auto" w:line="288" w:before="0" w:after="0"/>
        <w:rPr>
          <w:sz w:val="17"/>
        </w:rPr>
      </w:pPr>
      <w:r>
        <w:rPr>
          <w:rFonts w:ascii="inherit" w:hAnsi="inherit"/>
          <w:sz w:val="17"/>
        </w:rPr>
        <w:t xml:space="preserve">In the current nine-month period, our </w:t>
      </w:r>
      <w:r>
        <w:rPr>
          <w:rFonts w:ascii="inherit" w:hAnsi="inherit"/>
          <w:strike w:val="false"/>
          <w:dstrike w:val="false"/>
          <w:color w:val="000000"/>
          <w:sz w:val="17"/>
          <w:u w:val="none"/>
          <w:effect w:val="none"/>
        </w:rPr>
        <w:t>$104.1 million</w:t>
      </w:r>
      <w:r>
        <w:rPr>
          <w:sz w:val="17"/>
        </w:rPr>
        <w:t xml:space="preserve"> </w:t>
      </w:r>
      <w:r>
        <w:rPr>
          <w:rFonts w:ascii="inherit" w:hAnsi="inherit"/>
          <w:sz w:val="17"/>
        </w:rPr>
        <w:t xml:space="preserve">cash flow from operations consisted of (i) net income plus several non-cash items, aggregating to $130.2 million, net of (ii) $26.1 million of normal, recurring changes in operating assets and liabilities. In the prior nine-month period, our </w:t>
      </w:r>
      <w:r>
        <w:rPr>
          <w:rFonts w:ascii="inherit" w:hAnsi="inherit"/>
          <w:strike w:val="false"/>
          <w:dstrike w:val="false"/>
          <w:color w:val="000000"/>
          <w:sz w:val="17"/>
          <w:u w:val="none"/>
          <w:effect w:val="none"/>
        </w:rPr>
        <w:t>$107.3 million</w:t>
      </w:r>
      <w:r>
        <w:rPr>
          <w:sz w:val="17"/>
        </w:rPr>
        <w:t xml:space="preserve"> </w:t>
      </w:r>
      <w:r>
        <w:rPr>
          <w:rFonts w:ascii="inherit" w:hAnsi="inherit"/>
          <w:sz w:val="17"/>
        </w:rPr>
        <w:t>cash flow from operations consisted of (i) net income plus several non-cash items, aggregating to $118.3 million, net of (ii) $11.0 million of normal, recurring changes in operating assets and liabilities. The primary differences in cash flow from operations between the current and prior years were the contributions from acquisitions, organic growth throughout our other operations and revenue streams, and the decrease in stock compensation expense from the prior year which was primarily attributable to the retirement of our former CEO, net of higher taxes paid.</w:t>
      </w:r>
    </w:p>
    <w:p>
      <w:pPr>
        <w:pStyle w:val="TextBody"/>
        <w:spacing w:lineRule="auto" w:line="288" w:before="0" w:after="0"/>
        <w:rPr>
          <w:sz w:val="17"/>
        </w:rPr>
      </w:pPr>
      <w:r>
        <w:rPr>
          <w:rFonts w:ascii="inherit" w:hAnsi="inherit"/>
          <w:sz w:val="17"/>
        </w:rPr>
        <w:t xml:space="preserve">The </w:t>
      </w:r>
      <w:r>
        <w:rPr>
          <w:rFonts w:ascii="inherit" w:hAnsi="inherit"/>
          <w:strike w:val="false"/>
          <w:dstrike w:val="false"/>
          <w:color w:val="000000"/>
          <w:sz w:val="17"/>
          <w:u w:val="none"/>
          <w:effect w:val="none"/>
        </w:rPr>
        <w:t>$162.0 million</w:t>
      </w:r>
      <w:r>
        <w:rPr>
          <w:sz w:val="17"/>
        </w:rPr>
        <w:t xml:space="preserve"> </w:t>
      </w:r>
      <w:r>
        <w:rPr>
          <w:rFonts w:ascii="inherit" w:hAnsi="inherit"/>
          <w:sz w:val="17"/>
        </w:rPr>
        <w:t xml:space="preserve">of net cash used in investing activities during the current nine-month period was funded by cash flow from operations, cash on hand and borrowings on our line of credit facility. We received </w:t>
      </w:r>
      <w:r>
        <w:rPr>
          <w:rFonts w:ascii="inherit" w:hAnsi="inherit"/>
          <w:strike w:val="false"/>
          <w:dstrike w:val="false"/>
          <w:color w:val="000000"/>
          <w:sz w:val="17"/>
          <w:u w:val="none"/>
          <w:effect w:val="none"/>
        </w:rPr>
        <w:t>$5.6 million</w:t>
      </w:r>
      <w:r>
        <w:rPr>
          <w:sz w:val="17"/>
        </w:rPr>
        <w:t xml:space="preserve"> </w:t>
      </w:r>
      <w:r>
        <w:rPr>
          <w:rFonts w:ascii="inherit" w:hAnsi="inherit"/>
          <w:sz w:val="17"/>
        </w:rPr>
        <w:t xml:space="preserve">in dividends from our unconsolidated affiliates. We invested </w:t>
      </w:r>
      <w:r>
        <w:rPr>
          <w:rFonts w:ascii="inherit" w:hAnsi="inherit"/>
          <w:strike w:val="false"/>
          <w:dstrike w:val="false"/>
          <w:color w:val="000000"/>
          <w:sz w:val="17"/>
          <w:u w:val="none"/>
          <w:effect w:val="none"/>
        </w:rPr>
        <w:t>$125.2 million</w:t>
      </w:r>
      <w:r>
        <w:rPr>
          <w:sz w:val="17"/>
        </w:rPr>
        <w:t xml:space="preserve"> </w:t>
      </w:r>
      <w:r>
        <w:rPr>
          <w:rFonts w:ascii="inherit" w:hAnsi="inherit"/>
          <w:sz w:val="17"/>
        </w:rPr>
        <w:t xml:space="preserve">in cash to acquire </w:t>
      </w:r>
      <w:r>
        <w:rPr>
          <w:rFonts w:ascii="inherit" w:hAnsi="inherit"/>
          <w:strike w:val="false"/>
          <w:dstrike w:val="false"/>
          <w:color w:val="000000"/>
          <w:sz w:val="17"/>
          <w:u w:val="none"/>
          <w:effect w:val="none"/>
        </w:rPr>
        <w:t>48</w:t>
      </w:r>
      <w:r>
        <w:rPr>
          <w:sz w:val="17"/>
        </w:rPr>
        <w:t xml:space="preserve"> </w:t>
      </w:r>
      <w:r>
        <w:rPr>
          <w:rFonts w:ascii="inherit" w:hAnsi="inherit"/>
          <w:sz w:val="17"/>
        </w:rPr>
        <w:t xml:space="preserve">stores in the U.S., one store in Canada, a </w:t>
      </w:r>
      <w:r>
        <w:rPr>
          <w:rFonts w:ascii="inherit" w:hAnsi="inherit"/>
          <w:strike w:val="false"/>
          <w:dstrike w:val="false"/>
          <w:color w:val="000000"/>
          <w:sz w:val="17"/>
          <w:u w:val="none"/>
          <w:effect w:val="none"/>
        </w:rPr>
        <w:t>60%</w:t>
      </w:r>
      <w:r>
        <w:rPr>
          <w:sz w:val="17"/>
        </w:rPr>
        <w:t xml:space="preserve"> </w:t>
      </w:r>
      <w:r>
        <w:rPr>
          <w:rFonts w:ascii="inherit" w:hAnsi="inherit"/>
          <w:sz w:val="17"/>
        </w:rPr>
        <w:t xml:space="preserve">interest in Crediamigo, a decision science model for the underwriting of consumer loans and a 72% interest in Cash Genie. Other significant investments in the period were the </w:t>
      </w:r>
      <w:r>
        <w:rPr>
          <w:rFonts w:ascii="inherit" w:hAnsi="inherit"/>
          <w:strike w:val="false"/>
          <w:dstrike w:val="false"/>
          <w:color w:val="000000"/>
          <w:sz w:val="17"/>
          <w:u w:val="none"/>
          <w:effect w:val="none"/>
        </w:rPr>
        <w:t>$33.2 million</w:t>
      </w:r>
      <w:r>
        <w:rPr>
          <w:sz w:val="17"/>
        </w:rPr>
        <w:t xml:space="preserve"> </w:t>
      </w:r>
      <w:r>
        <w:rPr>
          <w:rFonts w:ascii="inherit" w:hAnsi="inherit"/>
          <w:sz w:val="17"/>
        </w:rPr>
        <w:t xml:space="preserve">in additions of property and equipment. Partially offsetting these investments was the $9.1 million of loans made in excess of customer loan repayments and the recovery of principal through the sale of forfeited pawn loan collateral. We also paid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of withholding tax upon the net share settlement of restricted stock vesting, net of related tax benefits.</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57</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sz w:val="17"/>
        </w:rPr>
      </w:pPr>
      <w:r>
        <w:rPr>
          <w:rFonts w:ascii="inherit" w:hAnsi="inherit"/>
          <w:sz w:val="17"/>
        </w:rPr>
        <w:t xml:space="preserve">The net effect of these and other smaller cash flows was a </w:t>
      </w:r>
      <w:r>
        <w:rPr>
          <w:rFonts w:ascii="inherit" w:hAnsi="inherit"/>
          <w:strike w:val="false"/>
          <w:dstrike w:val="false"/>
          <w:color w:val="000000"/>
          <w:sz w:val="17"/>
          <w:u w:val="none"/>
          <w:effect w:val="none"/>
        </w:rPr>
        <w:t>$27.9 million</w:t>
      </w:r>
      <w:r>
        <w:rPr>
          <w:sz w:val="17"/>
        </w:rPr>
        <w:t xml:space="preserve"> </w:t>
      </w:r>
      <w:r>
        <w:rPr>
          <w:rFonts w:ascii="inherit" w:hAnsi="inherit"/>
          <w:sz w:val="17"/>
        </w:rPr>
        <w:t xml:space="preserve">increase in cash on hand, providing a </w:t>
      </w:r>
      <w:r>
        <w:rPr>
          <w:rFonts w:ascii="inherit" w:hAnsi="inherit"/>
          <w:strike w:val="false"/>
          <w:dstrike w:val="false"/>
          <w:color w:val="000000"/>
          <w:sz w:val="17"/>
          <w:u w:val="none"/>
          <w:effect w:val="none"/>
        </w:rPr>
        <w:t>$51.9 million</w:t>
      </w:r>
      <w:r>
        <w:rPr>
          <w:sz w:val="17"/>
        </w:rPr>
        <w:t xml:space="preserve"> </w:t>
      </w:r>
      <w:r>
        <w:rPr>
          <w:rFonts w:ascii="inherit" w:hAnsi="inherit"/>
          <w:sz w:val="17"/>
        </w:rPr>
        <w:t>ending cash balance.</w:t>
      </w:r>
    </w:p>
    <w:p>
      <w:pPr>
        <w:pStyle w:val="TextBody"/>
        <w:spacing w:lineRule="auto" w:line="288" w:before="0" w:after="0"/>
        <w:rPr>
          <w:rFonts w:ascii="inherit" w:hAnsi="inherit"/>
          <w:sz w:val="17"/>
        </w:rPr>
      </w:pPr>
      <w:r>
        <w:rPr>
          <w:rFonts w:ascii="inherit" w:hAnsi="inherit"/>
          <w:sz w:val="17"/>
        </w:rPr>
        <w:t>Below is a summary of our cash needs to meet future aggregate contractual obligations: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3744"/>
        <w:gridCol w:w="128"/>
        <w:gridCol w:w="998"/>
        <w:gridCol w:w="93"/>
        <w:gridCol w:w="115"/>
        <w:gridCol w:w="128"/>
        <w:gridCol w:w="960"/>
        <w:gridCol w:w="93"/>
        <w:gridCol w:w="115"/>
        <w:gridCol w:w="128"/>
        <w:gridCol w:w="998"/>
        <w:gridCol w:w="93"/>
        <w:gridCol w:w="115"/>
        <w:gridCol w:w="128"/>
        <w:gridCol w:w="960"/>
        <w:gridCol w:w="93"/>
        <w:gridCol w:w="115"/>
        <w:gridCol w:w="129"/>
        <w:gridCol w:w="967"/>
        <w:gridCol w:w="105"/>
      </w:tblGrid>
      <w:tr>
        <w:trPr/>
        <w:tc>
          <w:tcPr>
            <w:tcW w:w="10205" w:type="dxa"/>
            <w:gridSpan w:val="20"/>
            <w:tcBorders/>
            <w:shd w:fill="auto" w:val="clear"/>
            <w:vAlign w:val="center"/>
          </w:tcPr>
          <w:p>
            <w:pPr>
              <w:pStyle w:val="TableContents"/>
              <w:spacing w:before="0" w:after="283"/>
              <w:rPr>
                <w:sz w:val="4"/>
                <w:szCs w:val="4"/>
              </w:rPr>
            </w:pPr>
            <w:r>
              <w:rPr>
                <w:sz w:val="4"/>
                <w:szCs w:val="4"/>
              </w:rPr>
            </w:r>
          </w:p>
        </w:tc>
      </w:tr>
      <w:tr>
        <w:trPr/>
        <w:tc>
          <w:tcPr>
            <w:tcW w:w="3744"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98"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960" w:type="dxa"/>
            <w:tcBorders/>
            <w:shd w:fill="auto" w:val="clear"/>
            <w:vAlign w:val="center"/>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96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ind w:left="0" w:right="0" w:firstLine="30"/>
              <w:rPr>
                <w:sz w:val="4"/>
                <w:szCs w:val="4"/>
              </w:rPr>
            </w:pPr>
            <w:r>
              <w:rPr>
                <w:sz w:val="4"/>
                <w:szCs w:val="4"/>
              </w:rPr>
            </w:r>
          </w:p>
        </w:tc>
      </w:tr>
      <w:tr>
        <w:trPr/>
        <w:tc>
          <w:tcPr>
            <w:tcW w:w="3744" w:type="dxa"/>
            <w:tcBorders/>
            <w:shd w:fill="auto" w:val="clear"/>
            <w:vAlign w:val="center"/>
          </w:tcPr>
          <w:p>
            <w:pPr>
              <w:pStyle w:val="TableContents"/>
              <w:spacing w:before="0" w:after="0"/>
              <w:ind w:left="0" w:right="0" w:firstLine="30"/>
              <w:rPr/>
            </w:pPr>
            <w:r>
              <w:rPr/>
              <w:t>  </w:t>
            </w:r>
          </w:p>
        </w:tc>
        <w:tc>
          <w:tcPr>
            <w:tcW w:w="1219" w:type="dxa"/>
            <w:gridSpan w:val="3"/>
            <w:tcBorders/>
            <w:shd w:fill="auto" w:val="clear"/>
            <w:vAlign w:val="center"/>
          </w:tcPr>
          <w:p>
            <w:pPr>
              <w:pStyle w:val="TableContents"/>
              <w:spacing w:before="0" w:after="0"/>
              <w:ind w:left="0" w:right="0" w:firstLine="30"/>
              <w:jc w:val="left"/>
              <w:rPr/>
            </w:pPr>
            <w:r>
              <w:rPr/>
              <w:t> </w:t>
            </w:r>
          </w:p>
        </w:tc>
        <w:tc>
          <w:tcPr>
            <w:tcW w:w="115" w:type="dxa"/>
            <w:tcBorders/>
            <w:shd w:fill="auto" w:val="clear"/>
            <w:vAlign w:val="center"/>
          </w:tcPr>
          <w:p>
            <w:pPr>
              <w:pStyle w:val="TableContents"/>
              <w:spacing w:before="0" w:after="0"/>
              <w:ind w:left="0" w:right="0" w:firstLine="30"/>
              <w:rPr/>
            </w:pPr>
            <w:r>
              <w:rPr/>
              <w:t> </w:t>
            </w:r>
          </w:p>
        </w:tc>
        <w:tc>
          <w:tcPr>
            <w:tcW w:w="5127" w:type="dxa"/>
            <w:gridSpan w:val="15"/>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Payments due by Period</w:t>
            </w:r>
          </w:p>
        </w:tc>
      </w:tr>
      <w:tr>
        <w:trPr/>
        <w:tc>
          <w:tcPr>
            <w:tcW w:w="3744" w:type="dxa"/>
            <w:tcBorders/>
            <w:shd w:fill="auto" w:val="clear"/>
            <w:vAlign w:val="center"/>
          </w:tcPr>
          <w:p>
            <w:pPr>
              <w:pStyle w:val="TableContents"/>
              <w:spacing w:before="0" w:after="0"/>
              <w:ind w:left="0" w:right="0" w:firstLine="30"/>
              <w:jc w:val="left"/>
              <w:rPr>
                <w:rFonts w:ascii="inherit" w:hAnsi="inherit"/>
                <w:b/>
                <w:sz w:val="13"/>
                <w:u w:val="single"/>
              </w:rPr>
            </w:pPr>
            <w:r>
              <w:rPr>
                <w:rFonts w:ascii="inherit" w:hAnsi="inherit"/>
                <w:b/>
                <w:sz w:val="13"/>
                <w:u w:val="single"/>
              </w:rPr>
              <w:t>Contractual Obligations</w:t>
            </w:r>
          </w:p>
        </w:tc>
        <w:tc>
          <w:tcPr>
            <w:tcW w:w="12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Total</w:t>
            </w:r>
          </w:p>
        </w:tc>
        <w:tc>
          <w:tcPr>
            <w:tcW w:w="115" w:type="dxa"/>
            <w:tcBorders/>
            <w:shd w:fill="auto" w:val="clear"/>
            <w:vAlign w:val="center"/>
          </w:tcPr>
          <w:p>
            <w:pPr>
              <w:pStyle w:val="TableContents"/>
              <w:spacing w:before="0" w:after="0"/>
              <w:ind w:left="0" w:right="0" w:firstLine="30"/>
              <w:rPr/>
            </w:pPr>
            <w:r>
              <w:rPr/>
              <w:t> </w:t>
            </w:r>
          </w:p>
        </w:tc>
        <w:tc>
          <w:tcPr>
            <w:tcW w:w="118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Less than</w:t>
            </w:r>
          </w:p>
          <w:p>
            <w:pPr>
              <w:pStyle w:val="TableContents"/>
              <w:spacing w:before="0" w:after="0"/>
              <w:ind w:left="0" w:right="0" w:firstLine="30"/>
              <w:jc w:val="center"/>
              <w:rPr>
                <w:rFonts w:ascii="inherit" w:hAnsi="inherit"/>
                <w:b/>
                <w:sz w:val="13"/>
              </w:rPr>
            </w:pPr>
            <w:r>
              <w:rPr>
                <w:rFonts w:ascii="inherit" w:hAnsi="inherit"/>
                <w:b/>
                <w:sz w:val="13"/>
              </w:rPr>
              <w:t>1 year</w:t>
            </w:r>
          </w:p>
        </w:tc>
        <w:tc>
          <w:tcPr>
            <w:tcW w:w="115" w:type="dxa"/>
            <w:tcBorders/>
            <w:shd w:fill="auto" w:val="clear"/>
            <w:vAlign w:val="center"/>
          </w:tcPr>
          <w:p>
            <w:pPr>
              <w:pStyle w:val="TableContents"/>
              <w:spacing w:before="0" w:after="0"/>
              <w:ind w:left="0" w:right="0" w:firstLine="30"/>
              <w:rPr/>
            </w:pPr>
            <w:r>
              <w:rPr/>
              <w:t> </w:t>
            </w:r>
          </w:p>
        </w:tc>
        <w:tc>
          <w:tcPr>
            <w:tcW w:w="1219"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1-3 years</w:t>
            </w:r>
          </w:p>
        </w:tc>
        <w:tc>
          <w:tcPr>
            <w:tcW w:w="115" w:type="dxa"/>
            <w:tcBorders/>
            <w:shd w:fill="auto" w:val="clear"/>
            <w:vAlign w:val="center"/>
          </w:tcPr>
          <w:p>
            <w:pPr>
              <w:pStyle w:val="TableContents"/>
              <w:spacing w:before="0" w:after="0"/>
              <w:ind w:left="0" w:right="0" w:firstLine="30"/>
              <w:rPr/>
            </w:pPr>
            <w:r>
              <w:rPr/>
              <w:t> </w:t>
            </w:r>
          </w:p>
        </w:tc>
        <w:tc>
          <w:tcPr>
            <w:tcW w:w="1181" w:type="dxa"/>
            <w:gridSpan w:val="3"/>
            <w:tcBorders>
              <w:bottom w:val="single" w:sz="2" w:space="0" w:color="000000"/>
            </w:tcBorders>
            <w:shd w:fill="auto" w:val="clear"/>
            <w:tcMar>
              <w:bottom w:w="30" w:type="dxa"/>
            </w:tcMar>
            <w:vAlign w:val="center"/>
          </w:tcPr>
          <w:p>
            <w:pPr>
              <w:pStyle w:val="TableContents"/>
              <w:spacing w:before="0" w:after="0"/>
              <w:ind w:left="0" w:right="0" w:firstLine="30"/>
              <w:jc w:val="center"/>
              <w:rPr>
                <w:rFonts w:ascii="inherit" w:hAnsi="inherit"/>
                <w:b/>
                <w:sz w:val="13"/>
              </w:rPr>
            </w:pPr>
            <w:r>
              <w:rPr>
                <w:rFonts w:ascii="inherit" w:hAnsi="inherit"/>
                <w:b/>
                <w:sz w:val="13"/>
              </w:rPr>
              <w:t>3-5 years</w:t>
            </w:r>
          </w:p>
        </w:tc>
        <w:tc>
          <w:tcPr>
            <w:tcW w:w="115" w:type="dxa"/>
            <w:tcBorders/>
            <w:shd w:fill="auto" w:val="clear"/>
            <w:vAlign w:val="center"/>
          </w:tcPr>
          <w:p>
            <w:pPr>
              <w:pStyle w:val="TableContents"/>
              <w:spacing w:before="0" w:after="0"/>
              <w:ind w:left="0" w:right="0" w:firstLine="30"/>
              <w:rPr/>
            </w:pPr>
            <w:r>
              <w:rPr/>
              <w:t> </w:t>
            </w:r>
          </w:p>
        </w:tc>
        <w:tc>
          <w:tcPr>
            <w:tcW w:w="1201" w:type="dxa"/>
            <w:gridSpan w:val="3"/>
            <w:tcBorders>
              <w:bottom w:val="single" w:sz="2" w:space="0" w:color="000000"/>
            </w:tcBorders>
            <w:shd w:fill="auto" w:val="clear"/>
            <w:tcMar>
              <w:bottom w:w="30" w:type="dxa"/>
            </w:tcMar>
            <w:vAlign w:val="center"/>
          </w:tcPr>
          <w:p>
            <w:pPr>
              <w:pStyle w:val="TableContents"/>
              <w:spacing w:before="0" w:after="0"/>
              <w:jc w:val="center"/>
              <w:rPr>
                <w:rFonts w:ascii="inherit" w:hAnsi="inherit"/>
                <w:b/>
                <w:sz w:val="13"/>
              </w:rPr>
            </w:pPr>
            <w:r>
              <w:rPr>
                <w:rFonts w:ascii="inherit" w:hAnsi="inherit"/>
                <w:b/>
                <w:sz w:val="13"/>
              </w:rPr>
              <w:t>More than</w:t>
            </w:r>
          </w:p>
          <w:p>
            <w:pPr>
              <w:pStyle w:val="TableContents"/>
              <w:spacing w:before="0" w:after="0"/>
              <w:ind w:left="0" w:right="0" w:firstLine="30"/>
              <w:jc w:val="center"/>
              <w:rPr>
                <w:rFonts w:ascii="inherit" w:hAnsi="inherit"/>
                <w:b/>
                <w:sz w:val="13"/>
              </w:rPr>
            </w:pPr>
            <w:r>
              <w:rPr>
                <w:rFonts w:ascii="inherit" w:hAnsi="inherit"/>
                <w:b/>
                <w:sz w:val="13"/>
              </w:rPr>
              <w:t>5 years</w:t>
            </w:r>
          </w:p>
        </w:tc>
      </w:tr>
      <w:tr>
        <w:trPr/>
        <w:tc>
          <w:tcPr>
            <w:tcW w:w="3744" w:type="dxa"/>
            <w:tcBorders/>
            <w:shd w:fill="auto" w:val="clear"/>
            <w:vAlign w:val="center"/>
          </w:tcPr>
          <w:p>
            <w:pPr>
              <w:pStyle w:val="TableContents"/>
              <w:spacing w:before="0" w:after="0"/>
              <w:ind w:left="0" w:right="0" w:firstLine="30"/>
              <w:jc w:val="left"/>
              <w:rPr/>
            </w:pPr>
            <w:r>
              <w:rPr/>
              <w:t> </w:t>
            </w:r>
          </w:p>
        </w:tc>
        <w:tc>
          <w:tcPr>
            <w:tcW w:w="6461" w:type="dxa"/>
            <w:gridSpan w:val="19"/>
            <w:tcBorders/>
            <w:shd w:fill="auto" w:val="clear"/>
            <w:vAlign w:val="center"/>
          </w:tcPr>
          <w:p>
            <w:pPr>
              <w:pStyle w:val="TableContents"/>
              <w:spacing w:before="0" w:after="0"/>
              <w:ind w:left="0" w:right="0" w:firstLine="30"/>
              <w:jc w:val="center"/>
              <w:rPr>
                <w:rFonts w:ascii="inherit" w:hAnsi="inherit"/>
                <w:i/>
                <w:sz w:val="13"/>
              </w:rPr>
            </w:pPr>
            <w:r>
              <w:rPr>
                <w:rFonts w:ascii="inherit" w:hAnsi="inherit"/>
                <w:i/>
                <w:sz w:val="13"/>
              </w:rPr>
              <w:t>(In thousands)</w:t>
            </w:r>
          </w:p>
        </w:tc>
      </w:tr>
      <w:tr>
        <w:trPr/>
        <w:tc>
          <w:tcPr>
            <w:tcW w:w="37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Long-term debt obligations*</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8" w:type="dxa"/>
            <w:tcBorders/>
            <w:shd w:fill="CCEEFF" w:val="clear"/>
            <w:vAlign w:val="center"/>
          </w:tcPr>
          <w:p>
            <w:pPr>
              <w:pStyle w:val="TableContents"/>
              <w:spacing w:before="0" w:after="0"/>
              <w:jc w:val="right"/>
              <w:rPr>
                <w:rFonts w:ascii="inherit" w:hAnsi="inherit"/>
                <w:sz w:val="17"/>
              </w:rPr>
            </w:pPr>
            <w:r>
              <w:rPr>
                <w:rFonts w:ascii="inherit" w:hAnsi="inherit"/>
                <w:sz w:val="17"/>
              </w:rPr>
              <w:t>195,356</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CCEEFF" w:val="clear"/>
            <w:vAlign w:val="center"/>
          </w:tcPr>
          <w:p>
            <w:pPr>
              <w:pStyle w:val="TableContents"/>
              <w:spacing w:before="0" w:after="0"/>
              <w:jc w:val="right"/>
              <w:rPr>
                <w:rFonts w:ascii="inherit" w:hAnsi="inherit"/>
                <w:sz w:val="17"/>
              </w:rPr>
            </w:pPr>
            <w:r>
              <w:rPr>
                <w:rFonts w:ascii="inherit" w:hAnsi="inherit"/>
                <w:sz w:val="17"/>
              </w:rPr>
              <w:t>17,974</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98" w:type="dxa"/>
            <w:tcBorders/>
            <w:shd w:fill="CCEEFF" w:val="clear"/>
            <w:vAlign w:val="center"/>
          </w:tcPr>
          <w:p>
            <w:pPr>
              <w:pStyle w:val="TableContents"/>
              <w:spacing w:before="0" w:after="0"/>
              <w:jc w:val="right"/>
              <w:rPr>
                <w:rFonts w:ascii="inherit" w:hAnsi="inherit"/>
                <w:sz w:val="17"/>
              </w:rPr>
            </w:pPr>
            <w:r>
              <w:rPr>
                <w:rFonts w:ascii="inherit" w:hAnsi="inherit"/>
                <w:sz w:val="17"/>
              </w:rPr>
              <w:t>157,541</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shd w:fill="CCEEFF" w:val="clear"/>
            <w:vAlign w:val="center"/>
          </w:tcPr>
          <w:p>
            <w:pPr>
              <w:pStyle w:val="TableContents"/>
              <w:spacing w:before="0" w:after="0"/>
              <w:jc w:val="right"/>
              <w:rPr>
                <w:rFonts w:ascii="inherit" w:hAnsi="inherit"/>
                <w:sz w:val="17"/>
              </w:rPr>
            </w:pPr>
            <w:r>
              <w:rPr>
                <w:rFonts w:ascii="inherit" w:hAnsi="inherit"/>
                <w:sz w:val="17"/>
              </w:rPr>
              <w:t>19,841</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9" w:type="dxa"/>
            <w:tcBorders/>
            <w:shd w:fill="CCEEFF" w:val="cle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shd w:fill="CCEEFF" w:val="clear"/>
            <w:vAlign w:val="center"/>
          </w:tcPr>
          <w:p>
            <w:pPr>
              <w:pStyle w:val="TableContents"/>
              <w:spacing w:before="0" w:after="0"/>
              <w:jc w:val="right"/>
              <w:rPr/>
            </w:pPr>
            <w:r>
              <w:rPr/>
              <w:t>—</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Interest on long-term debt obligations</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42,925</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19,197</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26"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20,909</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shd w:fill="auto" w:val="clear"/>
            <w:vAlign w:val="center"/>
          </w:tcPr>
          <w:p>
            <w:pPr>
              <w:pStyle w:val="TableContents"/>
              <w:spacing w:before="0" w:after="0"/>
              <w:jc w:val="right"/>
              <w:rPr>
                <w:rFonts w:ascii="inherit" w:hAnsi="inherit"/>
                <w:sz w:val="17"/>
              </w:rPr>
            </w:pPr>
            <w:r>
              <w:rPr>
                <w:rFonts w:ascii="inherit" w:hAnsi="inherit"/>
                <w:sz w:val="17"/>
              </w:rPr>
              <w:t>2,819</w:t>
            </w:r>
          </w:p>
        </w:tc>
        <w:tc>
          <w:tcPr>
            <w:tcW w:w="9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96" w:type="dxa"/>
            <w:gridSpan w:val="2"/>
            <w:tcBorders/>
            <w:shd w:fill="auto" w:val="clear"/>
            <w:vAlign w:val="center"/>
          </w:tcPr>
          <w:p>
            <w:pPr>
              <w:pStyle w:val="TableContents"/>
              <w:spacing w:before="0" w:after="0"/>
              <w:jc w:val="right"/>
              <w:rPr/>
            </w:pPr>
            <w:r>
              <w:rPr/>
              <w:t>—</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Operating lease obligations</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201,136</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51,747</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12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78,976</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88"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42,020</w:t>
            </w:r>
          </w:p>
        </w:tc>
        <w:tc>
          <w:tcPr>
            <w:tcW w:w="93"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096" w:type="dxa"/>
            <w:gridSpan w:val="2"/>
            <w:tcBorders/>
            <w:shd w:fill="CCEEFF" w:val="clear"/>
            <w:vAlign w:val="center"/>
          </w:tcPr>
          <w:p>
            <w:pPr>
              <w:pStyle w:val="TableContents"/>
              <w:spacing w:before="0" w:after="0"/>
              <w:jc w:val="right"/>
              <w:rPr>
                <w:rFonts w:ascii="inherit" w:hAnsi="inherit"/>
                <w:sz w:val="17"/>
              </w:rPr>
            </w:pPr>
            <w:r>
              <w:rPr>
                <w:rFonts w:ascii="inherit" w:hAnsi="inherit"/>
                <w:sz w:val="17"/>
              </w:rPr>
              <w:t>28,393</w:t>
            </w:r>
          </w:p>
        </w:tc>
        <w:tc>
          <w:tcPr>
            <w:tcW w:w="105"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Capital lease obligations</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1,284</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451</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126" w:type="dxa"/>
            <w:gridSpan w:val="2"/>
            <w:tcBorders>
              <w:bottom w:val="single" w:sz="2" w:space="0" w:color="000000"/>
            </w:tcBorders>
            <w:shd w:fill="auto" w:val="clear"/>
            <w:tcMar>
              <w:bottom w:w="30" w:type="dxa"/>
            </w:tcMar>
            <w:vAlign w:val="center"/>
          </w:tcPr>
          <w:p>
            <w:pPr>
              <w:pStyle w:val="TableContents"/>
              <w:spacing w:before="0" w:after="0"/>
              <w:jc w:val="right"/>
              <w:rPr>
                <w:rFonts w:ascii="inherit" w:hAnsi="inherit"/>
                <w:sz w:val="17"/>
              </w:rPr>
            </w:pPr>
            <w:r>
              <w:rPr>
                <w:rFonts w:ascii="inherit" w:hAnsi="inherit"/>
                <w:sz w:val="17"/>
              </w:rPr>
              <w:t>833</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88"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93"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auto" w:val="clear"/>
            <w:vAlign w:val="center"/>
          </w:tcPr>
          <w:p>
            <w:pPr>
              <w:pStyle w:val="TableContents"/>
              <w:spacing w:before="0" w:after="0"/>
              <w:ind w:left="0" w:right="0" w:firstLine="30"/>
              <w:rPr/>
            </w:pPr>
            <w:r>
              <w:rPr/>
              <w:t> </w:t>
            </w:r>
          </w:p>
        </w:tc>
        <w:tc>
          <w:tcPr>
            <w:tcW w:w="1096" w:type="dxa"/>
            <w:gridSpan w:val="2"/>
            <w:tcBorders>
              <w:bottom w:val="single" w:sz="2" w:space="0" w:color="000000"/>
            </w:tcBorders>
            <w:shd w:fill="auto" w:val="clear"/>
            <w:tcMar>
              <w:bottom w:w="30" w:type="dxa"/>
            </w:tcMar>
            <w:vAlign w:val="center"/>
          </w:tcPr>
          <w:p>
            <w:pPr>
              <w:pStyle w:val="TableContents"/>
              <w:spacing w:before="0" w:after="0"/>
              <w:jc w:val="right"/>
              <w:rPr/>
            </w:pPr>
            <w:r>
              <w:rPr/>
              <w:t>—</w:t>
            </w:r>
          </w:p>
        </w:tc>
        <w:tc>
          <w:tcPr>
            <w:tcW w:w="105" w:type="dxa"/>
            <w:tcBorders>
              <w:bottom w:val="single" w:sz="2" w:space="0" w:color="000000"/>
            </w:tcBorders>
            <w:shd w:fill="auto"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4" w:type="dxa"/>
            <w:tcBorders/>
            <w:shd w:fill="CCEEFF" w:val="clear"/>
            <w:vAlign w:val="center"/>
          </w:tcPr>
          <w:p>
            <w:pPr>
              <w:pStyle w:val="TableContents"/>
              <w:spacing w:before="0" w:after="0"/>
              <w:ind w:left="0" w:right="0" w:firstLine="30"/>
              <w:jc w:val="left"/>
              <w:rPr>
                <w:rFonts w:ascii="inherit" w:hAnsi="inherit"/>
                <w:sz w:val="17"/>
              </w:rPr>
            </w:pPr>
            <w:r>
              <w:rPr>
                <w:rFonts w:ascii="inherit" w:hAnsi="inherit"/>
                <w:sz w:val="17"/>
              </w:rPr>
              <w:t>Total</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440,701</w:t>
            </w:r>
          </w:p>
        </w:tc>
        <w:tc>
          <w:tcPr>
            <w:tcW w:w="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89,369</w:t>
            </w:r>
          </w:p>
        </w:tc>
        <w:tc>
          <w:tcPr>
            <w:tcW w:w="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98"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258,259</w:t>
            </w:r>
          </w:p>
        </w:tc>
        <w:tc>
          <w:tcPr>
            <w:tcW w:w="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8"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0"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64,680</w:t>
            </w:r>
          </w:p>
        </w:tc>
        <w:tc>
          <w:tcPr>
            <w:tcW w:w="93"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115" w:type="dxa"/>
            <w:tcBorders/>
            <w:shd w:fill="CCEEFF" w:val="clear"/>
            <w:vAlign w:val="center"/>
          </w:tcPr>
          <w:p>
            <w:pPr>
              <w:pStyle w:val="TableContents"/>
              <w:spacing w:before="0" w:after="0"/>
              <w:ind w:left="0" w:right="0" w:firstLine="30"/>
              <w:rPr/>
            </w:pPr>
            <w:r>
              <w:rPr/>
              <w:t> </w:t>
            </w:r>
          </w:p>
        </w:tc>
        <w:tc>
          <w:tcPr>
            <w:tcW w:w="129" w:type="dxa"/>
            <w:tcBorders>
              <w:bottom w:val="double" w:sz="6" w:space="0" w:color="000000"/>
            </w:tcBorders>
            <w:shd w:fill="CCEEFF" w:val="clear"/>
            <w:tcMar>
              <w:bottom w:w="30" w:type="dxa"/>
            </w:tcMar>
            <w:vAlign w:val="center"/>
          </w:tcPr>
          <w:p>
            <w:pPr>
              <w:pStyle w:val="TableContents"/>
              <w:spacing w:before="0" w:after="0"/>
              <w:jc w:val="left"/>
              <w:rPr>
                <w:rFonts w:ascii="inherit" w:hAnsi="inherit"/>
                <w:sz w:val="17"/>
              </w:rPr>
            </w:pPr>
            <w:r>
              <w:rPr>
                <w:rFonts w:ascii="inherit" w:hAnsi="inherit"/>
                <w:sz w:val="17"/>
              </w:rPr>
              <w:t>$</w:t>
            </w:r>
          </w:p>
        </w:tc>
        <w:tc>
          <w:tcPr>
            <w:tcW w:w="967" w:type="dxa"/>
            <w:tcBorders>
              <w:bottom w:val="double" w:sz="6" w:space="0" w:color="000000"/>
            </w:tcBorders>
            <w:shd w:fill="CCEEFF" w:val="clear"/>
            <w:tcMar>
              <w:bottom w:w="30" w:type="dxa"/>
            </w:tcMar>
            <w:vAlign w:val="center"/>
          </w:tcPr>
          <w:p>
            <w:pPr>
              <w:pStyle w:val="TableContents"/>
              <w:spacing w:before="0" w:after="0"/>
              <w:jc w:val="right"/>
              <w:rPr>
                <w:rFonts w:ascii="inherit" w:hAnsi="inherit"/>
                <w:sz w:val="17"/>
              </w:rPr>
            </w:pPr>
            <w:r>
              <w:rPr>
                <w:rFonts w:ascii="inherit" w:hAnsi="inherit"/>
                <w:sz w:val="17"/>
              </w:rPr>
              <w:t>28,393</w:t>
            </w:r>
          </w:p>
        </w:tc>
        <w:tc>
          <w:tcPr>
            <w:tcW w:w="105" w:type="dxa"/>
            <w:tcBorders>
              <w:bottom w:val="double" w:sz="6" w:space="0" w:color="000000"/>
            </w:tcBorders>
            <w:shd w:fill="CCEEFF" w:val="clear"/>
            <w:tcMar>
              <w:bottom w:w="28" w:type="dxa"/>
            </w:tcMar>
            <w:vAlign w:val="center"/>
          </w:tcPr>
          <w:p>
            <w:pPr>
              <w:pStyle w:val="TableContents"/>
              <w:spacing w:before="0" w:after="0"/>
              <w:ind w:left="0" w:right="0" w:firstLine="30"/>
              <w:jc w:val="left"/>
              <w:rPr>
                <w:rFonts w:ascii="inherit" w:hAnsi="inherit"/>
                <w:sz w:val="17"/>
              </w:rPr>
            </w:pPr>
            <w:r>
              <w:rPr>
                <w:rFonts w:ascii="inherit" w:hAnsi="inherit"/>
                <w:sz w:val="17"/>
              </w:rPr>
            </w:r>
          </w:p>
        </w:tc>
      </w:tr>
      <w:tr>
        <w:trPr/>
        <w:tc>
          <w:tcPr>
            <w:tcW w:w="3744" w:type="dxa"/>
            <w:tcBorders/>
            <w:shd w:fill="auto" w:val="clear"/>
            <w:vAlign w:val="center"/>
          </w:tcPr>
          <w:p>
            <w:pPr>
              <w:pStyle w:val="TableContents"/>
              <w:spacing w:before="0" w:after="0"/>
              <w:ind w:left="0" w:right="0" w:firstLine="30"/>
              <w:jc w:val="left"/>
              <w:rPr>
                <w:rFonts w:ascii="inherit" w:hAnsi="inherit"/>
                <w:sz w:val="13"/>
              </w:rPr>
            </w:pPr>
            <w:r>
              <w:rPr>
                <w:rFonts w:ascii="inherit" w:hAnsi="inherit"/>
                <w:sz w:val="13"/>
              </w:rPr>
              <w:t>* Excludes debt premium related to Crediamigo</w:t>
            </w:r>
          </w:p>
        </w:tc>
        <w:tc>
          <w:tcPr>
            <w:tcW w:w="1219"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8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19"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181" w:type="dxa"/>
            <w:gridSpan w:val="3"/>
            <w:tcBorders/>
            <w:shd w:fill="auto" w:val="clear"/>
            <w:vAlign w:val="center"/>
          </w:tcPr>
          <w:p>
            <w:pPr>
              <w:pStyle w:val="TableContents"/>
              <w:spacing w:before="0" w:after="0"/>
              <w:ind w:left="0" w:right="0" w:firstLine="30"/>
              <w:rPr/>
            </w:pPr>
            <w:r>
              <w:rPr/>
              <w:t> </w:t>
            </w:r>
          </w:p>
        </w:tc>
        <w:tc>
          <w:tcPr>
            <w:tcW w:w="115" w:type="dxa"/>
            <w:tcBorders/>
            <w:shd w:fill="auto" w:val="clear"/>
            <w:vAlign w:val="center"/>
          </w:tcPr>
          <w:p>
            <w:pPr>
              <w:pStyle w:val="TableContents"/>
              <w:spacing w:before="0" w:after="0"/>
              <w:ind w:left="0" w:right="0" w:firstLine="30"/>
              <w:rPr/>
            </w:pPr>
            <w:r>
              <w:rPr/>
              <w:t> </w:t>
            </w:r>
          </w:p>
        </w:tc>
        <w:tc>
          <w:tcPr>
            <w:tcW w:w="1201" w:type="dxa"/>
            <w:gridSpan w:val="3"/>
            <w:tcBorders/>
            <w:shd w:fill="auto" w:val="clear"/>
            <w:vAlign w:val="center"/>
          </w:tcPr>
          <w:p>
            <w:pPr>
              <w:pStyle w:val="TableContents"/>
              <w:spacing w:before="0" w:after="0"/>
              <w:rPr/>
            </w:pPr>
            <w:r>
              <w:rPr/>
              <w:t> </w:t>
            </w:r>
          </w:p>
        </w:tc>
      </w:tr>
    </w:tbl>
    <w:p>
      <w:pPr>
        <w:pStyle w:val="TextBody"/>
        <w:spacing w:lineRule="auto" w:line="288" w:before="0" w:after="0"/>
        <w:rPr>
          <w:sz w:val="17"/>
        </w:rPr>
      </w:pPr>
      <w:r>
        <w:rPr>
          <w:rFonts w:ascii="inherit" w:hAnsi="inherit"/>
          <w:sz w:val="17"/>
        </w:rPr>
        <w:t xml:space="preserve">In addition to the contractual obligations in the table above, we are obligated under letters of credit issued to unaffiliated lenders as part of our credit service operations. At </w:t>
      </w:r>
      <w:r>
        <w:rPr>
          <w:rFonts w:ascii="inherit" w:hAnsi="inherit"/>
          <w:strike w:val="false"/>
          <w:dstrike w:val="false"/>
          <w:color w:val="000000"/>
          <w:sz w:val="17"/>
          <w:u w:val="none"/>
          <w:effect w:val="none"/>
        </w:rPr>
        <w:t>June 30, 2012</w:t>
      </w:r>
      <w:r>
        <w:rPr>
          <w:rFonts w:ascii="inherit" w:hAnsi="inherit"/>
          <w:sz w:val="17"/>
        </w:rPr>
        <w:t xml:space="preserve">, our maximum exposure for losses on letters of credit, if all brokered loans defaulted and none was collected, was </w:t>
      </w:r>
      <w:r>
        <w:rPr>
          <w:rFonts w:ascii="inherit" w:hAnsi="inherit"/>
          <w:strike w:val="false"/>
          <w:dstrike w:val="false"/>
          <w:color w:val="000000"/>
          <w:sz w:val="17"/>
          <w:u w:val="none"/>
          <w:effect w:val="none"/>
        </w:rPr>
        <w:t>$24.8 million</w:t>
      </w:r>
      <w:r>
        <w:rPr>
          <w:rFonts w:ascii="inherit" w:hAnsi="inherit"/>
          <w:sz w:val="17"/>
        </w:rPr>
        <w:t>. Of that total, $4.7 million was secured by titles to customers’ automobiles. These amounts include principal, interest and insufficient funds fees.</w:t>
      </w:r>
    </w:p>
    <w:p>
      <w:pPr>
        <w:pStyle w:val="TextBody"/>
        <w:spacing w:lineRule="auto" w:line="288" w:before="0" w:after="0"/>
        <w:rPr>
          <w:sz w:val="17"/>
        </w:rPr>
      </w:pPr>
      <w:r>
        <w:rPr>
          <w:rFonts w:ascii="inherit" w:hAnsi="inherit"/>
          <w:sz w:val="17"/>
        </w:rPr>
        <w:t xml:space="preserve">In addition to the operating lease obligations in the table above, we are responsible for the maintenance, property taxes and insurance at most of our locations. In the fiscal year ended </w:t>
      </w:r>
      <w:r>
        <w:rPr>
          <w:rFonts w:ascii="inherit" w:hAnsi="inherit"/>
          <w:strike w:val="false"/>
          <w:dstrike w:val="false"/>
          <w:color w:val="000000"/>
          <w:sz w:val="17"/>
          <w:u w:val="none"/>
          <w:effect w:val="none"/>
        </w:rPr>
        <w:t>September 30, 2011</w:t>
      </w:r>
      <w:r>
        <w:rPr>
          <w:rFonts w:ascii="inherit" w:hAnsi="inherit"/>
          <w:sz w:val="17"/>
        </w:rPr>
        <w:t xml:space="preserve">, these collectively amounted to </w:t>
      </w:r>
      <w:r>
        <w:rPr>
          <w:rFonts w:ascii="inherit" w:hAnsi="inherit"/>
          <w:strike w:val="false"/>
          <w:dstrike w:val="false"/>
          <w:color w:val="000000"/>
          <w:sz w:val="17"/>
          <w:u w:val="none"/>
          <w:effect w:val="none"/>
        </w:rPr>
        <w:t>$17.4 million</w:t>
      </w:r>
      <w:r>
        <w:rPr>
          <w:rFonts w:ascii="inherit" w:hAnsi="inherit"/>
          <w:sz w:val="17"/>
        </w:rPr>
        <w:t>.</w:t>
      </w:r>
    </w:p>
    <w:p>
      <w:pPr>
        <w:pStyle w:val="TextBody"/>
        <w:spacing w:lineRule="auto" w:line="288" w:before="0" w:after="0"/>
        <w:rPr>
          <w:sz w:val="17"/>
        </w:rPr>
      </w:pPr>
      <w:r>
        <w:rPr>
          <w:rFonts w:ascii="inherit" w:hAnsi="inherit"/>
          <w:sz w:val="17"/>
        </w:rPr>
        <w:t xml:space="preserve">The operating lease obligations in the table above include expected rent for all our store locations through the end of their current lease terms. Of the </w:t>
      </w:r>
      <w:r>
        <w:rPr>
          <w:rFonts w:ascii="inherit" w:hAnsi="inherit"/>
          <w:strike w:val="false"/>
          <w:dstrike w:val="false"/>
          <w:color w:val="000000"/>
          <w:sz w:val="17"/>
          <w:u w:val="none"/>
          <w:effect w:val="none"/>
        </w:rPr>
        <w:t>443</w:t>
      </w:r>
      <w:r>
        <w:rPr>
          <w:sz w:val="17"/>
        </w:rPr>
        <w:t xml:space="preserve"> </w:t>
      </w:r>
      <w:r>
        <w:rPr>
          <w:rFonts w:ascii="inherit" w:hAnsi="inherit"/>
          <w:sz w:val="17"/>
        </w:rPr>
        <w:t>U.S. EZMONEY financial services stores, 159 adjoin an EZPAWN store. The lease agreements at approximately 94% of the remaining 284 free-standing EZMONEY stores contain provisions that limit our exposure for additional rent to only a few months if laws were enacted that had a significant negative effect on our operations at these stores.</w:t>
      </w:r>
    </w:p>
    <w:p>
      <w:pPr>
        <w:pStyle w:val="TextBody"/>
        <w:spacing w:lineRule="auto" w:line="288" w:before="0" w:after="0"/>
        <w:rPr>
          <w:sz w:val="17"/>
        </w:rPr>
      </w:pPr>
      <w:r>
        <w:rPr>
          <w:rFonts w:ascii="inherit" w:hAnsi="inherit"/>
          <w:sz w:val="17"/>
        </w:rPr>
        <w:t xml:space="preserve">In the remaining three months of the fiscal year ending </w:t>
      </w:r>
      <w:r>
        <w:rPr>
          <w:rFonts w:ascii="inherit" w:hAnsi="inherit"/>
          <w:strike w:val="false"/>
          <w:dstrike w:val="false"/>
          <w:color w:val="000000"/>
          <w:sz w:val="17"/>
          <w:u w:val="none"/>
          <w:effect w:val="none"/>
        </w:rPr>
        <w:t>September 30, 2012</w:t>
      </w:r>
      <w:r>
        <w:rPr>
          <w:rFonts w:ascii="inherit" w:hAnsi="inherit"/>
          <w:sz w:val="17"/>
        </w:rPr>
        <w:t xml:space="preserve">, we plan to open approximately </w:t>
      </w:r>
      <w:r>
        <w:rPr>
          <w:rFonts w:ascii="inherit" w:hAnsi="inherit"/>
          <w:strike w:val="false"/>
          <w:dstrike w:val="false"/>
          <w:color w:val="000000"/>
          <w:sz w:val="17"/>
          <w:u w:val="none"/>
          <w:effect w:val="none"/>
        </w:rPr>
        <w:t>36</w:t>
      </w:r>
      <w:r>
        <w:rPr>
          <w:sz w:val="17"/>
        </w:rPr>
        <w:t xml:space="preserve"> </w:t>
      </w:r>
      <w:r>
        <w:rPr>
          <w:rFonts w:ascii="inherit" w:hAnsi="inherit"/>
          <w:sz w:val="17"/>
        </w:rPr>
        <w:t xml:space="preserve">new stores for an aggregate investment of </w:t>
      </w:r>
      <w:r>
        <w:rPr>
          <w:rFonts w:ascii="inherit" w:hAnsi="inherit"/>
          <w:strike w:val="false"/>
          <w:dstrike w:val="false"/>
          <w:color w:val="000000"/>
          <w:sz w:val="17"/>
          <w:u w:val="none"/>
          <w:effect w:val="none"/>
        </w:rPr>
        <w:t>$6.2 million</w:t>
      </w:r>
      <w:r>
        <w:rPr>
          <w:sz w:val="17"/>
        </w:rPr>
        <w:t xml:space="preserve"> </w:t>
      </w:r>
      <w:r>
        <w:rPr>
          <w:rFonts w:ascii="inherit" w:hAnsi="inherit"/>
          <w:sz w:val="17"/>
        </w:rPr>
        <w:t>of capital expenditures plus the funding of working capital and start-up losses related to these store openings. We believe new stores will create a drag on earnings and liquidity until their second year of operations.</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May 10, 2011</w:t>
      </w:r>
      <w:r>
        <w:rPr>
          <w:rFonts w:ascii="inherit" w:hAnsi="inherit"/>
          <w:sz w:val="17"/>
        </w:rPr>
        <w:t xml:space="preserve">, we entered into a new senior secured credit agreement with a syndication of five banks, replacing our previous credit agreement. Among other things, the new credit agreement provides for a </w:t>
      </w:r>
      <w:r>
        <w:rPr>
          <w:rFonts w:ascii="inherit" w:hAnsi="inherit"/>
          <w:strike w:val="false"/>
          <w:dstrike w:val="false"/>
          <w:color w:val="000000"/>
          <w:sz w:val="17"/>
          <w:u w:val="none"/>
          <w:effect w:val="none"/>
        </w:rPr>
        <w:t>four</w:t>
      </w:r>
      <w:r>
        <w:rPr>
          <w:sz w:val="17"/>
        </w:rPr>
        <w:t xml:space="preserve"> </w:t>
      </w:r>
      <w:r>
        <w:rPr>
          <w:rFonts w:ascii="inherit" w:hAnsi="inherit"/>
          <w:sz w:val="17"/>
        </w:rPr>
        <w:t xml:space="preserve">year </w:t>
      </w:r>
      <w:r>
        <w:rPr>
          <w:rFonts w:ascii="inherit" w:hAnsi="inherit"/>
          <w:strike w:val="false"/>
          <w:dstrike w:val="false"/>
          <w:color w:val="000000"/>
          <w:sz w:val="17"/>
          <w:u w:val="none"/>
          <w:effect w:val="none"/>
        </w:rPr>
        <w:t>$175 million</w:t>
      </w:r>
      <w:r>
        <w:rPr>
          <w:sz w:val="17"/>
        </w:rPr>
        <w:t xml:space="preserve"> </w:t>
      </w:r>
      <w:r>
        <w:rPr>
          <w:rFonts w:ascii="inherit" w:hAnsi="inherit"/>
          <w:sz w:val="17"/>
        </w:rPr>
        <w:t xml:space="preserve">revolving credit facility that we may, under the terms of the agreement, request to be increased to a total of </w:t>
      </w:r>
      <w:r>
        <w:rPr>
          <w:rFonts w:ascii="inherit" w:hAnsi="inherit"/>
          <w:strike w:val="false"/>
          <w:dstrike w:val="false"/>
          <w:color w:val="000000"/>
          <w:sz w:val="17"/>
          <w:u w:val="none"/>
          <w:effect w:val="none"/>
        </w:rPr>
        <w:t>$225 million</w:t>
      </w:r>
      <w:r>
        <w:rPr>
          <w:rFonts w:ascii="inherit" w:hAnsi="inherit"/>
          <w:sz w:val="17"/>
        </w:rPr>
        <w:t xml:space="preserve">. Upon entering the new credit agreement, we repaid and retired all other outstanding debt. The new credit facility increases our available credit and provides greater flexibility to make investments and acquisitions both domestically and internationally. Terms of the credit agreement require, among other things, that we meet certain financial covenants. We were in compliance with all covenants at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and expect to remain in compliance based on our expected future performance. At </w:t>
      </w:r>
      <w:r>
        <w:rPr>
          <w:rFonts w:ascii="inherit" w:hAnsi="inherit"/>
          <w:strike w:val="false"/>
          <w:dstrike w:val="false"/>
          <w:color w:val="000000"/>
          <w:sz w:val="17"/>
          <w:u w:val="none"/>
          <w:effect w:val="none"/>
        </w:rPr>
        <w:t>June 30, 2012</w:t>
      </w:r>
      <w:r>
        <w:rPr>
          <w:rFonts w:ascii="inherit" w:hAnsi="inherit"/>
          <w:sz w:val="17"/>
        </w:rPr>
        <w:t xml:space="preserve">, we had borrowed </w:t>
      </w:r>
      <w:r>
        <w:rPr>
          <w:rFonts w:ascii="inherit" w:hAnsi="inherit"/>
          <w:strike w:val="false"/>
          <w:dstrike w:val="false"/>
          <w:color w:val="000000"/>
          <w:sz w:val="17"/>
          <w:u w:val="none"/>
          <w:effect w:val="none"/>
        </w:rPr>
        <w:t>$114.7 million</w:t>
      </w:r>
      <w:r>
        <w:rPr>
          <w:rFonts w:ascii="inherit" w:hAnsi="inherit"/>
          <w:sz w:val="17"/>
        </w:rPr>
        <w:t>, leaving $60.3 available on the facility.</w:t>
      </w:r>
    </w:p>
    <w:p>
      <w:pPr>
        <w:pStyle w:val="TextBody"/>
        <w:spacing w:lineRule="auto" w:line="288" w:before="0" w:after="0"/>
        <w:rPr>
          <w:rFonts w:ascii="inherit" w:hAnsi="inherit"/>
          <w:sz w:val="17"/>
        </w:rPr>
      </w:pPr>
      <w:r>
        <w:rPr>
          <w:rFonts w:ascii="inherit" w:hAnsi="inherit"/>
          <w:sz w:val="17"/>
        </w:rPr>
        <w:t>We anticipate that cash flow from operations, cash on hand and availability under our revolving credit facility will be adequate to fund our contractual obligations, planned store growth, capital expenditures and working capital requirements during the coming year.</w:t>
      </w:r>
    </w:p>
    <w:p>
      <w:pPr>
        <w:pStyle w:val="TextBody"/>
        <w:spacing w:lineRule="auto" w:line="288" w:before="0" w:after="0"/>
        <w:rPr>
          <w:sz w:val="17"/>
        </w:rPr>
      </w:pPr>
      <w:r>
        <w:rPr>
          <w:rFonts w:ascii="inherit" w:hAnsi="inherit"/>
          <w:sz w:val="17"/>
        </w:rPr>
        <w:t xml:space="preserve">We have an effective “shelf” Registration Statement on Form S-4 covering an aggregate of </w:t>
      </w:r>
      <w:r>
        <w:rPr>
          <w:rFonts w:ascii="inherit" w:hAnsi="inherit"/>
          <w:strike w:val="false"/>
          <w:dstrike w:val="false"/>
          <w:color w:val="000000"/>
          <w:sz w:val="17"/>
          <w:u w:val="none"/>
          <w:effect w:val="none"/>
        </w:rPr>
        <w:t>2.0 million</w:t>
      </w:r>
      <w:r>
        <w:rPr>
          <w:sz w:val="17"/>
        </w:rPr>
        <w:t xml:space="preserve"> </w:t>
      </w:r>
      <w:r>
        <w:rPr>
          <w:rFonts w:ascii="inherit" w:hAnsi="inherit"/>
          <w:sz w:val="17"/>
        </w:rPr>
        <w:t xml:space="preserve">shares of our Class A Common Stock that we may offer from time to time in connection with future acquisitions of businesses, assets or securities. We have issued an aggregate of approximately </w:t>
      </w:r>
      <w:r>
        <w:rPr>
          <w:rFonts w:ascii="inherit" w:hAnsi="inherit"/>
          <w:strike w:val="false"/>
          <w:dstrike w:val="false"/>
          <w:color w:val="000000"/>
          <w:sz w:val="17"/>
          <w:u w:val="none"/>
          <w:effect w:val="none"/>
        </w:rPr>
        <w:t>843,000</w:t>
      </w:r>
      <w:r>
        <w:rPr>
          <w:sz w:val="17"/>
        </w:rPr>
        <w:t xml:space="preserve"> </w:t>
      </w:r>
      <w:r>
        <w:rPr>
          <w:rFonts w:ascii="inherit" w:hAnsi="inherit"/>
          <w:sz w:val="17"/>
        </w:rPr>
        <w:t xml:space="preserve">shares of Class A Common Stock in connection with acquisitions of several pawn stores and the acquisition of a 72% interest in Cash Genie, leaving approximately </w:t>
      </w:r>
      <w:r>
        <w:rPr>
          <w:rFonts w:ascii="inherit" w:hAnsi="inherit"/>
          <w:strike w:val="false"/>
          <w:dstrike w:val="false"/>
          <w:color w:val="000000"/>
          <w:sz w:val="17"/>
          <w:u w:val="none"/>
          <w:effect w:val="none"/>
        </w:rPr>
        <w:t>1.2 million</w:t>
      </w:r>
      <w:r>
        <w:rPr>
          <w:sz w:val="17"/>
        </w:rPr>
        <w:t xml:space="preserve"> </w:t>
      </w:r>
      <w:r>
        <w:rPr>
          <w:rFonts w:ascii="inherit" w:hAnsi="inherit"/>
          <w:sz w:val="17"/>
        </w:rPr>
        <w:t>shares covered by the registration statement and available for issuance in future acquisitions.</w:t>
      </w:r>
    </w:p>
    <w:p>
      <w:pPr>
        <w:pStyle w:val="TextBody"/>
        <w:spacing w:lineRule="auto" w:line="288" w:before="0" w:after="0"/>
        <w:rPr>
          <w:sz w:val="17"/>
        </w:rPr>
      </w:pPr>
      <w:r>
        <w:rPr>
          <w:rFonts w:ascii="inherit" w:hAnsi="inherit"/>
          <w:sz w:val="17"/>
        </w:rPr>
        <w:t xml:space="preserve">On </w:t>
      </w:r>
      <w:r>
        <w:rPr>
          <w:rFonts w:ascii="inherit" w:hAnsi="inherit"/>
          <w:strike w:val="false"/>
          <w:dstrike w:val="false"/>
          <w:color w:val="000000"/>
          <w:sz w:val="17"/>
          <w:u w:val="none"/>
          <w:effect w:val="none"/>
        </w:rPr>
        <w:t>February 3, 2012</w:t>
      </w:r>
      <w:r>
        <w:rPr>
          <w:rFonts w:ascii="inherit" w:hAnsi="inherit"/>
          <w:sz w:val="17"/>
        </w:rPr>
        <w:t xml:space="preserve">, we filed with the United States Securities and Exchange Commission a “shelf” registration statement on Form S-3 registering the offer and sale of an indeterminate amount of a variety of securities, including debt securities (and related guarantees), equity securities, warrants to purchase debt or equity securities, stock purchase contracts and stock purchase units. The proceeds of any offering and sale under that registration statement will be used for general corporate purposes, including debt reduction or refinancing, acquisitions, capital expenditures and working capital. Unless otherwise indicated in connection with a particular offering of debt securities, each of our domestic subsidiaries will fully and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58</w:t>
      </w:r>
      <w:r>
        <w:br w:type="page"/>
      </w:r>
    </w:p>
    <w:p>
      <w:pPr>
        <w:pStyle w:val="TextBody"/>
        <w:spacing w:lineRule="auto" w:line="288" w:before="0" w:after="0"/>
        <w:rPr/>
      </w:pPr>
      <w:hyperlink w:anchor="s1D4031A326A2D05AEEF6A412554D06A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 xml:space="preserve">unconditionally guarantee on a joint and several basis our payment obligations under such debt securities. As of June 30, 2012, we had not issued any securities under this registration statement. </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43" w:name="s676F632D74EEF15DF04BA4125BAECE10"/>
      <w:bookmarkEnd w:id="43"/>
      <w:r>
        <w:rPr>
          <w:rFonts w:ascii="inherit" w:hAnsi="inherit"/>
          <w:b/>
          <w:i/>
          <w:sz w:val="17"/>
        </w:rPr>
        <w:t>Off-Balance Sheet Arrangements</w:t>
      </w:r>
    </w:p>
    <w:p>
      <w:pPr>
        <w:pStyle w:val="TextBody"/>
        <w:spacing w:lineRule="auto" w:line="288" w:before="0" w:after="0"/>
        <w:rPr>
          <w:rFonts w:ascii="inherit" w:hAnsi="inherit"/>
          <w:sz w:val="17"/>
        </w:rPr>
      </w:pPr>
      <w:r>
        <w:rPr>
          <w:rFonts w:ascii="inherit" w:hAnsi="inherit"/>
          <w:sz w:val="17"/>
        </w:rPr>
        <w:t>We issue letters of credit (“LOCs”) to enhance the creditworthiness of our credit service customers seeking signature loans and auto title loans from unaffiliated lenders. The LOCs assure the lenders that if borrowers default on the loans, we will pay the lenders, upon demand, the principal and accrued interest owed them by the borrowers plus any insufficient funds fees or late fees. We do not record on our balance sheet the loans related to our credit services as the loans are made by unaffiliated lenders. We do not consolidate the unaffiliated lenders’ results with our results as we do not have any ownership interest in the lenders, do not exercise control over them and do not otherwise meet the criteria for consolidation as prescribed by FASB ASC 810-10-25 regarding variable interest entities.</w:t>
      </w:r>
    </w:p>
    <w:p>
      <w:pPr>
        <w:pStyle w:val="TextBody"/>
        <w:spacing w:lineRule="auto" w:line="288" w:before="0" w:after="0"/>
        <w:rPr>
          <w:sz w:val="17"/>
        </w:rPr>
      </w:pPr>
      <w:r>
        <w:rPr>
          <w:rFonts w:ascii="inherit" w:hAnsi="inherit"/>
          <w:sz w:val="17"/>
        </w:rPr>
        <w:t xml:space="preserve">We include an allowance for Expected LOC Losses in “Accounts payable and other accrued expenses” on our balance sheet. At </w:t>
      </w:r>
      <w:r>
        <w:rPr>
          <w:rFonts w:ascii="inherit" w:hAnsi="inherit"/>
          <w:strike w:val="false"/>
          <w:dstrike w:val="false"/>
          <w:color w:val="000000"/>
          <w:sz w:val="17"/>
          <w:u w:val="none"/>
          <w:effect w:val="none"/>
        </w:rPr>
        <w:t>June 30, 2012</w:t>
      </w:r>
      <w:r>
        <w:rPr>
          <w:rFonts w:ascii="inherit" w:hAnsi="inherit"/>
          <w:sz w:val="17"/>
        </w:rPr>
        <w:t xml:space="preserve">, the allowance for Expected LOC Losses was </w:t>
      </w:r>
      <w:r>
        <w:rPr>
          <w:rFonts w:ascii="inherit" w:hAnsi="inherit"/>
          <w:strike w:val="false"/>
          <w:dstrike w:val="false"/>
          <w:color w:val="000000"/>
          <w:sz w:val="17"/>
          <w:u w:val="none"/>
          <w:effect w:val="none"/>
        </w:rPr>
        <w:t>$1.8 million</w:t>
      </w:r>
      <w:r>
        <w:rPr>
          <w:rFonts w:ascii="inherit" w:hAnsi="inherit"/>
          <w:sz w:val="17"/>
        </w:rPr>
        <w:t xml:space="preserve">. At that date, our maximum exposure for losses on letters of credit, if all brokered loans defaulted and none were collected, was </w:t>
      </w:r>
      <w:r>
        <w:rPr>
          <w:rFonts w:ascii="inherit" w:hAnsi="inherit"/>
          <w:strike w:val="false"/>
          <w:dstrike w:val="false"/>
          <w:color w:val="000000"/>
          <w:sz w:val="17"/>
          <w:u w:val="none"/>
          <w:effect w:val="none"/>
        </w:rPr>
        <w:t>$24.8 million</w:t>
      </w:r>
      <w:r>
        <w:rPr>
          <w:rFonts w:ascii="inherit" w:hAnsi="inherit"/>
          <w:sz w:val="17"/>
        </w:rPr>
        <w:t>. This amount includes principal, interest and insufficient funds fees.</w:t>
      </w:r>
    </w:p>
    <w:p>
      <w:pPr>
        <w:pStyle w:val="TextBody"/>
        <w:spacing w:lineRule="auto" w:line="288" w:before="0" w:after="0"/>
        <w:rPr>
          <w:rFonts w:ascii="inherit" w:hAnsi="inherit"/>
          <w:sz w:val="17"/>
        </w:rPr>
      </w:pPr>
      <w:r>
        <w:rPr>
          <w:rFonts w:ascii="inherit" w:hAnsi="inherit"/>
          <w:sz w:val="17"/>
        </w:rPr>
        <w:t>We have no other off-balance sheet arrangements.</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44" w:name="sBD9FC98307400F788482A4125BD05A8D"/>
      <w:bookmarkEnd w:id="44"/>
      <w:r>
        <w:rPr>
          <w:rFonts w:ascii="inherit" w:hAnsi="inherit"/>
          <w:b/>
          <w:i/>
          <w:sz w:val="17"/>
        </w:rPr>
        <w:t>Seasonality</w:t>
      </w:r>
    </w:p>
    <w:p>
      <w:pPr>
        <w:pStyle w:val="TextBody"/>
        <w:spacing w:lineRule="auto" w:line="288" w:before="0" w:after="0"/>
        <w:rPr>
          <w:rFonts w:ascii="inherit" w:hAnsi="inherit"/>
          <w:sz w:val="17"/>
        </w:rPr>
      </w:pPr>
      <w:r>
        <w:rPr>
          <w:rFonts w:ascii="inherit" w:hAnsi="inherit"/>
          <w:sz w:val="17"/>
        </w:rPr>
        <w:t>Historically, pawn service charges are highest in our fourth fiscal quarter (July through September) due to a higher average loan balance during the summer lending season. Merchandise sales are highest in the first and second fiscal quarters (October through March) due to the holiday season, jewelry sales surrounding Valentine’s Day and the impact of tax refunds in the United States. Jewelry scrapping sales are heavily influenced by the timing of decisions to scrap excess jewelry inventory. Jewelry scrapping sales generally are greatest during our fourth fiscal quarter (July through September). This results from relatively low jewelry merchandise sales in that quarter and the higher loan balance, leading to a higher dollar amount of loan forfeitures in the summer lending season providing more inventory available for sale.</w:t>
      </w:r>
    </w:p>
    <w:p>
      <w:pPr>
        <w:pStyle w:val="TextBody"/>
        <w:spacing w:lineRule="auto" w:line="288" w:before="0" w:after="0"/>
        <w:rPr>
          <w:rFonts w:ascii="inherit" w:hAnsi="inherit"/>
          <w:sz w:val="17"/>
        </w:rPr>
      </w:pPr>
      <w:r>
        <w:rPr>
          <w:rFonts w:ascii="inherit" w:hAnsi="inherit"/>
          <w:sz w:val="17"/>
        </w:rPr>
        <w:t>Consumer loan fees are generally highest in our third and fourth fiscal quarters (April through September) due to a higher average loan balance during the summer lending season. Consumer loan bad debt, both in dollar terms and as a percentage of related fees, is highest in the third and fourth fiscal quarters and lowest in the second fiscal quarter due primarily to the impact of tax refunds.</w:t>
      </w:r>
    </w:p>
    <w:p>
      <w:pPr>
        <w:pStyle w:val="TextBody"/>
        <w:spacing w:lineRule="auto" w:line="288" w:before="0" w:after="0"/>
        <w:rPr>
          <w:rFonts w:ascii="inherit" w:hAnsi="inherit"/>
          <w:sz w:val="17"/>
        </w:rPr>
      </w:pPr>
      <w:r>
        <w:rPr>
          <w:rFonts w:ascii="inherit" w:hAnsi="inherit"/>
          <w:sz w:val="17"/>
        </w:rPr>
        <w:t>The net effect of these factors is that net revenues and net income typically are strongest in the fourth fiscal quarter and weakest in the third fiscal quarter. Our cash flow typically is greatest in the second fiscal quarter due to a high level of loan redemptions and sales in the U.S. income tax refund season.</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45" w:name="s0F049FC85A3DE011B9CBA4125C022920"/>
      <w:bookmarkEnd w:id="45"/>
      <w:r>
        <w:rPr>
          <w:rFonts w:ascii="inherit" w:hAnsi="inherit"/>
          <w:b/>
          <w:i/>
          <w:sz w:val="17"/>
        </w:rPr>
        <w:t>Use of Estimates and Assumptions</w:t>
      </w:r>
    </w:p>
    <w:p>
      <w:pPr>
        <w:pStyle w:val="TextBody"/>
        <w:spacing w:lineRule="auto" w:line="288" w:before="0" w:after="0"/>
        <w:rPr>
          <w:rFonts w:ascii="inherit" w:hAnsi="inherit"/>
          <w:sz w:val="17"/>
        </w:rPr>
      </w:pPr>
      <w:r>
        <w:rPr>
          <w:rFonts w:ascii="inherit" w:hAnsi="inherit"/>
          <w:sz w:val="17"/>
        </w:rPr>
        <w:t>Management’s Discussion and Analysis of Financial Condition and Results of Operations is based upon our condensed consolidated financial statements, which have been prepared according to accounting principles generally accepted in the United States for interim financial information. The preparation of these financial statements requires us to make estimates and assumptions that affect the reported amounts of assets, liabilities, revenues and expenses and related disclosure of contingent assets and liabilities. On an on-going basis, we evaluate our estimates and judgments, including those related to revenue recognition, inventory, loan loss allowances, long-lived and intangible assets, income taxes, contingencies and litigation. We base our estimates on historical experience, observable trends and various other assumptions that we believe are reasonable under the circumstances. We use this information to make judgments about the carrying values of assets and liabilities that are not readily apparent from other sources. Actual results may differ materially from the estimates under different assumptions or conditions.</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59</w:t>
      </w:r>
      <w:r>
        <w:br w:type="page"/>
      </w:r>
    </w:p>
    <w:p>
      <w:pPr>
        <w:pStyle w:val="TextBody"/>
        <w:spacing w:lineRule="auto" w:line="288" w:before="0" w:after="0"/>
        <w:rPr/>
      </w:pPr>
      <w:hyperlink w:anchor="s1D4031A326A2D05AEEF6A412554D06A6">
        <w:bookmarkStart w:id="46" w:name="s5356368FCE423B78B063A4125C23A767"/>
        <w:bookmarkEnd w:id="46"/>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Item 3. Quantitative and Qualitative Disclosures About Market Risk</w:t>
      </w:r>
    </w:p>
    <w:p>
      <w:pPr>
        <w:pStyle w:val="TextBody"/>
        <w:spacing w:lineRule="auto" w:line="288" w:before="0" w:after="0"/>
        <w:rPr>
          <w:rFonts w:ascii="inherit" w:hAnsi="inherit"/>
          <w:sz w:val="17"/>
        </w:rPr>
      </w:pPr>
      <w:r>
        <w:rPr>
          <w:rFonts w:ascii="inherit" w:hAnsi="inherit"/>
          <w:sz w:val="17"/>
        </w:rPr>
        <w:t>We are exposed to market risk related to interest rates, gold values and changes in foreign currency exchange rates.</w:t>
      </w:r>
    </w:p>
    <w:p>
      <w:pPr>
        <w:pStyle w:val="TextBody"/>
        <w:spacing w:lineRule="auto" w:line="288" w:before="0" w:after="0"/>
        <w:rPr>
          <w:sz w:val="17"/>
        </w:rPr>
      </w:pPr>
      <w:r>
        <w:rPr>
          <w:rFonts w:ascii="inherit" w:hAnsi="inherit"/>
          <w:sz w:val="17"/>
        </w:rPr>
        <w:t xml:space="preserve">Our earnings are affected by changes in interest rates as our debt has a variable rate. If interest rates average 50 basis points more than our current rate in the remaining three months of the fiscal year ending September 30, 2012, our interest expense during that period would increase by approximately $143,000. This amount is determined by considering the impact of the hypothetical interest rate change on our variable-rate debt at </w:t>
      </w:r>
      <w:r>
        <w:rPr>
          <w:rFonts w:ascii="inherit" w:hAnsi="inherit"/>
          <w:strike w:val="false"/>
          <w:dstrike w:val="false"/>
          <w:color w:val="000000"/>
          <w:sz w:val="17"/>
          <w:u w:val="none"/>
          <w:effect w:val="none"/>
        </w:rPr>
        <w:t>June 30, 2012</w:t>
      </w:r>
      <w:r>
        <w:rPr>
          <w:rFonts w:ascii="inherit" w:hAnsi="inherit"/>
          <w:sz w:val="17"/>
        </w:rPr>
        <w:t xml:space="preserve">. </w:t>
      </w:r>
    </w:p>
    <w:p>
      <w:pPr>
        <w:pStyle w:val="TextBody"/>
        <w:spacing w:lineRule="auto" w:line="288" w:before="0" w:after="0"/>
        <w:rPr>
          <w:rFonts w:ascii="inherit" w:hAnsi="inherit"/>
          <w:sz w:val="17"/>
        </w:rPr>
      </w:pPr>
      <w:r>
        <w:rPr>
          <w:rFonts w:ascii="inherit" w:hAnsi="inherit"/>
          <w:sz w:val="17"/>
        </w:rPr>
        <w:t>Our earnings and financial position are affected by changes in gold values and the resulting impact on pawn lending, jewelry sales and jewelry cost of goods sold. The proceeds of scrap sales and our ability to sell jewelry inventory at an acceptable margin depend on gold values. The impact on our financial position and results of operations of a hypothetical change in gold values cannot be reasonably estimated. In the first quarter of fiscal 2012, we began using derivative financial instruments, in order to manage our commodity price risk associated with the forecasted sales of gold scrap. These derivatives are not designated as hedges as they do not meet the hedge accounting requirements of the Derivatives and Hedging topic of the FASB codification, and changes in their fair value are recorded directly in earnings. For further discussion, you should read “Part I, Item 1A—Risk Factors” of our Annual Report on Form 10-K for the year ended September 30, 2011.</w:t>
      </w:r>
    </w:p>
    <w:p>
      <w:pPr>
        <w:pStyle w:val="TextBody"/>
        <w:spacing w:lineRule="auto" w:line="288" w:before="0" w:after="0"/>
        <w:rPr>
          <w:rFonts w:ascii="inherit" w:hAnsi="inherit"/>
          <w:sz w:val="17"/>
        </w:rPr>
      </w:pPr>
      <w:r>
        <w:rPr>
          <w:rFonts w:ascii="inherit" w:hAnsi="inherit"/>
          <w:sz w:val="17"/>
        </w:rPr>
        <w:t>Our earnings and financial position are affected by foreign exchange rate fluctuations related to our equity investments in Albemarle &amp; Bond and Cash Converters International, our Empeño Fácil pawn operations and Crediamigo operations in Mexico, our operations in Canada and our Cash Genie operations in the U.K. Albemarle &amp; Bond and Cash Genie's functional currency is the British pound, Cash Converters’ International functional currency is the Australian dollar, Empeño Fácil and Crediamigo’s functional currency is the Mexican peso and our Canada operations’ functional currency is the Canadian dollar. The impact on our results of operations and financial position of hypothetical changes in foreign currency exchange rates cannot be reasonably estimated due to the interrelationship of operating results and exchange rates.</w:t>
      </w:r>
    </w:p>
    <w:p>
      <w:pPr>
        <w:pStyle w:val="TextBody"/>
        <w:spacing w:lineRule="auto" w:line="288" w:before="0" w:after="0"/>
        <w:rPr>
          <w:sz w:val="17"/>
        </w:rPr>
      </w:pPr>
      <w:r>
        <w:rPr>
          <w:rFonts w:ascii="inherit" w:hAnsi="inherit"/>
          <w:sz w:val="17"/>
        </w:rPr>
        <w:t xml:space="preserve">The translation adjustment from Albemarle &amp; Bond representing the weakening in the British pound during the quarter ended March 31, 2012 (included in our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results on a three-month lag) was a $0.8 million decrease to stockholders’ equity. The translation adjustment from Cash Genie also represents the weakening in the British pound, was a $0.6 million decrease to stockholders' equity. On June 30, 2012, the British pound weakened to £1.00 to $1.5615 U.S. from $1.5987 at March 31, 2012.</w:t>
      </w:r>
    </w:p>
    <w:p>
      <w:pPr>
        <w:pStyle w:val="TextBody"/>
        <w:spacing w:lineRule="auto" w:line="288" w:before="0" w:after="0"/>
        <w:rPr>
          <w:sz w:val="17"/>
        </w:rPr>
      </w:pPr>
      <w:r>
        <w:rPr>
          <w:rFonts w:ascii="inherit" w:hAnsi="inherit"/>
          <w:sz w:val="17"/>
        </w:rPr>
        <w:t xml:space="preserve">The translation adjustment from Cash Converters International representing the strengthening in the Australian dollar during the quarter ended December 31, 2011 (included in our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results on a three-month lag) was a $1.0 million increase to stockholders’ equity. On </w:t>
      </w:r>
      <w:r>
        <w:rPr>
          <w:rFonts w:ascii="inherit" w:hAnsi="inherit"/>
          <w:strike w:val="false"/>
          <w:dstrike w:val="false"/>
          <w:color w:val="000000"/>
          <w:sz w:val="17"/>
          <w:u w:val="none"/>
          <w:effect w:val="none"/>
        </w:rPr>
        <w:t>June 30, 2012</w:t>
      </w:r>
      <w:r>
        <w:rPr>
          <w:rFonts w:ascii="inherit" w:hAnsi="inherit"/>
          <w:sz w:val="17"/>
        </w:rPr>
        <w:t>, the Australian dollar weakened to $1.00 Australian dollar to $1.0159 U.S. from $1.0385 at March 31, 2012.</w:t>
      </w:r>
    </w:p>
    <w:p>
      <w:pPr>
        <w:pStyle w:val="TextBody"/>
        <w:spacing w:lineRule="auto" w:line="288" w:before="0" w:after="0"/>
        <w:rPr>
          <w:sz w:val="17"/>
        </w:rPr>
      </w:pPr>
      <w:r>
        <w:rPr>
          <w:rFonts w:ascii="inherit" w:hAnsi="inherit"/>
          <w:sz w:val="17"/>
        </w:rPr>
        <w:t xml:space="preserve">The translation adjustment from Latin America representing the weakening of the Mexican peso during the quarter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was a $6.4 million decrease to stockholders’ equity. We have currently assumed permanent reinvestment of earnings and capital in Mexico. Accumulated translation gains or losses related to any future repatriation of earnings or capital would impact our earnings in the period of repatriation. On </w:t>
      </w:r>
      <w:r>
        <w:rPr>
          <w:rFonts w:ascii="inherit" w:hAnsi="inherit"/>
          <w:strike w:val="false"/>
          <w:dstrike w:val="false"/>
          <w:color w:val="000000"/>
          <w:sz w:val="17"/>
          <w:u w:val="none"/>
          <w:effect w:val="none"/>
        </w:rPr>
        <w:t>June 30, 2012</w:t>
      </w:r>
      <w:r>
        <w:rPr>
          <w:rFonts w:ascii="inherit" w:hAnsi="inherit"/>
          <w:sz w:val="17"/>
        </w:rPr>
        <w:t xml:space="preserve">, the peso weakened to $1.00 Mexican peso to $0.0732 U.S. from $0.0778 at March 31, 2012. </w:t>
      </w:r>
    </w:p>
    <w:p>
      <w:pPr>
        <w:pStyle w:val="TextBody"/>
        <w:spacing w:lineRule="auto" w:line="288" w:before="0" w:after="0"/>
        <w:rPr>
          <w:sz w:val="17"/>
        </w:rPr>
      </w:pPr>
      <w:r>
        <w:rPr>
          <w:rFonts w:ascii="inherit" w:hAnsi="inherit"/>
          <w:sz w:val="17"/>
        </w:rPr>
        <w:t xml:space="preserve">The translation adjustment from our Canadian operations representing the weakening of the Canadian dollar during the quarter ended </w:t>
      </w:r>
      <w:r>
        <w:rPr>
          <w:rFonts w:ascii="inherit" w:hAnsi="inherit"/>
          <w:strike w:val="false"/>
          <w:dstrike w:val="false"/>
          <w:color w:val="000000"/>
          <w:sz w:val="17"/>
          <w:u w:val="none"/>
          <w:effect w:val="none"/>
        </w:rPr>
        <w:t>June 30, 2012</w:t>
      </w:r>
      <w:r>
        <w:rPr>
          <w:sz w:val="17"/>
        </w:rPr>
        <w:t xml:space="preserve"> </w:t>
      </w:r>
      <w:r>
        <w:rPr>
          <w:rFonts w:ascii="inherit" w:hAnsi="inherit"/>
          <w:sz w:val="17"/>
        </w:rPr>
        <w:t xml:space="preserve">was immaterial. On </w:t>
      </w:r>
      <w:r>
        <w:rPr>
          <w:rFonts w:ascii="inherit" w:hAnsi="inherit"/>
          <w:strike w:val="false"/>
          <w:dstrike w:val="false"/>
          <w:color w:val="000000"/>
          <w:sz w:val="17"/>
          <w:u w:val="none"/>
          <w:effect w:val="none"/>
        </w:rPr>
        <w:t>June 30, 2012</w:t>
      </w:r>
      <w:r>
        <w:rPr>
          <w:rFonts w:ascii="inherit" w:hAnsi="inherit"/>
          <w:sz w:val="17"/>
        </w:rPr>
        <w:t>, the Canadian dollar weakened to $1.00 Canadian dollar to $.9758 U.S. from $1.0027 at March 31, 2012.</w:t>
      </w:r>
    </w:p>
    <w:p>
      <w:pPr>
        <w:pStyle w:val="TextBody"/>
        <w:spacing w:lineRule="auto" w:line="288" w:before="0" w:after="0"/>
        <w:rPr>
          <w:rFonts w:ascii="inherit" w:hAnsi="inherit"/>
          <w:sz w:val="17"/>
        </w:rPr>
      </w:pPr>
      <w:r>
        <w:rPr>
          <w:rFonts w:ascii="inherit" w:hAnsi="inherit"/>
          <w:sz w:val="17"/>
        </w:rPr>
        <w:t>We cannot predict the future valuation of foreign currencies or how further movements in them could affect our future earnings or financial position.</w:t>
      </w:r>
    </w:p>
    <w:p>
      <w:pPr>
        <w:pStyle w:val="TextBody"/>
        <w:spacing w:lineRule="auto" w:line="288" w:before="0" w:after="0"/>
        <w:rPr>
          <w:rFonts w:ascii="inherit" w:hAnsi="inherit"/>
          <w:b/>
          <w:i/>
          <w:sz w:val="17"/>
        </w:rPr>
      </w:pPr>
      <w:r>
        <w:rPr>
          <w:rFonts w:ascii="inherit" w:hAnsi="inherit"/>
          <w:b/>
          <w:i/>
          <w:sz w:val="17"/>
        </w:rPr>
        <w:t>Forward-Looking Information</w:t>
      </w:r>
    </w:p>
    <w:p>
      <w:pPr>
        <w:pStyle w:val="TextBody"/>
        <w:spacing w:lineRule="auto" w:line="288" w:before="0" w:after="0"/>
        <w:rPr>
          <w:rFonts w:ascii="inherit" w:hAnsi="inherit"/>
          <w:sz w:val="17"/>
        </w:rPr>
      </w:pPr>
      <w:r>
        <w:rPr>
          <w:rFonts w:ascii="inherit" w:hAnsi="inherit"/>
          <w:sz w:val="17"/>
        </w:rPr>
        <w:t xml:space="preserve">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w:t>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60</w:t>
      </w:r>
      <w:r>
        <w:br w:type="page"/>
      </w:r>
    </w:p>
    <w:p>
      <w:pPr>
        <w:pStyle w:val="TextBody"/>
        <w:spacing w:lineRule="auto" w:line="288" w:before="0" w:after="0"/>
        <w:rPr/>
      </w:pPr>
      <w:hyperlink w:anchor="s1D4031A326A2D05AEEF6A412554D06A6">
        <w:bookmarkStart w:id="47" w:name="s5356368FCE423B78B063A4125C23A7671"/>
        <w:bookmarkEnd w:id="47"/>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t>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II, Item 1A—Risk Factors” of this Quarterly Report and “Part I, Item 1A—Risk Factors” of our Annual Report on Form 10-K for the year ended September 30, 2011.</w:t>
      </w:r>
    </w:p>
    <w:p>
      <w:pPr>
        <w:pStyle w:val="TextBody"/>
        <w:spacing w:lineRule="auto" w:line="288" w:before="0" w:after="0"/>
        <w:rPr>
          <w:rFonts w:ascii="inherit" w:hAnsi="inherit"/>
          <w:sz w:val="17"/>
        </w:rPr>
      </w:pPr>
      <w:r>
        <w:rPr>
          <w:rFonts w:ascii="inherit" w:hAnsi="inherit"/>
          <w:sz w:val="17"/>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61</w:t>
      </w:r>
      <w:r>
        <w:br w:type="page"/>
      </w:r>
    </w:p>
    <w:p>
      <w:pPr>
        <w:pStyle w:val="TextBody"/>
        <w:spacing w:lineRule="auto" w:line="288" w:before="0" w:after="0"/>
        <w:rPr/>
      </w:pPr>
      <w:hyperlink w:anchor="s1D4031A326A2D05AEEF6A412554D06A6">
        <w:bookmarkStart w:id="48" w:name="s7EB3D2FB2D53653F9A8AA4125C559923"/>
        <w:bookmarkEnd w:id="48"/>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i/>
          <w:sz w:val="17"/>
        </w:rPr>
      </w:pPr>
      <w:r>
        <w:rPr>
          <w:rFonts w:ascii="inherit" w:hAnsi="inherit"/>
          <w:b/>
          <w:i/>
          <w:sz w:val="17"/>
        </w:rPr>
        <w:t>Item 4. Controls and Procedures</w:t>
      </w:r>
    </w:p>
    <w:p>
      <w:pPr>
        <w:pStyle w:val="TextBody"/>
        <w:spacing w:lineRule="auto" w:line="288" w:before="0" w:after="0"/>
        <w:rPr>
          <w:rFonts w:ascii="inherit" w:hAnsi="inherit"/>
          <w:sz w:val="17"/>
        </w:rPr>
      </w:pPr>
      <w:r>
        <w:rPr>
          <w:rFonts w:ascii="inherit" w:hAnsi="inherit"/>
          <w:sz w:val="17"/>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spacing w:lineRule="auto" w:line="288" w:before="0" w:after="0"/>
        <w:rPr>
          <w:rFonts w:ascii="inherit" w:hAnsi="inherit"/>
          <w:b/>
          <w:i/>
          <w:sz w:val="17"/>
        </w:rPr>
      </w:pPr>
      <w:r>
        <w:rPr>
          <w:rFonts w:ascii="inherit" w:hAnsi="inherit"/>
          <w:b/>
          <w:i/>
          <w:sz w:val="17"/>
        </w:rPr>
        <w:t>Evaluation of Disclosure Controls and Procedures</w:t>
      </w:r>
    </w:p>
    <w:p>
      <w:pPr>
        <w:pStyle w:val="TextBody"/>
        <w:spacing w:lineRule="auto" w:line="288" w:before="0" w:after="0"/>
        <w:rPr>
          <w:sz w:val="17"/>
        </w:rPr>
      </w:pPr>
      <w:r>
        <w:rPr>
          <w:rFonts w:ascii="inherit" w:hAnsi="inherit"/>
          <w:sz w:val="17"/>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Under the supervision and with the participation of our Chief Executive Officer and Chief Financial Officer, our management evaluated the effectiveness of the design and operation of our disclosure controls and procedures as of </w:t>
      </w:r>
      <w:r>
        <w:rPr>
          <w:rFonts w:ascii="inherit" w:hAnsi="inherit"/>
          <w:strike w:val="false"/>
          <w:dstrike w:val="false"/>
          <w:color w:val="000000"/>
          <w:sz w:val="17"/>
          <w:u w:val="none"/>
          <w:effect w:val="none"/>
        </w:rPr>
        <w:t>June 30, 2012</w:t>
      </w:r>
      <w:r>
        <w:rPr>
          <w:rFonts w:ascii="inherit" w:hAnsi="inherit"/>
          <w:sz w:val="17"/>
        </w:rPr>
        <w:t xml:space="preserve">. Based on that evaluation, our Chief Executive Officer and Chief Financial Officer concluded that our disclosure controls and procedures were effective as of </w:t>
      </w:r>
      <w:r>
        <w:rPr>
          <w:rFonts w:ascii="inherit" w:hAnsi="inherit"/>
          <w:strike w:val="false"/>
          <w:dstrike w:val="false"/>
          <w:color w:val="000000"/>
          <w:sz w:val="17"/>
          <w:u w:val="none"/>
          <w:effect w:val="none"/>
        </w:rPr>
        <w:t>June 30, 2012</w:t>
      </w:r>
      <w:r>
        <w:rPr>
          <w:rFonts w:ascii="inherit" w:hAnsi="inherit"/>
          <w:sz w:val="17"/>
        </w:rPr>
        <w:t>.</w:t>
      </w:r>
    </w:p>
    <w:p>
      <w:pPr>
        <w:pStyle w:val="TextBody"/>
        <w:spacing w:lineRule="auto" w:line="288" w:before="0" w:after="0"/>
        <w:rPr>
          <w:rFonts w:ascii="inherit" w:hAnsi="inherit"/>
          <w:b/>
          <w:i/>
          <w:sz w:val="17"/>
        </w:rPr>
      </w:pPr>
      <w:r>
        <w:rPr>
          <w:rFonts w:ascii="inherit" w:hAnsi="inherit"/>
          <w:b/>
          <w:i/>
          <w:sz w:val="17"/>
        </w:rPr>
        <w:t>Changes in Internal Control Over Financial Reporting</w:t>
      </w:r>
    </w:p>
    <w:p>
      <w:pPr>
        <w:pStyle w:val="TextBody"/>
        <w:spacing w:lineRule="auto" w:line="288" w:before="0" w:after="0"/>
        <w:rPr>
          <w:sz w:val="17"/>
        </w:rPr>
      </w:pPr>
      <w:r>
        <w:rPr>
          <w:rFonts w:ascii="inherit" w:hAnsi="inherit"/>
          <w:sz w:val="17"/>
        </w:rPr>
        <w:t xml:space="preserve">There were no changes in our internal control over financial reporting during the </w:t>
      </w:r>
      <w:r>
        <w:rPr>
          <w:rFonts w:ascii="inherit" w:hAnsi="inherit"/>
          <w:strike w:val="false"/>
          <w:dstrike w:val="false"/>
          <w:color w:val="000000"/>
          <w:sz w:val="17"/>
          <w:u w:val="none"/>
          <w:effect w:val="none"/>
        </w:rPr>
        <w:t>third</w:t>
      </w:r>
      <w:r>
        <w:rPr>
          <w:sz w:val="17"/>
        </w:rPr>
        <w:t xml:space="preserve"> </w:t>
      </w:r>
      <w:r>
        <w:rPr>
          <w:rFonts w:ascii="inherit" w:hAnsi="inherit"/>
          <w:sz w:val="17"/>
        </w:rPr>
        <w:t>quarter of fiscal 2012 that have materially affected, or are reasonably likely to materially affect, our internal control over financial reporting.</w:t>
      </w:r>
    </w:p>
    <w:p>
      <w:pPr>
        <w:pStyle w:val="TextBody"/>
        <w:spacing w:lineRule="auto" w:line="288" w:before="0" w:after="0"/>
        <w:rPr>
          <w:rFonts w:ascii="inherit" w:hAnsi="inherit"/>
          <w:b/>
          <w:i/>
          <w:sz w:val="17"/>
        </w:rPr>
      </w:pPr>
      <w:r>
        <w:rPr>
          <w:rFonts w:ascii="inherit" w:hAnsi="inherit"/>
          <w:b/>
          <w:i/>
          <w:sz w:val="17"/>
        </w:rPr>
        <w:t>Inherent Limitations on Internal Controls</w:t>
      </w:r>
    </w:p>
    <w:p>
      <w:pPr>
        <w:pStyle w:val="TextBody"/>
        <w:spacing w:lineRule="auto" w:line="288" w:before="0" w:after="0"/>
        <w:rPr>
          <w:rFonts w:ascii="inherit" w:hAnsi="inherit"/>
          <w:sz w:val="17"/>
        </w:rPr>
      </w:pPr>
      <w:r>
        <w:rPr>
          <w:rFonts w:ascii="inherit" w:hAnsi="inherit"/>
          <w:sz w:val="17"/>
        </w:rPr>
        <w:t>Notwithstanding the foregoing, management does not expect that our disclosure controls and procedures or our internal control over financial reporting will prevent or detect all errors and all fraud. A control system, no matter how well designed and operated, can provide only reasonable, not absolute, assurance that the objectives of the control system will be met. Limitations inherent in any control system include the following:</w:t>
      </w:r>
    </w:p>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Judgments in decision-making can be faulty, and control and process breakdowns can occur because of simple errors or mistakes.</w:t>
            </w:r>
          </w:p>
        </w:tc>
      </w:tr>
    </w:tbl>
    <w:tbl>
      <w:tblPr>
        <w:tblW w:w="9835" w:type="dxa"/>
        <w:jc w:val="left"/>
        <w:tblInd w:w="0" w:type="dxa"/>
        <w:tblCellMar>
          <w:top w:w="0" w:type="dxa"/>
          <w:left w:w="0" w:type="dxa"/>
          <w:bottom w:w="0" w:type="dxa"/>
          <w:right w:w="0" w:type="dxa"/>
        </w:tblCellMar>
      </w:tblPr>
      <w:tblGrid>
        <w:gridCol w:w="305"/>
        <w:gridCol w:w="9530"/>
      </w:tblGrid>
      <w:tr>
        <w:trPr/>
        <w:tc>
          <w:tcPr>
            <w:tcW w:w="305" w:type="dxa"/>
            <w:tcBorders/>
            <w:shd w:fill="auto" w:val="clear"/>
            <w:vAlign w:val="center"/>
          </w:tcPr>
          <w:p>
            <w:pPr>
              <w:pStyle w:val="TableContents"/>
              <w:spacing w:before="0" w:after="283"/>
              <w:rPr>
                <w:sz w:val="4"/>
                <w:szCs w:val="4"/>
              </w:rPr>
            </w:pPr>
            <w:r>
              <w:rPr>
                <w:sz w:val="4"/>
                <w:szCs w:val="4"/>
              </w:rPr>
            </w:r>
          </w:p>
        </w:tc>
        <w:tc>
          <w:tcPr>
            <w:tcW w:w="953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5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Controls can be circumvented by individuals, acting alone or in collusion with others, or by management override.</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any system of controls is based in part on certain assumptions about the likelihood of future events, and there can be no assurance that any design will succeed in achieving its stated goals under all potential future conditions.</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Over time, controls may become inadequate because of changes in conditions or deterioration in the degree of compliance with associated policies or procedures.</w:t>
            </w:r>
          </w:p>
        </w:tc>
      </w:tr>
    </w:tbl>
    <w:tbl>
      <w:tblPr>
        <w:tblW w:w="10205" w:type="dxa"/>
        <w:jc w:val="left"/>
        <w:tblInd w:w="0" w:type="dxa"/>
        <w:tblCellMar>
          <w:top w:w="0" w:type="dxa"/>
          <w:left w:w="0" w:type="dxa"/>
          <w:bottom w:w="0" w:type="dxa"/>
          <w:right w:w="0" w:type="dxa"/>
        </w:tblCellMar>
      </w:tblPr>
      <w:tblGrid>
        <w:gridCol w:w="305"/>
        <w:gridCol w:w="9900"/>
      </w:tblGrid>
      <w:tr>
        <w:trPr/>
        <w:tc>
          <w:tcPr>
            <w:tcW w:w="305" w:type="dxa"/>
            <w:tcBorders/>
            <w:shd w:fill="auto" w:val="clear"/>
            <w:vAlign w:val="center"/>
          </w:tcPr>
          <w:p>
            <w:pPr>
              <w:pStyle w:val="TableContents"/>
              <w:spacing w:before="0" w:after="283"/>
              <w:rPr>
                <w:sz w:val="4"/>
                <w:szCs w:val="4"/>
              </w:rPr>
            </w:pPr>
            <w:r>
              <w:rPr>
                <w:sz w:val="4"/>
                <w:szCs w:val="4"/>
              </w:rPr>
            </w:r>
          </w:p>
        </w:tc>
        <w:tc>
          <w:tcPr>
            <w:tcW w:w="9900" w:type="dxa"/>
            <w:tcBorders/>
            <w:shd w:fill="auto" w:val="clear"/>
            <w:vAlign w:val="center"/>
          </w:tcPr>
          <w:p>
            <w:pPr>
              <w:pStyle w:val="TableContents"/>
              <w:spacing w:before="0" w:after="283"/>
              <w:rPr>
                <w:sz w:val="4"/>
                <w:szCs w:val="4"/>
              </w:rPr>
            </w:pPr>
            <w:r>
              <w:rPr>
                <w:sz w:val="4"/>
                <w:szCs w:val="4"/>
              </w:rPr>
            </w:r>
          </w:p>
        </w:tc>
      </w:tr>
      <w:tr>
        <w:trPr/>
        <w:tc>
          <w:tcPr>
            <w:tcW w:w="305" w:type="dxa"/>
            <w:tcBorders/>
            <w:shd w:fill="auto" w:val="clear"/>
            <w:vAlign w:val="center"/>
          </w:tcPr>
          <w:p>
            <w:pPr>
              <w:pStyle w:val="TableContents"/>
              <w:spacing w:lineRule="auto" w:line="288" w:before="0" w:after="0"/>
              <w:ind w:left="0" w:right="0" w:firstLine="180"/>
              <w:rPr/>
            </w:pPr>
            <w:r>
              <w:rPr/>
              <w:t>•</w:t>
            </w:r>
          </w:p>
        </w:tc>
        <w:tc>
          <w:tcPr>
            <w:tcW w:w="990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design of a control system must reflect the fact that resources are constrained, and the benefits of controls must be considered relative to their costs.</w:t>
            </w:r>
          </w:p>
        </w:tc>
      </w:tr>
    </w:tbl>
    <w:p>
      <w:pPr>
        <w:pStyle w:val="TextBody"/>
        <w:spacing w:lineRule="auto" w:line="288" w:before="0" w:after="0"/>
        <w:rPr>
          <w:rFonts w:ascii="inherit" w:hAnsi="inherit"/>
          <w:sz w:val="17"/>
        </w:rPr>
      </w:pPr>
      <w:r>
        <w:rPr>
          <w:rFonts w:ascii="inherit" w:hAnsi="inherit"/>
          <w:sz w:val="17"/>
        </w:rPr>
        <w:t>Because of the inherent limitations in all control systems, no evaluation of controls can provide absolute assurance that all control issues and instances of fraud, if any, have been detected.</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62</w:t>
      </w:r>
      <w:r>
        <w:br w:type="page"/>
      </w:r>
    </w:p>
    <w:p>
      <w:pPr>
        <w:pStyle w:val="TextBody"/>
        <w:spacing w:lineRule="auto" w:line="288" w:before="0" w:after="0"/>
        <w:rPr/>
      </w:pPr>
      <w:hyperlink w:anchor="s1D4031A326A2D05AEEF6A412554D06A6">
        <w:bookmarkStart w:id="49" w:name="s1CC55843C3987461BEA8A4125C7681DA"/>
        <w:bookmarkEnd w:id="49"/>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b/>
          <w:sz w:val="17"/>
        </w:rPr>
      </w:pPr>
      <w:r>
        <w:rPr>
          <w:rFonts w:ascii="inherit" w:hAnsi="inherit"/>
          <w:b/>
          <w:sz w:val="17"/>
        </w:rPr>
        <w:t>PART II</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50" w:name="s2F473684A82FE8C57F3BA4125CA7B1E8"/>
      <w:bookmarkEnd w:id="50"/>
      <w:r>
        <w:rPr>
          <w:rFonts w:ascii="inherit" w:hAnsi="inherit"/>
          <w:b/>
          <w:i/>
          <w:sz w:val="17"/>
        </w:rPr>
        <w:t>Item 1. Legal Proceedings</w:t>
      </w:r>
    </w:p>
    <w:p>
      <w:pPr>
        <w:pStyle w:val="TextBody"/>
        <w:spacing w:lineRule="auto" w:line="288" w:before="0" w:after="0"/>
        <w:rPr>
          <w:rFonts w:ascii="inherit" w:hAnsi="inherit"/>
          <w:sz w:val="17"/>
        </w:rPr>
      </w:pPr>
      <w:r>
        <w:rPr>
          <w:rFonts w:ascii="inherit" w:hAnsi="inherit"/>
          <w:sz w:val="17"/>
        </w:rPr>
        <w:t>Currently and from time to time, we are defendants in various legal and regulatory actions. While we cannot determine the ultimate outcome of these actions, we believe their resolution will not have a material adverse effect on our financial condition, results of operations or liquidity. However, we cannot give any assurance as to their ultimate outcome.</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51" w:name="sF8D2FB3B9B1C4DDF4613A4125CCA1143"/>
      <w:bookmarkEnd w:id="51"/>
      <w:r>
        <w:rPr>
          <w:rFonts w:ascii="inherit" w:hAnsi="inherit"/>
          <w:b/>
          <w:i/>
          <w:sz w:val="17"/>
        </w:rPr>
        <w:t>Item 1A. Risk Factors</w:t>
      </w:r>
    </w:p>
    <w:p>
      <w:pPr>
        <w:pStyle w:val="TextBody"/>
        <w:spacing w:lineRule="auto" w:line="288" w:before="0" w:after="0"/>
        <w:rPr>
          <w:rFonts w:ascii="inherit" w:hAnsi="inherit"/>
          <w:sz w:val="17"/>
        </w:rPr>
      </w:pPr>
      <w:r>
        <w:rPr>
          <w:rFonts w:ascii="inherit" w:hAnsi="inherit"/>
          <w:sz w:val="17"/>
        </w:rPr>
        <w:t>Important risk factors that could affect our operations and financial performance, or that could cause results or events to differ from current expectations, are described in Part I, Item 1A, “Risk Factors” of our Annual Report on Form 10-K for the year ended September 30, 2011. These factors are supplemented by those discussed under “Quantitative and Qualitative Disclosures about Market Risk” in Part I, Item 3 of this report and in Part II, Item 7A of our Annual Report on Form 10-K for the year ended September 30, 2011.</w:t>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bookmarkStart w:id="52" w:name="s604B4656B1F1CA175A73A4125CFCB5AE"/>
      <w:bookmarkEnd w:id="52"/>
      <w:r>
        <w:rPr>
          <w:rFonts w:ascii="inherit" w:hAnsi="inherit"/>
          <w:b/>
          <w:i/>
          <w:sz w:val="17"/>
        </w:rPr>
        <w:t>Item 2. Unregistered Sales of Equity Securities and Use of Proceeds</w:t>
      </w:r>
    </w:p>
    <w:p>
      <w:pPr>
        <w:pStyle w:val="TextBody"/>
        <w:spacing w:lineRule="auto" w:line="288" w:before="0" w:after="0"/>
        <w:rPr>
          <w:rFonts w:ascii="inherit" w:hAnsi="inherit"/>
          <w:sz w:val="17"/>
        </w:rPr>
      </w:pPr>
      <w:r>
        <w:rPr>
          <w:rFonts w:ascii="inherit" w:hAnsi="inherit"/>
          <w:sz w:val="17"/>
        </w:rPr>
        <w:t>On April 2, 2012, we issued 108,402 of our Class A Non-voting common stock, par value of $0.01 per share, valued at $3.6 million to the Halbert Group, LLC. as partial compensation for a multi-year consulting arrangement involving our information technology systems. The shares are subject to transfer and vesting restrictions. The shares will vest, and those restrictions will lapse, pro rata on the first, second and third anniversaries of the date of grant, subject to the achievement of performance goals consistent with the IT multi-year plan. These securities were issued in an exempt private placement pursing to regulation D (Rule 506) under the Securities Act of 1933, as well as pursuant to Section 4(5) of such Act.</w:t>
      </w:r>
    </w:p>
    <w:p>
      <w:pPr>
        <w:pStyle w:val="TextBody"/>
        <w:spacing w:lineRule="auto" w:line="288" w:before="0" w:after="0"/>
        <w:rPr>
          <w:rFonts w:ascii="inherit" w:hAnsi="inherit"/>
          <w:sz w:val="17"/>
        </w:rPr>
      </w:pPr>
      <w:r>
        <w:rPr>
          <w:rFonts w:ascii="inherit" w:hAnsi="inherit"/>
          <w:sz w:val="17"/>
        </w:rPr>
      </w:r>
    </w:p>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63</w:t>
      </w:r>
      <w:r>
        <w:br w:type="page"/>
      </w:r>
    </w:p>
    <w:p>
      <w:pPr>
        <w:pStyle w:val="TextBody"/>
        <w:spacing w:lineRule="auto" w:line="288" w:before="0" w:after="0"/>
        <w:rPr/>
      </w:pPr>
      <w:hyperlink w:anchor="s1D4031A326A2D05AEEF6A412554D06A6">
        <w:bookmarkStart w:id="53" w:name="s96489CFEAA90283B22CEA4125D1D3E16"/>
        <w:bookmarkEnd w:id="53"/>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rPr>
          <w:rFonts w:ascii="inherit" w:hAnsi="inherit"/>
          <w:sz w:val="17"/>
        </w:rPr>
      </w:pPr>
      <w:r>
        <w:rPr>
          <w:rFonts w:ascii="inherit" w:hAnsi="inherit"/>
          <w:sz w:val="17"/>
        </w:rPr>
      </w:r>
    </w:p>
    <w:p>
      <w:pPr>
        <w:pStyle w:val="TextBody"/>
        <w:spacing w:lineRule="auto" w:line="288" w:before="0" w:after="0"/>
        <w:rPr>
          <w:rFonts w:ascii="inherit" w:hAnsi="inherit"/>
          <w:b/>
          <w:i/>
          <w:sz w:val="17"/>
        </w:rPr>
      </w:pPr>
      <w:r>
        <w:rPr>
          <w:rFonts w:ascii="inherit" w:hAnsi="inherit"/>
          <w:b/>
          <w:i/>
          <w:sz w:val="17"/>
        </w:rPr>
        <w:t>Item 6. Exhibits</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1366"/>
        <w:gridCol w:w="105"/>
        <w:gridCol w:w="350"/>
        <w:gridCol w:w="8384"/>
      </w:tblGrid>
      <w:tr>
        <w:trPr/>
        <w:tc>
          <w:tcPr>
            <w:tcW w:w="10205" w:type="dxa"/>
            <w:gridSpan w:val="4"/>
            <w:tcBorders/>
            <w:shd w:fill="auto" w:val="clear"/>
            <w:vAlign w:val="center"/>
          </w:tcPr>
          <w:p>
            <w:pPr>
              <w:pStyle w:val="TableContents"/>
              <w:spacing w:before="0" w:after="283"/>
              <w:rPr>
                <w:sz w:val="4"/>
                <w:szCs w:val="4"/>
              </w:rPr>
            </w:pPr>
            <w:r>
              <w:rPr>
                <w:sz w:val="4"/>
                <w:szCs w:val="4"/>
              </w:rPr>
            </w:r>
          </w:p>
        </w:tc>
      </w:tr>
      <w:tr>
        <w:trPr/>
        <w:tc>
          <w:tcPr>
            <w:tcW w:w="1366"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8384" w:type="dxa"/>
            <w:tcBorders/>
            <w:shd w:fill="auto" w:val="clear"/>
            <w:vAlign w:val="center"/>
          </w:tcPr>
          <w:p>
            <w:pPr>
              <w:pStyle w:val="TableContents"/>
              <w:spacing w:before="0" w:after="283"/>
              <w:ind w:left="0" w:right="0" w:firstLine="30"/>
              <w:rPr>
                <w:sz w:val="4"/>
                <w:szCs w:val="4"/>
              </w:rPr>
            </w:pPr>
            <w:r>
              <w:rPr>
                <w:sz w:val="4"/>
                <w:szCs w:val="4"/>
              </w:rPr>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b/>
                <w:sz w:val="13"/>
              </w:rPr>
            </w:pPr>
            <w:r>
              <w:rPr>
                <w:rFonts w:ascii="inherit" w:hAnsi="inherit"/>
                <w:b/>
                <w:sz w:val="13"/>
              </w:rPr>
              <w:t>Exhibit No.</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31.1</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Paul E. Rothamel, Chief Executive Officer, pursuant to Rule 13a-14(a) under the Securities Exchange Act of 1934, as adopted pursuant to Section 302 of the Sarbanes-Oxley Act of 2002</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31.2</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Stephen A. Stamp, Chief Financial Officer, pursuant to Rule 13a-14(a) under the Securities Exchange Act of 1934, as adopted pursuant to Section 302 of the Sarbanes-Oxley Act of 2002</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32.1</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Certifications of Paul E. Rothamel, Chief Executive Officer, and Stephen A. Stamp, Chief Financial Officer , pursuant to 18 U.S.C. Section 1350, as adopted pursuant to Section 906 of the Sarbanes-Oxley Act of 2002</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101.INS*</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101.SCH*</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101.CAL*</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101.LAB*</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101.DEF*</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1471" w:type="dxa"/>
            <w:gridSpan w:val="2"/>
            <w:tcBorders/>
            <w:shd w:fill="auto" w:val="clear"/>
            <w:vAlign w:val="center"/>
          </w:tcPr>
          <w:p>
            <w:pPr>
              <w:pStyle w:val="TableContents"/>
              <w:spacing w:before="0" w:after="0"/>
              <w:ind w:left="0" w:right="0" w:firstLine="30"/>
              <w:rPr/>
            </w:pPr>
            <w:r>
              <w:rPr/>
              <w:t> </w:t>
            </w:r>
          </w:p>
        </w:tc>
        <w:tc>
          <w:tcPr>
            <w:tcW w:w="350" w:type="dxa"/>
            <w:tcBorders/>
            <w:shd w:fill="auto" w:val="clear"/>
            <w:vAlign w:val="center"/>
          </w:tcPr>
          <w:p>
            <w:pPr>
              <w:pStyle w:val="TableContents"/>
              <w:spacing w:before="0" w:after="0"/>
              <w:ind w:left="0" w:right="0" w:firstLine="30"/>
              <w:rPr/>
            </w:pPr>
            <w:r>
              <w:rPr/>
              <w:t> </w:t>
            </w:r>
          </w:p>
        </w:tc>
        <w:tc>
          <w:tcPr>
            <w:tcW w:w="8384" w:type="dxa"/>
            <w:tcBorders/>
            <w:shd w:fill="auto" w:val="clear"/>
            <w:vAlign w:val="center"/>
          </w:tcPr>
          <w:p>
            <w:pPr>
              <w:pStyle w:val="TableContents"/>
              <w:spacing w:before="0" w:after="0"/>
              <w:ind w:left="0" w:right="0" w:firstLine="30"/>
              <w:rPr/>
            </w:pPr>
            <w:r>
              <w:rPr/>
              <w:t> </w:t>
            </w:r>
          </w:p>
        </w:tc>
      </w:tr>
      <w:tr>
        <w:trPr/>
        <w:tc>
          <w:tcPr>
            <w:tcW w:w="1366" w:type="dxa"/>
            <w:tcBorders/>
            <w:shd w:fill="auto" w:val="clear"/>
            <w:vAlign w:val="center"/>
          </w:tcPr>
          <w:p>
            <w:pPr>
              <w:pStyle w:val="TableContents"/>
              <w:spacing w:before="0" w:after="0"/>
              <w:jc w:val="right"/>
              <w:rPr>
                <w:rFonts w:ascii="inherit" w:hAnsi="inherit"/>
                <w:sz w:val="17"/>
              </w:rPr>
            </w:pPr>
            <w:r>
              <w:rPr>
                <w:rFonts w:ascii="inherit" w:hAnsi="inherit"/>
                <w:sz w:val="17"/>
              </w:rPr>
              <w:t>101.PRE*</w:t>
            </w:r>
          </w:p>
        </w:tc>
        <w:tc>
          <w:tcPr>
            <w:tcW w:w="10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r>
          </w:p>
        </w:tc>
        <w:tc>
          <w:tcPr>
            <w:tcW w:w="350" w:type="dxa"/>
            <w:tcBorders/>
            <w:shd w:fill="auto" w:val="clear"/>
            <w:vAlign w:val="center"/>
          </w:tcPr>
          <w:p>
            <w:pPr>
              <w:pStyle w:val="TableContents"/>
              <w:spacing w:before="0" w:after="0"/>
              <w:ind w:left="0" w:right="0" w:firstLine="30"/>
              <w:jc w:val="left"/>
              <w:rPr/>
            </w:pPr>
            <w:r>
              <w:rPr/>
              <w:t>  </w:t>
            </w:r>
          </w:p>
        </w:tc>
        <w:tc>
          <w:tcPr>
            <w:tcW w:w="8384"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tbl>
      <w:tblPr>
        <w:tblW w:w="10205" w:type="dxa"/>
        <w:jc w:val="left"/>
        <w:tblInd w:w="0" w:type="dxa"/>
        <w:tblCellMar>
          <w:top w:w="0" w:type="dxa"/>
          <w:left w:w="0" w:type="dxa"/>
          <w:bottom w:w="0" w:type="dxa"/>
          <w:right w:w="0" w:type="dxa"/>
        </w:tblCellMar>
      </w:tblPr>
      <w:tblGrid>
        <w:gridCol w:w="483"/>
        <w:gridCol w:w="972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vAlign w:val="center"/>
          </w:tcPr>
          <w:p>
            <w:pPr>
              <w:pStyle w:val="TableContents"/>
              <w:spacing w:before="0" w:after="283"/>
              <w:rPr>
                <w:sz w:val="4"/>
                <w:szCs w:val="4"/>
              </w:rPr>
            </w:pPr>
            <w:r>
              <w:rPr>
                <w:sz w:val="4"/>
                <w:szCs w:val="4"/>
              </w:rPr>
            </w:r>
          </w:p>
        </w:tc>
        <w:tc>
          <w:tcPr>
            <w:tcW w:w="97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22" w:type="dxa"/>
            <w:tcBorders/>
            <w:shd w:fill="auto" w:val="clear"/>
            <w:vAlign w:val="center"/>
          </w:tcPr>
          <w:p>
            <w:pPr>
              <w:pStyle w:val="TableContents"/>
              <w:spacing w:before="0" w:after="0"/>
              <w:jc w:val="left"/>
              <w:rPr>
                <w:rFonts w:ascii="inherit" w:hAnsi="inherit"/>
                <w:sz w:val="17"/>
              </w:rPr>
            </w:pPr>
            <w:r>
              <w:rPr>
                <w:rFonts w:ascii="inherit" w:hAnsi="inherit"/>
                <w:sz w:val="17"/>
              </w:rPr>
              <w:t>Attached as Exhibit 101 to this report are the following formatted in XBRL (Extensible Business Reporting Language): (i) Consolidated Balance Sheets at June 30, 2012, June 30, 2011 and September 30, 2011; (ii) Consolidated Statements of Income for the three and nine months ended June 30, 2012 and June 30, 2011; (iii) Consolidated Statements of Comprehensive Income for three and nine months ended June 30, 2012 and June 30, 2011 (iv) Consolidated Statements of Cash Flows for the nine months ended June 30, 2012 and June 30, 2011; and (v)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64</w:t>
      </w:r>
      <w:r>
        <w:br w:type="page"/>
      </w:r>
    </w:p>
    <w:p>
      <w:pPr>
        <w:pStyle w:val="TextBody"/>
        <w:spacing w:lineRule="auto" w:line="288" w:before="0" w:after="0"/>
        <w:rPr/>
      </w:pPr>
      <w:hyperlink w:anchor="s1D4031A326A2D05AEEF6A412554D06A6">
        <w:bookmarkStart w:id="54" w:name="s240113A800AC09003280A4125D50271C"/>
        <w:bookmarkEnd w:id="54"/>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SIGNATURE</w:t>
      </w:r>
    </w:p>
    <w:p>
      <w:pPr>
        <w:pStyle w:val="TextBody"/>
        <w:spacing w:lineRule="auto" w:line="288" w:before="0" w:after="0"/>
        <w:rPr>
          <w:rFonts w:ascii="inherit" w:hAnsi="inherit"/>
          <w:sz w:val="17"/>
        </w:rPr>
      </w:pPr>
      <w:r>
        <w:rPr>
          <w:rFonts w:ascii="inherit" w:hAnsi="inherit"/>
          <w:sz w:val="17"/>
        </w:rPr>
        <w:t>Pursuant to the requirements of the Securities Exchange Act of 1934, the registrant has duly caused this report to be signed on its behalf by the undersigned thereunto duly authorized.</w:t>
      </w:r>
    </w:p>
    <w:p>
      <w:pPr>
        <w:pStyle w:val="TextBody"/>
        <w:spacing w:lineRule="auto" w:line="288" w:before="0" w:after="0"/>
        <w:rPr/>
      </w:pPr>
      <w:r>
        <w:rPr/>
        <w:t> </w:t>
      </w:r>
    </w:p>
    <w:tbl>
      <w:tblPr>
        <w:tblW w:w="8678" w:type="dxa"/>
        <w:jc w:val="left"/>
        <w:tblInd w:w="0" w:type="dxa"/>
        <w:tblCellMar>
          <w:top w:w="0" w:type="dxa"/>
          <w:left w:w="0" w:type="dxa"/>
          <w:bottom w:w="0" w:type="dxa"/>
          <w:right w:w="0" w:type="dxa"/>
        </w:tblCellMar>
      </w:tblPr>
      <w:tblGrid>
        <w:gridCol w:w="520"/>
        <w:gridCol w:w="1475"/>
        <w:gridCol w:w="4340"/>
        <w:gridCol w:w="2343"/>
      </w:tblGrid>
      <w:tr>
        <w:trPr/>
        <w:tc>
          <w:tcPr>
            <w:tcW w:w="8678" w:type="dxa"/>
            <w:gridSpan w:val="4"/>
            <w:tcBorders/>
            <w:shd w:fill="auto" w:val="clear"/>
            <w:vAlign w:val="center"/>
          </w:tcPr>
          <w:p>
            <w:pPr>
              <w:pStyle w:val="TableContents"/>
              <w:spacing w:before="0" w:after="283"/>
              <w:rPr>
                <w:sz w:val="4"/>
                <w:szCs w:val="4"/>
              </w:rPr>
            </w:pPr>
            <w:r>
              <w:rPr>
                <w:sz w:val="4"/>
                <w:szCs w:val="4"/>
              </w:rPr>
            </w:r>
          </w:p>
        </w:tc>
      </w:tr>
      <w:tr>
        <w:trPr/>
        <w:tc>
          <w:tcPr>
            <w:tcW w:w="520" w:type="dxa"/>
            <w:tcBorders/>
            <w:shd w:fill="auto" w:val="clear"/>
            <w:vAlign w:val="center"/>
          </w:tcPr>
          <w:p>
            <w:pPr>
              <w:pStyle w:val="TableContents"/>
              <w:spacing w:before="0" w:after="283"/>
              <w:rPr>
                <w:sz w:val="4"/>
                <w:szCs w:val="4"/>
              </w:rPr>
            </w:pPr>
            <w:r>
              <w:rPr>
                <w:sz w:val="4"/>
                <w:szCs w:val="4"/>
              </w:rPr>
            </w:r>
          </w:p>
        </w:tc>
        <w:tc>
          <w:tcPr>
            <w:tcW w:w="1475" w:type="dxa"/>
            <w:tcBorders/>
            <w:shd w:fill="auto" w:val="clear"/>
            <w:vAlign w:val="center"/>
          </w:tcPr>
          <w:p>
            <w:pPr>
              <w:pStyle w:val="TableContents"/>
              <w:spacing w:before="0" w:after="283"/>
              <w:rPr>
                <w:sz w:val="4"/>
                <w:szCs w:val="4"/>
              </w:rPr>
            </w:pPr>
            <w:r>
              <w:rPr>
                <w:sz w:val="4"/>
                <w:szCs w:val="4"/>
              </w:rPr>
            </w:r>
          </w:p>
        </w:tc>
        <w:tc>
          <w:tcPr>
            <w:tcW w:w="4340" w:type="dxa"/>
            <w:tcBorders/>
            <w:shd w:fill="auto" w:val="clear"/>
            <w:vAlign w:val="center"/>
          </w:tcPr>
          <w:p>
            <w:pPr>
              <w:pStyle w:val="TableContents"/>
              <w:spacing w:before="0" w:after="283"/>
              <w:rPr>
                <w:sz w:val="4"/>
                <w:szCs w:val="4"/>
              </w:rPr>
            </w:pPr>
            <w:r>
              <w:rPr>
                <w:sz w:val="4"/>
                <w:szCs w:val="4"/>
              </w:rPr>
            </w:r>
          </w:p>
        </w:tc>
        <w:tc>
          <w:tcPr>
            <w:tcW w:w="234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20" w:type="dxa"/>
            <w:tcBorders/>
            <w:shd w:fill="auto" w:val="clear"/>
            <w:vAlign w:val="center"/>
          </w:tcPr>
          <w:p>
            <w:pPr>
              <w:pStyle w:val="TableContents"/>
              <w:spacing w:before="0" w:after="0"/>
              <w:ind w:left="0" w:right="0" w:firstLine="30"/>
              <w:rPr/>
            </w:pPr>
            <w:r>
              <w:rPr/>
              <w:t> </w:t>
            </w:r>
          </w:p>
        </w:tc>
        <w:tc>
          <w:tcPr>
            <w:tcW w:w="1475" w:type="dxa"/>
            <w:tcBorders/>
            <w:shd w:fill="auto" w:val="clear"/>
            <w:vAlign w:val="center"/>
          </w:tcPr>
          <w:p>
            <w:pPr>
              <w:pStyle w:val="TableContents"/>
              <w:spacing w:before="0" w:after="0"/>
              <w:ind w:left="0" w:right="0" w:firstLine="30"/>
              <w:rPr/>
            </w:pPr>
            <w:r>
              <w:rPr/>
              <w:t> </w:t>
            </w:r>
          </w:p>
        </w:tc>
        <w:tc>
          <w:tcPr>
            <w:tcW w:w="4340" w:type="dxa"/>
            <w:tcBorders/>
            <w:shd w:fill="auto" w:val="clear"/>
            <w:vAlign w:val="center"/>
          </w:tcPr>
          <w:p>
            <w:pPr>
              <w:pStyle w:val="TableContents"/>
              <w:spacing w:before="0" w:after="0"/>
              <w:ind w:left="0" w:right="0" w:firstLine="30"/>
              <w:rPr/>
            </w:pPr>
            <w:r>
              <w:rPr/>
              <w:t> </w:t>
            </w:r>
          </w:p>
        </w:tc>
        <w:tc>
          <w:tcPr>
            <w:tcW w:w="234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EZCORP, INC.</w:t>
            </w:r>
          </w:p>
        </w:tc>
      </w:tr>
      <w:tr>
        <w:trPr/>
        <w:tc>
          <w:tcPr>
            <w:tcW w:w="520" w:type="dxa"/>
            <w:tcBorders/>
            <w:shd w:fill="auto" w:val="clear"/>
            <w:vAlign w:val="center"/>
          </w:tcPr>
          <w:p>
            <w:pPr>
              <w:pStyle w:val="TableContents"/>
              <w:spacing w:before="0" w:after="0"/>
              <w:ind w:left="0" w:right="0" w:firstLine="30"/>
              <w:rPr/>
            </w:pPr>
            <w:r>
              <w:rPr/>
              <w:t> </w:t>
            </w:r>
          </w:p>
        </w:tc>
        <w:tc>
          <w:tcPr>
            <w:tcW w:w="1475" w:type="dxa"/>
            <w:tcBorders/>
            <w:shd w:fill="auto" w:val="clear"/>
            <w:vAlign w:val="center"/>
          </w:tcPr>
          <w:p>
            <w:pPr>
              <w:pStyle w:val="TableContents"/>
              <w:spacing w:before="0" w:after="0"/>
              <w:ind w:left="0" w:right="0" w:firstLine="30"/>
              <w:rPr/>
            </w:pPr>
            <w:r>
              <w:rPr/>
              <w:t> </w:t>
            </w:r>
          </w:p>
        </w:tc>
        <w:tc>
          <w:tcPr>
            <w:tcW w:w="4340" w:type="dxa"/>
            <w:tcBorders/>
            <w:shd w:fill="auto" w:val="clear"/>
            <w:vAlign w:val="center"/>
          </w:tcPr>
          <w:p>
            <w:pPr>
              <w:pStyle w:val="TableContents"/>
              <w:spacing w:before="0" w:after="0"/>
              <w:ind w:left="0" w:right="0" w:firstLine="30"/>
              <w:rPr/>
            </w:pPr>
            <w:r>
              <w:rPr/>
              <w:t> </w:t>
            </w:r>
          </w:p>
        </w:tc>
        <w:tc>
          <w:tcPr>
            <w:tcW w:w="2343" w:type="dxa"/>
            <w:tcBorders/>
            <w:shd w:fill="auto" w:val="clear"/>
            <w:vAlign w:val="center"/>
          </w:tcPr>
          <w:p>
            <w:pPr>
              <w:pStyle w:val="TableContents"/>
              <w:spacing w:before="0" w:after="0"/>
              <w:ind w:left="0" w:right="0" w:firstLine="30"/>
              <w:rPr/>
            </w:pPr>
            <w:r>
              <w:rPr/>
              <w:t> </w:t>
            </w:r>
          </w:p>
        </w:tc>
      </w:tr>
      <w:tr>
        <w:trPr/>
        <w:tc>
          <w:tcPr>
            <w:tcW w:w="52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1475"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2012</w:t>
            </w:r>
          </w:p>
        </w:tc>
        <w:tc>
          <w:tcPr>
            <w:tcW w:w="4340" w:type="dxa"/>
            <w:tcBorders/>
            <w:shd w:fill="auto" w:val="clear"/>
            <w:vAlign w:val="center"/>
          </w:tcPr>
          <w:p>
            <w:pPr>
              <w:pStyle w:val="TableContents"/>
              <w:spacing w:before="0" w:after="0"/>
              <w:ind w:left="0" w:right="0" w:firstLine="30"/>
              <w:rPr/>
            </w:pPr>
            <w:r>
              <w:rPr/>
              <w:t> </w:t>
            </w:r>
          </w:p>
        </w:tc>
        <w:tc>
          <w:tcPr>
            <w:tcW w:w="234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Stephen A. Stamp</w:t>
            </w:r>
          </w:p>
        </w:tc>
      </w:tr>
      <w:tr>
        <w:trPr/>
        <w:tc>
          <w:tcPr>
            <w:tcW w:w="520" w:type="dxa"/>
            <w:tcBorders/>
            <w:shd w:fill="auto" w:val="clear"/>
            <w:vAlign w:val="center"/>
          </w:tcPr>
          <w:p>
            <w:pPr>
              <w:pStyle w:val="TableContents"/>
              <w:spacing w:before="0" w:after="0"/>
              <w:ind w:left="0" w:right="0" w:firstLine="30"/>
              <w:rPr/>
            </w:pPr>
            <w:r>
              <w:rPr/>
              <w:t> </w:t>
            </w:r>
          </w:p>
        </w:tc>
        <w:tc>
          <w:tcPr>
            <w:tcW w:w="1475" w:type="dxa"/>
            <w:tcBorders/>
            <w:shd w:fill="auto" w:val="clear"/>
            <w:vAlign w:val="center"/>
          </w:tcPr>
          <w:p>
            <w:pPr>
              <w:pStyle w:val="TableContents"/>
              <w:spacing w:before="0" w:after="0"/>
              <w:ind w:left="0" w:right="0" w:firstLine="30"/>
              <w:rPr/>
            </w:pPr>
            <w:r>
              <w:rPr/>
              <w:t> </w:t>
            </w:r>
          </w:p>
        </w:tc>
        <w:tc>
          <w:tcPr>
            <w:tcW w:w="4340" w:type="dxa"/>
            <w:tcBorders/>
            <w:shd w:fill="auto" w:val="clear"/>
            <w:vAlign w:val="center"/>
          </w:tcPr>
          <w:p>
            <w:pPr>
              <w:pStyle w:val="TableContents"/>
              <w:spacing w:before="0" w:after="0"/>
              <w:ind w:left="0" w:right="0" w:firstLine="30"/>
              <w:rPr/>
            </w:pPr>
            <w:r>
              <w:rPr/>
              <w:t> </w:t>
            </w:r>
          </w:p>
        </w:tc>
        <w:tc>
          <w:tcPr>
            <w:tcW w:w="2343" w:type="dxa"/>
            <w:tcBorders/>
            <w:shd w:fill="auto" w:val="clear"/>
            <w:vAlign w:val="center"/>
          </w:tcPr>
          <w:p>
            <w:pPr>
              <w:pStyle w:val="TableContents"/>
              <w:spacing w:before="0" w:after="0"/>
              <w:rPr>
                <w:rFonts w:ascii="inherit" w:hAnsi="inherit"/>
                <w:sz w:val="17"/>
              </w:rPr>
            </w:pPr>
            <w:r>
              <w:rPr>
                <w:rFonts w:ascii="inherit" w:hAnsi="inherit"/>
                <w:sz w:val="17"/>
              </w:rPr>
              <w:t>Stephen A. Stamp</w:t>
            </w:r>
          </w:p>
          <w:p>
            <w:pPr>
              <w:pStyle w:val="TableContents"/>
              <w:spacing w:before="0" w:after="0"/>
              <w:rPr>
                <w:rFonts w:ascii="inherit" w:hAnsi="inherit"/>
                <w:sz w:val="17"/>
              </w:rPr>
            </w:pPr>
            <w:r>
              <w:rPr>
                <w:rFonts w:ascii="inherit" w:hAnsi="inherit"/>
                <w:sz w:val="17"/>
              </w:rPr>
              <w:t>Senior Vice President and</w:t>
            </w:r>
          </w:p>
          <w:p>
            <w:pPr>
              <w:pStyle w:val="TableContents"/>
              <w:spacing w:before="0" w:after="0"/>
              <w:rPr>
                <w:rFonts w:ascii="inherit" w:hAnsi="inherit"/>
                <w:sz w:val="17"/>
              </w:rPr>
            </w:pPr>
            <w:r>
              <w:rPr>
                <w:rFonts w:ascii="inherit" w:hAnsi="inherit"/>
                <w:sz w:val="17"/>
              </w:rPr>
              <w:t>Chief Financial Officer</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65</w:t>
      </w:r>
      <w:r>
        <w:br w:type="page"/>
      </w:r>
    </w:p>
    <w:p>
      <w:pPr>
        <w:pStyle w:val="TextBody"/>
        <w:spacing w:lineRule="auto" w:line="288" w:before="0" w:after="0"/>
        <w:rPr/>
      </w:pPr>
      <w:hyperlink w:anchor="s1D4031A326A2D05AEEF6A412554D06A6">
        <w:bookmarkStart w:id="55" w:name="sAD212409D159C7AC65A8A4125D707143"/>
        <w:bookmarkEnd w:id="55"/>
        <w:r>
          <w:rPr>
            <w:rStyle w:val="InternetLink"/>
            <w:rFonts w:ascii="inherit" w:hAnsi="inherit"/>
            <w:color w:val="0000FF"/>
            <w:sz w:val="13"/>
            <w:u w:val="single"/>
          </w:rPr>
          <w:t>Table of Contents</w:t>
        </w:r>
      </w:hyperlink>
    </w:p>
    <w:p>
      <w:pPr>
        <w:pStyle w:val="TextBody"/>
        <w:spacing w:before="0" w:after="0"/>
        <w:rPr/>
      </w:pPr>
      <w:r>
        <w:rPr/>
      </w:r>
    </w:p>
    <w:p>
      <w:pPr>
        <w:pStyle w:val="TextBody"/>
        <w:spacing w:lineRule="auto" w:line="288" w:before="0" w:after="0"/>
        <w:jc w:val="center"/>
        <w:rPr>
          <w:rFonts w:ascii="inherit" w:hAnsi="inherit"/>
          <w:b/>
          <w:sz w:val="17"/>
        </w:rPr>
      </w:pPr>
      <w:r>
        <w:rPr>
          <w:rFonts w:ascii="inherit" w:hAnsi="inherit"/>
          <w:b/>
          <w:sz w:val="17"/>
        </w:rPr>
        <w:t>EXHIBIT INDEX</w:t>
      </w:r>
    </w:p>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2286"/>
        <w:gridCol w:w="527"/>
        <w:gridCol w:w="7392"/>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2286"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739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2286" w:type="dxa"/>
            <w:tcBorders/>
            <w:shd w:fill="auto" w:val="clear"/>
            <w:vAlign w:val="center"/>
          </w:tcPr>
          <w:p>
            <w:pPr>
              <w:pStyle w:val="TableContents"/>
              <w:spacing w:before="0" w:after="0"/>
              <w:ind w:left="0" w:right="0" w:firstLine="30"/>
              <w:rPr/>
            </w:pPr>
            <w:r>
              <w:rPr/>
              <w:t> </w:t>
            </w:r>
          </w:p>
        </w:tc>
        <w:tc>
          <w:tcPr>
            <w:tcW w:w="527" w:type="dxa"/>
            <w:tcBorders/>
            <w:shd w:fill="auto" w:val="clear"/>
            <w:vAlign w:val="center"/>
          </w:tcPr>
          <w:p>
            <w:pPr>
              <w:pStyle w:val="TableContents"/>
              <w:spacing w:before="0" w:after="0"/>
              <w:ind w:left="0" w:right="0" w:firstLine="30"/>
              <w:rPr/>
            </w:pPr>
            <w:r>
              <w:rPr/>
              <w:t> </w:t>
            </w:r>
          </w:p>
        </w:tc>
        <w:tc>
          <w:tcPr>
            <w:tcW w:w="7392" w:type="dxa"/>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Exhibit No.</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b/>
                <w:sz w:val="13"/>
              </w:rPr>
            </w:pPr>
            <w:r>
              <w:rPr>
                <w:rFonts w:ascii="inherit" w:hAnsi="inherit"/>
                <w:b/>
                <w:sz w:val="13"/>
              </w:rPr>
              <w:t>Description of Exhibit</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31.1</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Paul E. Rothamel, Chief Executive Officer, pursuant to Rule 13a-14(a) under the Securities Exchange Act of 1934, as adopted pursuant to Section 302 of the Sarbanes-Oxley Act of 2002</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31.2</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 of Stephen A. Stamp, Chief Financial Officer, pursuant to Rule 13a-14(a) under the Securities Exchange Act of 1934, as adopted pursuant to Section 302 of the Sarbanes-Oxley Act of 2002</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32.1</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Certifications of Paul E. Rothamel, Chief Executive Officer, and Stephen A. Stamp, Chief Financial Officer , pursuant to 18 U.S.C. Section 1350, as adopted pursuant to Section 906 of the Sarbanes-Oxley Act of 2002</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101.INS*</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Instance Document</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101.SCH*</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Schema Document</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101.CAL*</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Calculation Linkbase Document</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101.LAB*</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Label Linkbase Document</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101.DEF*</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XBRL Taxonomy Extension Definition Linkbase Document</w:t>
            </w:r>
          </w:p>
        </w:tc>
      </w:tr>
      <w:tr>
        <w:trPr/>
        <w:tc>
          <w:tcPr>
            <w:tcW w:w="2286" w:type="dxa"/>
            <w:tcBorders/>
            <w:shd w:fill="auto" w:val="clear"/>
            <w:vAlign w:val="center"/>
          </w:tcPr>
          <w:p>
            <w:pPr>
              <w:pStyle w:val="TableContents"/>
              <w:spacing w:before="0" w:after="0"/>
              <w:ind w:left="0" w:right="0" w:firstLine="30"/>
              <w:rPr/>
            </w:pPr>
            <w:r>
              <w:rPr/>
              <w:t> </w:t>
            </w:r>
          </w:p>
        </w:tc>
        <w:tc>
          <w:tcPr>
            <w:tcW w:w="7919" w:type="dxa"/>
            <w:gridSpan w:val="2"/>
            <w:tcBorders/>
            <w:shd w:fill="auto" w:val="clear"/>
            <w:vAlign w:val="center"/>
          </w:tcPr>
          <w:p>
            <w:pPr>
              <w:pStyle w:val="TableContents"/>
              <w:spacing w:before="0" w:after="0"/>
              <w:ind w:left="0" w:right="0" w:firstLine="30"/>
              <w:rPr/>
            </w:pPr>
            <w:r>
              <w:rPr/>
              <w:t> </w:t>
            </w:r>
          </w:p>
        </w:tc>
      </w:tr>
      <w:tr>
        <w:trPr/>
        <w:tc>
          <w:tcPr>
            <w:tcW w:w="2286" w:type="dxa"/>
            <w:tcBorders/>
            <w:shd w:fill="auto" w:val="clear"/>
            <w:vAlign w:val="center"/>
          </w:tcPr>
          <w:p>
            <w:pPr>
              <w:pStyle w:val="TableContents"/>
              <w:spacing w:before="0" w:after="0"/>
              <w:ind w:left="0" w:right="0" w:firstLine="30"/>
              <w:jc w:val="center"/>
              <w:rPr>
                <w:rFonts w:ascii="inherit" w:hAnsi="inherit"/>
                <w:sz w:val="17"/>
              </w:rPr>
            </w:pPr>
            <w:r>
              <w:rPr>
                <w:rFonts w:ascii="inherit" w:hAnsi="inherit"/>
                <w:sz w:val="17"/>
              </w:rPr>
              <w:t>101.PRE*</w:t>
            </w:r>
          </w:p>
        </w:tc>
        <w:tc>
          <w:tcPr>
            <w:tcW w:w="527" w:type="dxa"/>
            <w:tcBorders/>
            <w:shd w:fill="auto" w:val="clear"/>
            <w:vAlign w:val="center"/>
          </w:tcPr>
          <w:p>
            <w:pPr>
              <w:pStyle w:val="TableContents"/>
              <w:spacing w:before="0" w:after="0"/>
              <w:ind w:left="0" w:right="0" w:firstLine="30"/>
              <w:jc w:val="left"/>
              <w:rPr/>
            </w:pPr>
            <w:r>
              <w:rPr/>
              <w:t>  </w:t>
            </w:r>
          </w:p>
        </w:tc>
        <w:tc>
          <w:tcPr>
            <w:tcW w:w="7392" w:type="dxa"/>
            <w:tcBorders/>
            <w:shd w:fill="auto" w:val="clear"/>
            <w:vAlign w:val="center"/>
          </w:tcPr>
          <w:p>
            <w:pPr>
              <w:pStyle w:val="TableContents"/>
              <w:spacing w:before="0" w:after="0"/>
              <w:jc w:val="left"/>
              <w:rPr>
                <w:rFonts w:ascii="inherit" w:hAnsi="inherit"/>
                <w:sz w:val="17"/>
              </w:rPr>
            </w:pPr>
            <w:r>
              <w:rPr>
                <w:rFonts w:ascii="inherit" w:hAnsi="inherit"/>
                <w:sz w:val="17"/>
              </w:rPr>
              <w:t>XBRL Taxonomy Extension Presentation Linkbase Document</w:t>
            </w:r>
          </w:p>
        </w:tc>
      </w:tr>
    </w:tbl>
    <w:p>
      <w:pPr>
        <w:pStyle w:val="TextBody"/>
        <w:spacing w:lineRule="auto" w:line="288" w:before="0" w:after="0"/>
        <w:rPr/>
      </w:pPr>
      <w:r>
        <w:rPr/>
        <w:t> </w:t>
      </w:r>
    </w:p>
    <w:tbl>
      <w:tblPr>
        <w:tblW w:w="10205" w:type="dxa"/>
        <w:jc w:val="left"/>
        <w:tblInd w:w="0" w:type="dxa"/>
        <w:tblCellMar>
          <w:top w:w="0" w:type="dxa"/>
          <w:left w:w="0" w:type="dxa"/>
          <w:bottom w:w="0" w:type="dxa"/>
          <w:right w:w="0" w:type="dxa"/>
        </w:tblCellMar>
      </w:tblPr>
      <w:tblGrid>
        <w:gridCol w:w="483"/>
        <w:gridCol w:w="9722"/>
      </w:tblGrid>
      <w:tr>
        <w:trPr/>
        <w:tc>
          <w:tcPr>
            <w:tcW w:w="10205" w:type="dxa"/>
            <w:gridSpan w:val="2"/>
            <w:tcBorders/>
            <w:shd w:fill="auto" w:val="clear"/>
            <w:vAlign w:val="center"/>
          </w:tcPr>
          <w:p>
            <w:pPr>
              <w:pStyle w:val="TableContents"/>
              <w:spacing w:before="0" w:after="283"/>
              <w:rPr>
                <w:sz w:val="4"/>
                <w:szCs w:val="4"/>
              </w:rPr>
            </w:pPr>
            <w:r>
              <w:rPr>
                <w:sz w:val="4"/>
                <w:szCs w:val="4"/>
              </w:rPr>
            </w:r>
          </w:p>
        </w:tc>
      </w:tr>
      <w:tr>
        <w:trPr/>
        <w:tc>
          <w:tcPr>
            <w:tcW w:w="483" w:type="dxa"/>
            <w:tcBorders/>
            <w:shd w:fill="auto" w:val="clear"/>
            <w:vAlign w:val="center"/>
          </w:tcPr>
          <w:p>
            <w:pPr>
              <w:pStyle w:val="TableContents"/>
              <w:spacing w:before="0" w:after="283"/>
              <w:rPr>
                <w:sz w:val="4"/>
                <w:szCs w:val="4"/>
              </w:rPr>
            </w:pPr>
            <w:r>
              <w:rPr>
                <w:sz w:val="4"/>
                <w:szCs w:val="4"/>
              </w:rPr>
            </w:r>
          </w:p>
        </w:tc>
        <w:tc>
          <w:tcPr>
            <w:tcW w:w="9722" w:type="dxa"/>
            <w:tcBorders/>
            <w:shd w:fill="auto" w:val="clear"/>
            <w:vAlign w:val="center"/>
          </w:tcPr>
          <w:p>
            <w:pPr>
              <w:pStyle w:val="TableContents"/>
              <w:spacing w:before="0" w:after="283"/>
              <w:ind w:left="0" w:right="0" w:firstLine="30"/>
              <w:rPr>
                <w:sz w:val="4"/>
                <w:szCs w:val="4"/>
              </w:rPr>
            </w:pPr>
            <w:r>
              <w:rPr>
                <w:sz w:val="4"/>
                <w:szCs w:val="4"/>
              </w:rPr>
            </w:r>
          </w:p>
        </w:tc>
      </w:tr>
      <w:tr>
        <w:trPr/>
        <w:tc>
          <w:tcPr>
            <w:tcW w:w="48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w:t>
            </w:r>
          </w:p>
        </w:tc>
        <w:tc>
          <w:tcPr>
            <w:tcW w:w="9722" w:type="dxa"/>
            <w:tcBorders/>
            <w:shd w:fill="auto" w:val="clear"/>
            <w:vAlign w:val="center"/>
          </w:tcPr>
          <w:p>
            <w:pPr>
              <w:pStyle w:val="TableContents"/>
              <w:spacing w:before="0" w:after="0"/>
              <w:jc w:val="left"/>
              <w:rPr>
                <w:rFonts w:ascii="inherit" w:hAnsi="inherit"/>
                <w:sz w:val="17"/>
              </w:rPr>
            </w:pPr>
            <w:r>
              <w:rPr>
                <w:rFonts w:ascii="inherit" w:hAnsi="inherit"/>
                <w:sz w:val="17"/>
              </w:rPr>
              <w:t>Attached as Exhibit 101 to this report are the following formatted in XBRL (Extensible Business Reporting Language): (i) Consolidated Balance Sheets at June 30, 2012, June 30, 2011 and September 30, 2011; (ii) Consolidated Statements of Income for the three and nine months ended June 30, 2012 and June 30, 2011; (iii) Consolidated Statements of Comprehensive Income for the three and nine months ended June 30, 2012 and June 30, 2011 (iv) Consolidated Statements of Cash Flows for the nine months ended June 30, 2012 and June 30, 2011; and (v) Notes to Consolidated Financial Statements.</w:t>
            </w:r>
          </w:p>
        </w:tc>
      </w:tr>
    </w:tbl>
    <w:p>
      <w:pPr>
        <w:pStyle w:val="TextBody"/>
        <w:spacing w:before="0" w:after="0"/>
        <w:rPr/>
      </w:pPr>
      <w:r>
        <w:rPr/>
      </w:r>
    </w:p>
    <w:p>
      <w:pPr>
        <w:pStyle w:val="TextBody"/>
        <w:spacing w:lineRule="auto" w:line="288"/>
        <w:jc w:val="center"/>
        <w:rPr>
          <w:rFonts w:ascii="inherit" w:hAnsi="inherit"/>
          <w:sz w:val="17"/>
        </w:rPr>
      </w:pPr>
      <w:r>
        <w:rPr>
          <w:rFonts w:ascii="inherit" w:hAnsi="inherit"/>
          <w:sz w:val="17"/>
        </w:rPr>
        <w:t>66</w:t>
      </w:r>
      <w:r>
        <w:br w:type="page"/>
      </w:r>
    </w:p>
    <w:p>
      <w:pPr>
        <w:pStyle w:val="TextBody"/>
        <w:spacing w:lineRule="auto" w:line="288" w:before="0" w:after="0"/>
        <w:jc w:val="right"/>
        <w:rPr>
          <w:rFonts w:ascii="inherit" w:hAnsi="inherit"/>
          <w:b/>
          <w:sz w:val="17"/>
        </w:rPr>
      </w:pPr>
      <w:bookmarkStart w:id="56" w:name="s80DFA690E7F4F4ECCE3FA4124B68C0F1"/>
      <w:bookmarkStart w:id="57" w:name="ezpw-ex311_6302012xq3.htm"/>
      <w:bookmarkStart w:id="58" w:name="ksezpwex311_6302012xq3"/>
      <w:bookmarkEnd w:id="56"/>
      <w:bookmarkEnd w:id="57"/>
      <w:bookmarkEnd w:id="58"/>
      <w:r>
        <w:rPr>
          <w:rFonts w:ascii="inherit" w:hAnsi="inherit"/>
          <w:b/>
          <w:sz w:val="17"/>
        </w:rPr>
        <w:t xml:space="preserve">Exhibit 31.1 </w:t>
      </w:r>
    </w:p>
    <w:p>
      <w:pPr>
        <w:pStyle w:val="TextBody"/>
        <w:spacing w:lineRule="auto" w:line="288" w:before="0" w:after="0"/>
        <w:jc w:val="center"/>
        <w:rPr>
          <w:rFonts w:ascii="inherit" w:hAnsi="inherit"/>
          <w:b/>
          <w:sz w:val="17"/>
        </w:rPr>
      </w:pPr>
      <w:r>
        <w:rPr>
          <w:rFonts w:ascii="inherit" w:hAnsi="inherit"/>
          <w:b/>
          <w:sz w:val="17"/>
        </w:rPr>
        <w:t xml:space="preserve">Certification of Paul E. Rothamel, Chief Executive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w:t>
      </w:r>
    </w:p>
    <w:p>
      <w:pPr>
        <w:pStyle w:val="TextBody"/>
        <w:spacing w:lineRule="auto" w:line="288" w:before="0" w:after="0"/>
        <w:jc w:val="center"/>
        <w:rPr>
          <w:rFonts w:ascii="inherit" w:hAnsi="inherit"/>
          <w:b/>
          <w:sz w:val="17"/>
        </w:rPr>
      </w:pPr>
      <w:r>
        <w:rPr>
          <w:rFonts w:ascii="inherit" w:hAnsi="inherit"/>
          <w:b/>
          <w:sz w:val="17"/>
        </w:rPr>
        <w:t xml:space="preserve">as adopted pursuant to Section 302 of the Sarbanes-Oxley Act of 2002 </w:t>
      </w:r>
    </w:p>
    <w:p>
      <w:pPr>
        <w:pStyle w:val="TextBody"/>
        <w:spacing w:lineRule="auto" w:line="288" w:before="0" w:after="0"/>
        <w:jc w:val="left"/>
        <w:rPr>
          <w:rFonts w:ascii="inherit" w:hAnsi="inherit"/>
          <w:sz w:val="17"/>
        </w:rPr>
      </w:pPr>
      <w:r>
        <w:rPr>
          <w:rFonts w:ascii="inherit" w:hAnsi="inherit"/>
          <w:sz w:val="17"/>
        </w:rPr>
        <w:t xml:space="preserve">I, Paul E. Rothamel, certify that: </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pPr>
      <w:r>
        <w:rPr/>
        <w:t> </w:t>
      </w:r>
    </w:p>
    <w:tbl>
      <w:tblPr>
        <w:tblW w:w="10205" w:type="dxa"/>
        <w:jc w:val="center"/>
        <w:tblInd w:w="0" w:type="dxa"/>
        <w:tblCellMar>
          <w:top w:w="0" w:type="dxa"/>
          <w:left w:w="0" w:type="dxa"/>
          <w:bottom w:w="0" w:type="dxa"/>
          <w:right w:w="0" w:type="dxa"/>
        </w:tblCellMar>
      </w:tblPr>
      <w:tblGrid>
        <w:gridCol w:w="515"/>
        <w:gridCol w:w="6420"/>
        <w:gridCol w:w="3270"/>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15" w:type="dxa"/>
            <w:tcBorders/>
            <w:shd w:fill="auto" w:val="clear"/>
            <w:vAlign w:val="center"/>
          </w:tcPr>
          <w:p>
            <w:pPr>
              <w:pStyle w:val="TableContents"/>
              <w:spacing w:before="0" w:after="283"/>
              <w:rPr>
                <w:sz w:val="4"/>
                <w:szCs w:val="4"/>
              </w:rPr>
            </w:pPr>
            <w:r>
              <w:rPr>
                <w:sz w:val="4"/>
                <w:szCs w:val="4"/>
              </w:rPr>
            </w:r>
          </w:p>
        </w:tc>
        <w:tc>
          <w:tcPr>
            <w:tcW w:w="6420" w:type="dxa"/>
            <w:tcBorders/>
            <w:shd w:fill="auto" w:val="clear"/>
            <w:vAlign w:val="center"/>
          </w:tcPr>
          <w:p>
            <w:pPr>
              <w:pStyle w:val="TableContents"/>
              <w:spacing w:before="0" w:after="283"/>
              <w:rPr>
                <w:sz w:val="4"/>
                <w:szCs w:val="4"/>
              </w:rPr>
            </w:pPr>
            <w:r>
              <w:rPr>
                <w:sz w:val="4"/>
                <w:szCs w:val="4"/>
              </w:rPr>
            </w:r>
          </w:p>
        </w:tc>
        <w:tc>
          <w:tcPr>
            <w:tcW w:w="3270"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15"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42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2012</w:t>
            </w:r>
          </w:p>
        </w:tc>
        <w:tc>
          <w:tcPr>
            <w:tcW w:w="3270" w:type="dxa"/>
            <w:tcBorders>
              <w:bottom w:val="single" w:sz="2" w:space="0" w:color="000000"/>
            </w:tcBorders>
            <w:shd w:fill="auto" w:val="clear"/>
            <w:tcMar>
              <w:bottom w:w="30" w:type="dxa"/>
            </w:tcMar>
            <w:vAlign w:val="center"/>
          </w:tcPr>
          <w:p>
            <w:pPr>
              <w:pStyle w:val="TableContents"/>
              <w:spacing w:before="0" w:after="0"/>
              <w:ind w:left="0" w:right="0" w:firstLine="30"/>
              <w:rPr>
                <w:rFonts w:ascii="inherit" w:hAnsi="inherit"/>
                <w:sz w:val="17"/>
              </w:rPr>
            </w:pPr>
            <w:r>
              <w:rPr>
                <w:rFonts w:ascii="inherit" w:hAnsi="inherit"/>
                <w:sz w:val="17"/>
              </w:rPr>
              <w:t>/s/ Paul E. Rothamel</w:t>
            </w:r>
          </w:p>
        </w:tc>
      </w:tr>
      <w:tr>
        <w:trPr/>
        <w:tc>
          <w:tcPr>
            <w:tcW w:w="515" w:type="dxa"/>
            <w:tcBorders/>
            <w:shd w:fill="auto" w:val="clear"/>
            <w:vAlign w:val="center"/>
          </w:tcPr>
          <w:p>
            <w:pPr>
              <w:pStyle w:val="TableContents"/>
              <w:spacing w:before="0" w:after="0"/>
              <w:ind w:left="0" w:right="0" w:firstLine="30"/>
              <w:rPr/>
            </w:pPr>
            <w:r>
              <w:rPr/>
              <w:t> </w:t>
            </w:r>
          </w:p>
        </w:tc>
        <w:tc>
          <w:tcPr>
            <w:tcW w:w="6420" w:type="dxa"/>
            <w:tcBorders/>
            <w:shd w:fill="auto" w:val="clear"/>
            <w:vAlign w:val="center"/>
          </w:tcPr>
          <w:p>
            <w:pPr>
              <w:pStyle w:val="TableContents"/>
              <w:spacing w:before="0" w:after="0"/>
              <w:ind w:left="0" w:right="0" w:firstLine="30"/>
              <w:rPr/>
            </w:pPr>
            <w:r>
              <w:rPr/>
              <w:t> </w:t>
            </w:r>
          </w:p>
        </w:tc>
        <w:tc>
          <w:tcPr>
            <w:tcW w:w="3270"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r>
      <w:tr>
        <w:trPr/>
        <w:tc>
          <w:tcPr>
            <w:tcW w:w="515" w:type="dxa"/>
            <w:tcBorders/>
            <w:shd w:fill="auto" w:val="clear"/>
            <w:vAlign w:val="center"/>
          </w:tcPr>
          <w:p>
            <w:pPr>
              <w:pStyle w:val="TableContents"/>
              <w:spacing w:before="0" w:after="0"/>
              <w:ind w:left="0" w:right="0" w:firstLine="30"/>
              <w:rPr/>
            </w:pPr>
            <w:r>
              <w:rPr/>
              <w:t> </w:t>
            </w:r>
          </w:p>
        </w:tc>
        <w:tc>
          <w:tcPr>
            <w:tcW w:w="6420" w:type="dxa"/>
            <w:tcBorders/>
            <w:shd w:fill="auto" w:val="clear"/>
            <w:vAlign w:val="center"/>
          </w:tcPr>
          <w:p>
            <w:pPr>
              <w:pStyle w:val="TableContents"/>
              <w:spacing w:before="0" w:after="0"/>
              <w:ind w:left="0" w:right="0" w:firstLine="30"/>
              <w:rPr/>
            </w:pPr>
            <w:r>
              <w:rPr/>
              <w:t> </w:t>
            </w:r>
          </w:p>
        </w:tc>
        <w:tc>
          <w:tcPr>
            <w:tcW w:w="3270" w:type="dxa"/>
            <w:tcBorders/>
            <w:shd w:fill="auto" w:val="clear"/>
            <w:vAlign w:val="center"/>
          </w:tcPr>
          <w:p>
            <w:pPr>
              <w:pStyle w:val="TableContents"/>
              <w:spacing w:before="0" w:after="0"/>
              <w:jc w:val="left"/>
              <w:rPr>
                <w:rFonts w:ascii="inherit" w:hAnsi="inherit"/>
                <w:sz w:val="17"/>
              </w:rPr>
            </w:pPr>
            <w:r>
              <w:rPr>
                <w:rFonts w:ascii="inherit" w:hAnsi="inherit"/>
                <w:sz w:val="17"/>
              </w:rPr>
              <w:t>President and Chief Executive Officer</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b/>
          <w:sz w:val="17"/>
        </w:rPr>
      </w:pPr>
      <w:bookmarkStart w:id="59" w:name="s7134BFB5B6A1052D73E3A41253AC0E25"/>
      <w:bookmarkStart w:id="60" w:name="ezpw-ex312_6302012xq3.htm"/>
      <w:bookmarkStart w:id="61" w:name="ksezpwex312_6302012xq3"/>
      <w:bookmarkEnd w:id="59"/>
      <w:bookmarkEnd w:id="60"/>
      <w:bookmarkEnd w:id="61"/>
      <w:r>
        <w:rPr>
          <w:rFonts w:ascii="inherit" w:hAnsi="inherit"/>
          <w:b/>
          <w:sz w:val="17"/>
        </w:rPr>
        <w:t xml:space="preserve">Exhibit 31.2 </w:t>
      </w:r>
    </w:p>
    <w:p>
      <w:pPr>
        <w:pStyle w:val="TextBody"/>
        <w:spacing w:lineRule="auto" w:line="288" w:before="0" w:after="0"/>
        <w:jc w:val="center"/>
        <w:rPr>
          <w:rFonts w:ascii="inherit" w:hAnsi="inherit"/>
          <w:b/>
          <w:sz w:val="17"/>
        </w:rPr>
      </w:pPr>
      <w:r>
        <w:rPr>
          <w:rFonts w:ascii="inherit" w:hAnsi="inherit"/>
          <w:b/>
          <w:sz w:val="17"/>
        </w:rPr>
        <w:t xml:space="preserve">Certification of Stephen A. Stamp,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Rule 13a-14(a) under the Securities Exchange Act of 1934, </w:t>
      </w:r>
    </w:p>
    <w:p>
      <w:pPr>
        <w:pStyle w:val="TextBody"/>
        <w:spacing w:lineRule="auto" w:line="288" w:before="0" w:after="0"/>
        <w:jc w:val="center"/>
        <w:rPr>
          <w:rFonts w:ascii="inherit" w:hAnsi="inherit"/>
          <w:b/>
          <w:sz w:val="17"/>
        </w:rPr>
      </w:pPr>
      <w:r>
        <w:rPr>
          <w:rFonts w:ascii="inherit" w:hAnsi="inherit"/>
          <w:b/>
          <w:sz w:val="17"/>
        </w:rPr>
        <w:t xml:space="preserve">as adopted pursuant to Section 302 of the Sarbanes-Oxley Act of 2002 </w:t>
      </w:r>
    </w:p>
    <w:p>
      <w:pPr>
        <w:pStyle w:val="TextBody"/>
        <w:spacing w:lineRule="auto" w:line="288" w:before="0" w:after="0"/>
        <w:jc w:val="left"/>
        <w:rPr>
          <w:rFonts w:ascii="inherit" w:hAnsi="inherit"/>
          <w:sz w:val="17"/>
        </w:rPr>
      </w:pPr>
      <w:r>
        <w:rPr>
          <w:rFonts w:ascii="inherit" w:hAnsi="inherit"/>
          <w:sz w:val="17"/>
        </w:rPr>
        <w:t xml:space="preserve">I, Stephen A. Stamp, certify that: </w:t>
      </w:r>
    </w:p>
    <w:tbl>
      <w:tblPr>
        <w:tblW w:w="6670" w:type="dxa"/>
        <w:jc w:val="left"/>
        <w:tblInd w:w="0" w:type="dxa"/>
        <w:tblCellMar>
          <w:top w:w="0" w:type="dxa"/>
          <w:left w:w="0" w:type="dxa"/>
          <w:bottom w:w="0" w:type="dxa"/>
          <w:right w:w="0" w:type="dxa"/>
        </w:tblCellMar>
      </w:tblPr>
      <w:tblGrid>
        <w:gridCol w:w="905"/>
        <w:gridCol w:w="5765"/>
      </w:tblGrid>
      <w:tr>
        <w:trPr/>
        <w:tc>
          <w:tcPr>
            <w:tcW w:w="905" w:type="dxa"/>
            <w:tcBorders/>
            <w:shd w:fill="auto" w:val="clear"/>
            <w:vAlign w:val="center"/>
          </w:tcPr>
          <w:p>
            <w:pPr>
              <w:pStyle w:val="TableContents"/>
              <w:spacing w:before="0" w:after="283"/>
              <w:rPr>
                <w:sz w:val="4"/>
                <w:szCs w:val="4"/>
              </w:rPr>
            </w:pPr>
            <w:r>
              <w:rPr>
                <w:sz w:val="4"/>
                <w:szCs w:val="4"/>
              </w:rPr>
            </w:r>
          </w:p>
        </w:tc>
        <w:tc>
          <w:tcPr>
            <w:tcW w:w="5765" w:type="dxa"/>
            <w:tcBorders/>
            <w:shd w:fill="auto" w:val="clear"/>
            <w:vAlign w:val="center"/>
          </w:tcPr>
          <w:p>
            <w:pPr>
              <w:pStyle w:val="TableContents"/>
              <w:spacing w:before="0" w:after="283"/>
              <w:rPr>
                <w:sz w:val="4"/>
                <w:szCs w:val="4"/>
              </w:rPr>
            </w:pPr>
            <w:r>
              <w:rPr>
                <w:sz w:val="4"/>
                <w:szCs w:val="4"/>
              </w:rPr>
            </w:r>
          </w:p>
        </w:tc>
      </w:tr>
      <w:tr>
        <w:trPr/>
        <w:tc>
          <w:tcPr>
            <w:tcW w:w="90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1.</w:t>
            </w:r>
          </w:p>
        </w:tc>
        <w:tc>
          <w:tcPr>
            <w:tcW w:w="5765"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I have reviewed this Quarterly Report on Form 10-Q of EZCORP, Inc.;</w:t>
            </w:r>
          </w:p>
        </w:tc>
      </w:tr>
    </w:tbl>
    <w:tbl>
      <w:tblPr>
        <w:tblW w:w="10205" w:type="dxa"/>
        <w:jc w:val="left"/>
        <w:tblInd w:w="0" w:type="dxa"/>
        <w:tblCellMar>
          <w:top w:w="0" w:type="dxa"/>
          <w:left w:w="0" w:type="dxa"/>
          <w:bottom w:w="0" w:type="dxa"/>
          <w:right w:w="0" w:type="dxa"/>
        </w:tblCellMar>
      </w:tblPr>
      <w:tblGrid>
        <w:gridCol w:w="875"/>
        <w:gridCol w:w="9330"/>
      </w:tblGrid>
      <w:tr>
        <w:trPr/>
        <w:tc>
          <w:tcPr>
            <w:tcW w:w="875" w:type="dxa"/>
            <w:tcBorders/>
            <w:shd w:fill="auto" w:val="clear"/>
            <w:vAlign w:val="center"/>
          </w:tcPr>
          <w:p>
            <w:pPr>
              <w:pStyle w:val="TableContents"/>
              <w:spacing w:before="0" w:after="283"/>
              <w:rPr>
                <w:sz w:val="4"/>
                <w:szCs w:val="4"/>
              </w:rPr>
            </w:pPr>
            <w:r>
              <w:rPr>
                <w:sz w:val="4"/>
                <w:szCs w:val="4"/>
              </w:rPr>
            </w:r>
          </w:p>
        </w:tc>
        <w:tc>
          <w:tcPr>
            <w:tcW w:w="9330" w:type="dxa"/>
            <w:tcBorders/>
            <w:shd w:fill="auto" w:val="clear"/>
            <w:vAlign w:val="center"/>
          </w:tcPr>
          <w:p>
            <w:pPr>
              <w:pStyle w:val="TableContents"/>
              <w:spacing w:before="0" w:after="283"/>
              <w:rPr>
                <w:sz w:val="4"/>
                <w:szCs w:val="4"/>
              </w:rPr>
            </w:pPr>
            <w:r>
              <w:rPr>
                <w:sz w:val="4"/>
                <w:szCs w:val="4"/>
              </w:rPr>
            </w:r>
          </w:p>
        </w:tc>
      </w:tr>
      <w:tr>
        <w:trPr/>
        <w:tc>
          <w:tcPr>
            <w:tcW w:w="875"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2.</w:t>
            </w:r>
          </w:p>
        </w:tc>
        <w:tc>
          <w:tcPr>
            <w:tcW w:w="933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tbl>
      <w:tblPr>
        <w:tblW w:w="10205" w:type="dxa"/>
        <w:jc w:val="left"/>
        <w:tblInd w:w="0" w:type="dxa"/>
        <w:tblCellMar>
          <w:top w:w="0" w:type="dxa"/>
          <w:left w:w="0" w:type="dxa"/>
          <w:bottom w:w="0" w:type="dxa"/>
          <w:right w:w="0" w:type="dxa"/>
        </w:tblCellMar>
      </w:tblPr>
      <w:tblGrid>
        <w:gridCol w:w="877"/>
        <w:gridCol w:w="9328"/>
      </w:tblGrid>
      <w:tr>
        <w:trPr/>
        <w:tc>
          <w:tcPr>
            <w:tcW w:w="877" w:type="dxa"/>
            <w:tcBorders/>
            <w:shd w:fill="auto" w:val="clear"/>
            <w:vAlign w:val="center"/>
          </w:tcPr>
          <w:p>
            <w:pPr>
              <w:pStyle w:val="TableContents"/>
              <w:spacing w:before="0" w:after="283"/>
              <w:rPr>
                <w:sz w:val="4"/>
                <w:szCs w:val="4"/>
              </w:rPr>
            </w:pPr>
            <w:r>
              <w:rPr>
                <w:sz w:val="4"/>
                <w:szCs w:val="4"/>
              </w:rPr>
            </w:r>
          </w:p>
        </w:tc>
        <w:tc>
          <w:tcPr>
            <w:tcW w:w="9328" w:type="dxa"/>
            <w:tcBorders/>
            <w:shd w:fill="auto" w:val="clear"/>
            <w:vAlign w:val="center"/>
          </w:tcPr>
          <w:p>
            <w:pPr>
              <w:pStyle w:val="TableContents"/>
              <w:spacing w:before="0" w:after="283"/>
              <w:rPr>
                <w:sz w:val="4"/>
                <w:szCs w:val="4"/>
              </w:rPr>
            </w:pPr>
            <w:r>
              <w:rPr>
                <w:sz w:val="4"/>
                <w:szCs w:val="4"/>
              </w:rPr>
            </w:r>
          </w:p>
        </w:tc>
      </w:tr>
      <w:tr>
        <w:trPr/>
        <w:tc>
          <w:tcPr>
            <w:tcW w:w="877"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3.</w:t>
            </w:r>
          </w:p>
        </w:tc>
        <w:tc>
          <w:tcPr>
            <w:tcW w:w="9328"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tbl>
      <w:tblPr>
        <w:tblW w:w="10205" w:type="dxa"/>
        <w:jc w:val="left"/>
        <w:tblInd w:w="0" w:type="dxa"/>
        <w:tblCellMar>
          <w:top w:w="0" w:type="dxa"/>
          <w:left w:w="0" w:type="dxa"/>
          <w:bottom w:w="0" w:type="dxa"/>
          <w:right w:w="0" w:type="dxa"/>
        </w:tblCellMar>
      </w:tblPr>
      <w:tblGrid>
        <w:gridCol w:w="874"/>
        <w:gridCol w:w="9331"/>
      </w:tblGrid>
      <w:tr>
        <w:trPr/>
        <w:tc>
          <w:tcPr>
            <w:tcW w:w="874" w:type="dxa"/>
            <w:tcBorders/>
            <w:shd w:fill="auto" w:val="clear"/>
            <w:vAlign w:val="center"/>
          </w:tcPr>
          <w:p>
            <w:pPr>
              <w:pStyle w:val="TableContents"/>
              <w:spacing w:before="0" w:after="283"/>
              <w:rPr>
                <w:sz w:val="4"/>
                <w:szCs w:val="4"/>
              </w:rPr>
            </w:pPr>
            <w:r>
              <w:rPr>
                <w:sz w:val="4"/>
                <w:szCs w:val="4"/>
              </w:rPr>
            </w:r>
          </w:p>
        </w:tc>
        <w:tc>
          <w:tcPr>
            <w:tcW w:w="9331" w:type="dxa"/>
            <w:tcBorders/>
            <w:shd w:fill="auto" w:val="clear"/>
            <w:vAlign w:val="center"/>
          </w:tcPr>
          <w:p>
            <w:pPr>
              <w:pStyle w:val="TableContents"/>
              <w:spacing w:before="0" w:after="283"/>
              <w:rPr>
                <w:sz w:val="4"/>
                <w:szCs w:val="4"/>
              </w:rPr>
            </w:pPr>
            <w:r>
              <w:rPr>
                <w:sz w:val="4"/>
                <w:szCs w:val="4"/>
              </w:rPr>
            </w:r>
          </w:p>
        </w:tc>
      </w:tr>
      <w:tr>
        <w:trPr/>
        <w:tc>
          <w:tcPr>
            <w:tcW w:w="874"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4.</w:t>
            </w:r>
          </w:p>
        </w:tc>
        <w:tc>
          <w:tcPr>
            <w:tcW w:w="93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tbl>
      <w:tblPr>
        <w:tblW w:w="10205" w:type="dxa"/>
        <w:jc w:val="left"/>
        <w:tblInd w:w="0" w:type="dxa"/>
        <w:tblCellMar>
          <w:top w:w="0" w:type="dxa"/>
          <w:left w:w="0" w:type="dxa"/>
          <w:bottom w:w="0" w:type="dxa"/>
          <w:right w:w="0" w:type="dxa"/>
        </w:tblCellMar>
      </w:tblPr>
      <w:tblGrid>
        <w:gridCol w:w="1645"/>
        <w:gridCol w:w="8560"/>
      </w:tblGrid>
      <w:tr>
        <w:trPr/>
        <w:tc>
          <w:tcPr>
            <w:tcW w:w="1645" w:type="dxa"/>
            <w:tcBorders/>
            <w:shd w:fill="auto" w:val="clear"/>
            <w:vAlign w:val="center"/>
          </w:tcPr>
          <w:p>
            <w:pPr>
              <w:pStyle w:val="TableContents"/>
              <w:spacing w:before="0" w:after="283"/>
              <w:rPr>
                <w:sz w:val="4"/>
                <w:szCs w:val="4"/>
              </w:rPr>
            </w:pPr>
            <w:r>
              <w:rPr>
                <w:sz w:val="4"/>
                <w:szCs w:val="4"/>
              </w:rPr>
            </w:r>
          </w:p>
        </w:tc>
        <w:tc>
          <w:tcPr>
            <w:tcW w:w="8560" w:type="dxa"/>
            <w:tcBorders/>
            <w:shd w:fill="auto" w:val="clear"/>
            <w:vAlign w:val="center"/>
          </w:tcPr>
          <w:p>
            <w:pPr>
              <w:pStyle w:val="TableContents"/>
              <w:spacing w:before="0" w:after="283"/>
              <w:rPr>
                <w:sz w:val="4"/>
                <w:szCs w:val="4"/>
              </w:rPr>
            </w:pPr>
            <w:r>
              <w:rPr>
                <w:sz w:val="4"/>
                <w:szCs w:val="4"/>
              </w:rPr>
            </w:r>
          </w:p>
        </w:tc>
      </w:tr>
      <w:tr>
        <w:trPr/>
        <w:tc>
          <w:tcPr>
            <w:tcW w:w="164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(c)</w:t>
            </w:r>
          </w:p>
        </w:tc>
        <w:tc>
          <w:tcPr>
            <w:tcW w:w="856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tbl>
      <w:tblPr>
        <w:tblW w:w="10205" w:type="dxa"/>
        <w:jc w:val="left"/>
        <w:tblInd w:w="0" w:type="dxa"/>
        <w:tblCellMar>
          <w:top w:w="0" w:type="dxa"/>
          <w:left w:w="0" w:type="dxa"/>
          <w:bottom w:w="0" w:type="dxa"/>
          <w:right w:w="0" w:type="dxa"/>
        </w:tblCellMar>
      </w:tblPr>
      <w:tblGrid>
        <w:gridCol w:w="1655"/>
        <w:gridCol w:w="8550"/>
      </w:tblGrid>
      <w:tr>
        <w:trPr/>
        <w:tc>
          <w:tcPr>
            <w:tcW w:w="1655" w:type="dxa"/>
            <w:tcBorders/>
            <w:shd w:fill="auto" w:val="clear"/>
            <w:vAlign w:val="center"/>
          </w:tcPr>
          <w:p>
            <w:pPr>
              <w:pStyle w:val="TableContents"/>
              <w:spacing w:before="0" w:after="283"/>
              <w:rPr>
                <w:sz w:val="4"/>
                <w:szCs w:val="4"/>
              </w:rPr>
            </w:pPr>
            <w:r>
              <w:rPr>
                <w:sz w:val="4"/>
                <w:szCs w:val="4"/>
              </w:rPr>
            </w:r>
          </w:p>
        </w:tc>
        <w:tc>
          <w:tcPr>
            <w:tcW w:w="8550" w:type="dxa"/>
            <w:tcBorders/>
            <w:shd w:fill="auto" w:val="clear"/>
            <w:vAlign w:val="center"/>
          </w:tcPr>
          <w:p>
            <w:pPr>
              <w:pStyle w:val="TableContents"/>
              <w:spacing w:before="0" w:after="283"/>
              <w:rPr>
                <w:sz w:val="4"/>
                <w:szCs w:val="4"/>
              </w:rPr>
            </w:pPr>
            <w:r>
              <w:rPr>
                <w:sz w:val="4"/>
                <w:szCs w:val="4"/>
              </w:rPr>
            </w:r>
          </w:p>
        </w:tc>
      </w:tr>
      <w:tr>
        <w:trPr/>
        <w:tc>
          <w:tcPr>
            <w:tcW w:w="1655"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(d)</w:t>
            </w:r>
          </w:p>
        </w:tc>
        <w:tc>
          <w:tcPr>
            <w:tcW w:w="8550"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CellMar>
          <w:top w:w="0" w:type="dxa"/>
          <w:left w:w="0" w:type="dxa"/>
          <w:bottom w:w="0" w:type="dxa"/>
          <w:right w:w="0" w:type="dxa"/>
        </w:tblCellMar>
      </w:tblPr>
      <w:tblGrid>
        <w:gridCol w:w="876"/>
        <w:gridCol w:w="9329"/>
      </w:tblGrid>
      <w:tr>
        <w:trPr/>
        <w:tc>
          <w:tcPr>
            <w:tcW w:w="876" w:type="dxa"/>
            <w:tcBorders/>
            <w:shd w:fill="auto" w:val="clear"/>
            <w:vAlign w:val="center"/>
          </w:tcPr>
          <w:p>
            <w:pPr>
              <w:pStyle w:val="TableContents"/>
              <w:spacing w:before="0" w:after="283"/>
              <w:rPr>
                <w:sz w:val="4"/>
                <w:szCs w:val="4"/>
              </w:rPr>
            </w:pPr>
            <w:r>
              <w:rPr>
                <w:sz w:val="4"/>
                <w:szCs w:val="4"/>
              </w:rPr>
            </w:r>
          </w:p>
        </w:tc>
        <w:tc>
          <w:tcPr>
            <w:tcW w:w="9329" w:type="dxa"/>
            <w:tcBorders/>
            <w:shd w:fill="auto" w:val="clear"/>
            <w:vAlign w:val="center"/>
          </w:tcPr>
          <w:p>
            <w:pPr>
              <w:pStyle w:val="TableContents"/>
              <w:spacing w:before="0" w:after="283"/>
              <w:rPr>
                <w:sz w:val="4"/>
                <w:szCs w:val="4"/>
              </w:rPr>
            </w:pPr>
            <w:r>
              <w:rPr>
                <w:sz w:val="4"/>
                <w:szCs w:val="4"/>
              </w:rPr>
            </w:r>
          </w:p>
        </w:tc>
      </w:tr>
      <w:tr>
        <w:trPr/>
        <w:tc>
          <w:tcPr>
            <w:tcW w:w="876" w:type="dxa"/>
            <w:tcBorders/>
            <w:shd w:fill="auto" w:val="clear"/>
            <w:vAlign w:val="center"/>
          </w:tcPr>
          <w:p>
            <w:pPr>
              <w:pStyle w:val="TableContents"/>
              <w:spacing w:lineRule="auto" w:line="288" w:before="0" w:after="0"/>
              <w:ind w:left="0" w:right="0" w:firstLine="720"/>
              <w:rPr>
                <w:rFonts w:ascii="inherit" w:hAnsi="inherit"/>
                <w:sz w:val="17"/>
              </w:rPr>
            </w:pPr>
            <w:r>
              <w:rPr>
                <w:rFonts w:ascii="inherit" w:hAnsi="inherit"/>
                <w:sz w:val="17"/>
              </w:rPr>
              <w:t>5.</w:t>
            </w:r>
          </w:p>
        </w:tc>
        <w:tc>
          <w:tcPr>
            <w:tcW w:w="9329"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CellMar>
          <w:top w:w="0" w:type="dxa"/>
          <w:left w:w="0" w:type="dxa"/>
          <w:bottom w:w="0" w:type="dxa"/>
          <w:right w:w="0" w:type="dxa"/>
        </w:tblCellMar>
      </w:tblPr>
      <w:tblGrid>
        <w:gridCol w:w="1661"/>
        <w:gridCol w:w="8544"/>
      </w:tblGrid>
      <w:tr>
        <w:trPr/>
        <w:tc>
          <w:tcPr>
            <w:tcW w:w="1661" w:type="dxa"/>
            <w:tcBorders/>
            <w:shd w:fill="auto" w:val="clear"/>
            <w:vAlign w:val="center"/>
          </w:tcPr>
          <w:p>
            <w:pPr>
              <w:pStyle w:val="TableContents"/>
              <w:spacing w:before="0" w:after="283"/>
              <w:rPr>
                <w:sz w:val="4"/>
                <w:szCs w:val="4"/>
              </w:rPr>
            </w:pPr>
            <w:r>
              <w:rPr>
                <w:sz w:val="4"/>
                <w:szCs w:val="4"/>
              </w:rPr>
            </w:r>
          </w:p>
        </w:tc>
        <w:tc>
          <w:tcPr>
            <w:tcW w:w="8544" w:type="dxa"/>
            <w:tcBorders/>
            <w:shd w:fill="auto" w:val="clear"/>
            <w:vAlign w:val="center"/>
          </w:tcPr>
          <w:p>
            <w:pPr>
              <w:pStyle w:val="TableContents"/>
              <w:spacing w:before="0" w:after="283"/>
              <w:rPr>
                <w:sz w:val="4"/>
                <w:szCs w:val="4"/>
              </w:rPr>
            </w:pPr>
            <w:r>
              <w:rPr>
                <w:sz w:val="4"/>
                <w:szCs w:val="4"/>
              </w:rPr>
            </w:r>
          </w:p>
        </w:tc>
      </w:tr>
      <w:tr>
        <w:trPr/>
        <w:tc>
          <w:tcPr>
            <w:tcW w:w="1661"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(a)</w:t>
            </w:r>
          </w:p>
        </w:tc>
        <w:tc>
          <w:tcPr>
            <w:tcW w:w="8544"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tbl>
      <w:tblPr>
        <w:tblW w:w="10205" w:type="dxa"/>
        <w:jc w:val="left"/>
        <w:tblInd w:w="0" w:type="dxa"/>
        <w:tblCellMar>
          <w:top w:w="0" w:type="dxa"/>
          <w:left w:w="0" w:type="dxa"/>
          <w:bottom w:w="0" w:type="dxa"/>
          <w:right w:w="0" w:type="dxa"/>
        </w:tblCellMar>
      </w:tblPr>
      <w:tblGrid>
        <w:gridCol w:w="1674"/>
        <w:gridCol w:w="8531"/>
      </w:tblGrid>
      <w:tr>
        <w:trPr/>
        <w:tc>
          <w:tcPr>
            <w:tcW w:w="1674" w:type="dxa"/>
            <w:tcBorders/>
            <w:shd w:fill="auto" w:val="clear"/>
            <w:vAlign w:val="center"/>
          </w:tcPr>
          <w:p>
            <w:pPr>
              <w:pStyle w:val="TableContents"/>
              <w:spacing w:before="0" w:after="283"/>
              <w:rPr>
                <w:sz w:val="4"/>
                <w:szCs w:val="4"/>
              </w:rPr>
            </w:pPr>
            <w:r>
              <w:rPr>
                <w:sz w:val="4"/>
                <w:szCs w:val="4"/>
              </w:rPr>
            </w:r>
          </w:p>
        </w:tc>
        <w:tc>
          <w:tcPr>
            <w:tcW w:w="8531" w:type="dxa"/>
            <w:tcBorders/>
            <w:shd w:fill="auto" w:val="clear"/>
            <w:vAlign w:val="center"/>
          </w:tcPr>
          <w:p>
            <w:pPr>
              <w:pStyle w:val="TableContents"/>
              <w:spacing w:before="0" w:after="283"/>
              <w:rPr>
                <w:sz w:val="4"/>
                <w:szCs w:val="4"/>
              </w:rPr>
            </w:pPr>
            <w:r>
              <w:rPr>
                <w:sz w:val="4"/>
                <w:szCs w:val="4"/>
              </w:rPr>
            </w:r>
          </w:p>
        </w:tc>
      </w:tr>
      <w:tr>
        <w:trPr/>
        <w:tc>
          <w:tcPr>
            <w:tcW w:w="1674" w:type="dxa"/>
            <w:tcBorders/>
            <w:shd w:fill="auto" w:val="clear"/>
            <w:vAlign w:val="center"/>
          </w:tcPr>
          <w:p>
            <w:pPr>
              <w:pStyle w:val="TableContents"/>
              <w:spacing w:lineRule="auto" w:line="288" w:before="0" w:after="0"/>
              <w:ind w:left="0" w:right="0" w:firstLine="1440"/>
              <w:rPr>
                <w:rFonts w:ascii="inherit" w:hAnsi="inherit"/>
                <w:sz w:val="17"/>
              </w:rPr>
            </w:pPr>
            <w:r>
              <w:rPr>
                <w:rFonts w:ascii="inherit" w:hAnsi="inherit"/>
                <w:sz w:val="17"/>
              </w:rPr>
              <w:t>(b)</w:t>
            </w:r>
          </w:p>
        </w:tc>
        <w:tc>
          <w:tcPr>
            <w:tcW w:w="8531" w:type="dxa"/>
            <w:tcBorders/>
            <w:shd w:fill="auto" w:val="clear"/>
            <w:vAlign w:val="center"/>
          </w:tcPr>
          <w:p>
            <w:pPr>
              <w:pStyle w:val="TableContents"/>
              <w:spacing w:lineRule="auto" w:line="288" w:before="0" w:after="0"/>
              <w:jc w:val="left"/>
              <w:rPr>
                <w:rFonts w:ascii="inherit" w:hAnsi="inherit"/>
                <w:sz w:val="17"/>
              </w:rPr>
            </w:pPr>
            <w:r>
              <w:rPr>
                <w:rFonts w:ascii="inherit" w:hAnsi="inherit"/>
                <w:sz w:val="17"/>
              </w:rPr>
              <w:t>Any fraud, whether or not material, that involves management or other employees who have a significant role in the registrant's internal control over financial reporting.</w:t>
            </w:r>
          </w:p>
        </w:tc>
      </w:tr>
    </w:tbl>
    <w:p>
      <w:pPr>
        <w:pStyle w:val="TextBody"/>
        <w:spacing w:lineRule="auto" w:line="288" w:before="0" w:after="0"/>
        <w:jc w:val="left"/>
        <w:rPr/>
      </w:pPr>
      <w:r>
        <w:rPr/>
        <w:t> </w:t>
      </w:r>
    </w:p>
    <w:tbl>
      <w:tblPr>
        <w:tblW w:w="10205" w:type="dxa"/>
        <w:jc w:val="center"/>
        <w:tblInd w:w="0" w:type="dxa"/>
        <w:tblCellMar>
          <w:top w:w="0" w:type="dxa"/>
          <w:left w:w="0" w:type="dxa"/>
          <w:bottom w:w="0" w:type="dxa"/>
          <w:right w:w="0" w:type="dxa"/>
        </w:tblCellMar>
      </w:tblPr>
      <w:tblGrid>
        <w:gridCol w:w="593"/>
        <w:gridCol w:w="6309"/>
        <w:gridCol w:w="330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593" w:type="dxa"/>
            <w:tcBorders/>
            <w:shd w:fill="auto" w:val="clear"/>
            <w:vAlign w:val="center"/>
          </w:tcPr>
          <w:p>
            <w:pPr>
              <w:pStyle w:val="TableContents"/>
              <w:spacing w:before="0" w:after="283"/>
              <w:rPr>
                <w:sz w:val="4"/>
                <w:szCs w:val="4"/>
              </w:rPr>
            </w:pPr>
            <w:r>
              <w:rPr>
                <w:sz w:val="4"/>
                <w:szCs w:val="4"/>
              </w:rPr>
            </w:r>
          </w:p>
        </w:tc>
        <w:tc>
          <w:tcPr>
            <w:tcW w:w="6309" w:type="dxa"/>
            <w:tcBorders/>
            <w:shd w:fill="auto" w:val="clear"/>
            <w:vAlign w:val="center"/>
          </w:tcPr>
          <w:p>
            <w:pPr>
              <w:pStyle w:val="TableContents"/>
              <w:spacing w:before="0" w:after="283"/>
              <w:rPr>
                <w:sz w:val="4"/>
                <w:szCs w:val="4"/>
              </w:rPr>
            </w:pPr>
            <w:r>
              <w:rPr>
                <w:sz w:val="4"/>
                <w:szCs w:val="4"/>
              </w:rPr>
            </w:r>
          </w:p>
        </w:tc>
        <w:tc>
          <w:tcPr>
            <w:tcW w:w="330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593"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309"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2012</w:t>
            </w:r>
          </w:p>
        </w:tc>
        <w:tc>
          <w:tcPr>
            <w:tcW w:w="330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Stephen A. Stamp</w:t>
            </w:r>
          </w:p>
        </w:tc>
      </w:tr>
      <w:tr>
        <w:trPr/>
        <w:tc>
          <w:tcPr>
            <w:tcW w:w="593" w:type="dxa"/>
            <w:tcBorders/>
            <w:shd w:fill="auto" w:val="clear"/>
            <w:vAlign w:val="center"/>
          </w:tcPr>
          <w:p>
            <w:pPr>
              <w:pStyle w:val="TableContents"/>
              <w:spacing w:before="0" w:after="0"/>
              <w:ind w:left="0" w:right="0" w:firstLine="30"/>
              <w:rPr/>
            </w:pPr>
            <w:r>
              <w:rPr/>
              <w:t> </w:t>
            </w:r>
          </w:p>
        </w:tc>
        <w:tc>
          <w:tcPr>
            <w:tcW w:w="6309" w:type="dxa"/>
            <w:tcBorders/>
            <w:shd w:fill="auto" w:val="clear"/>
            <w:vAlign w:val="center"/>
          </w:tcPr>
          <w:p>
            <w:pPr>
              <w:pStyle w:val="TableContents"/>
              <w:spacing w:before="0" w:after="0"/>
              <w:ind w:left="0" w:right="0" w:firstLine="30"/>
              <w:rPr/>
            </w:pPr>
            <w:r>
              <w:rPr/>
              <w:t> </w:t>
            </w:r>
          </w:p>
        </w:tc>
        <w:tc>
          <w:tcPr>
            <w:tcW w:w="330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Stephen A. Stamp</w:t>
            </w:r>
          </w:p>
        </w:tc>
      </w:tr>
      <w:tr>
        <w:trPr/>
        <w:tc>
          <w:tcPr>
            <w:tcW w:w="593" w:type="dxa"/>
            <w:tcBorders/>
            <w:shd w:fill="auto" w:val="clear"/>
            <w:vAlign w:val="center"/>
          </w:tcPr>
          <w:p>
            <w:pPr>
              <w:pStyle w:val="TableContents"/>
              <w:spacing w:before="0" w:after="0"/>
              <w:ind w:left="0" w:right="0" w:firstLine="30"/>
              <w:rPr/>
            </w:pPr>
            <w:r>
              <w:rPr/>
              <w:t> </w:t>
            </w:r>
          </w:p>
        </w:tc>
        <w:tc>
          <w:tcPr>
            <w:tcW w:w="6309" w:type="dxa"/>
            <w:tcBorders/>
            <w:shd w:fill="auto" w:val="clear"/>
            <w:vAlign w:val="center"/>
          </w:tcPr>
          <w:p>
            <w:pPr>
              <w:pStyle w:val="TableContents"/>
              <w:spacing w:before="0" w:after="0"/>
              <w:ind w:left="0" w:right="0" w:firstLine="30"/>
              <w:rPr/>
            </w:pPr>
            <w:r>
              <w:rPr/>
              <w:t> </w:t>
            </w:r>
          </w:p>
        </w:tc>
        <w:tc>
          <w:tcPr>
            <w:tcW w:w="3303" w:type="dxa"/>
            <w:tcBorders/>
            <w:shd w:fill="auto" w:val="clear"/>
            <w:vAlign w:val="center"/>
          </w:tcPr>
          <w:p>
            <w:pPr>
              <w:pStyle w:val="TableContents"/>
              <w:spacing w:before="0" w:after="0"/>
              <w:jc w:val="left"/>
              <w:rPr>
                <w:rFonts w:ascii="inherit" w:hAnsi="inherit"/>
                <w:sz w:val="17"/>
              </w:rPr>
            </w:pPr>
            <w:r>
              <w:rPr>
                <w:rFonts w:ascii="inherit" w:hAnsi="inherit"/>
                <w:sz w:val="17"/>
              </w:rPr>
              <w:t>Senior Vice President and Chief Financial Officer</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rPr/>
      </w:pPr>
      <w:r>
        <w:rPr/>
      </w:r>
      <w:r>
        <w:br w:type="page"/>
      </w:r>
    </w:p>
    <w:p>
      <w:pPr>
        <w:pStyle w:val="TextBody"/>
        <w:spacing w:lineRule="auto" w:line="288" w:before="0" w:after="0"/>
        <w:jc w:val="right"/>
        <w:rPr>
          <w:rFonts w:ascii="inherit" w:hAnsi="inherit"/>
          <w:b/>
          <w:sz w:val="17"/>
        </w:rPr>
      </w:pPr>
      <w:bookmarkStart w:id="62" w:name="s3E4CDEB6A9342789D891A4125454075E"/>
      <w:bookmarkStart w:id="63" w:name="ezpw-ex321_6302012xq3.htm"/>
      <w:bookmarkStart w:id="64" w:name="ksezpwex321_6302012xq3"/>
      <w:bookmarkEnd w:id="62"/>
      <w:bookmarkEnd w:id="63"/>
      <w:bookmarkEnd w:id="64"/>
      <w:r>
        <w:rPr>
          <w:rFonts w:ascii="inherit" w:hAnsi="inherit"/>
          <w:b/>
          <w:sz w:val="17"/>
        </w:rPr>
        <w:t xml:space="preserve">Exhibit 32.1 </w:t>
      </w:r>
    </w:p>
    <w:p>
      <w:pPr>
        <w:pStyle w:val="TextBody"/>
        <w:spacing w:lineRule="auto" w:line="288" w:before="0" w:after="0"/>
        <w:jc w:val="center"/>
        <w:rPr>
          <w:rFonts w:ascii="inherit" w:hAnsi="inherit"/>
          <w:b/>
          <w:sz w:val="17"/>
        </w:rPr>
      </w:pPr>
      <w:r>
        <w:rPr>
          <w:rFonts w:ascii="inherit" w:hAnsi="inherit"/>
          <w:b/>
          <w:sz w:val="17"/>
        </w:rPr>
        <w:t xml:space="preserve">Certifications of Paul E. Rothamel, Chief Executive Officer, and Stephen A. Stamp, Chief Financial Officer, </w:t>
      </w:r>
    </w:p>
    <w:p>
      <w:pPr>
        <w:pStyle w:val="TextBody"/>
        <w:spacing w:lineRule="auto" w:line="288" w:before="0" w:after="0"/>
        <w:jc w:val="center"/>
        <w:rPr>
          <w:rFonts w:ascii="inherit" w:hAnsi="inherit"/>
          <w:b/>
          <w:sz w:val="17"/>
        </w:rPr>
      </w:pPr>
      <w:r>
        <w:rPr>
          <w:rFonts w:ascii="inherit" w:hAnsi="inherit"/>
          <w:b/>
          <w:sz w:val="17"/>
        </w:rPr>
        <w:t xml:space="preserve">pursuant to 18 U.S.C. Section 1350, as adopted pursuant to Section 906 of the Sarbanes-Oxley Act of 2002 </w:t>
      </w:r>
    </w:p>
    <w:p>
      <w:pPr>
        <w:pStyle w:val="TextBody"/>
        <w:spacing w:lineRule="auto" w:line="288" w:before="0" w:after="0"/>
        <w:jc w:val="left"/>
        <w:rPr>
          <w:sz w:val="17"/>
        </w:rPr>
      </w:pPr>
      <w:r>
        <w:rPr>
          <w:rFonts w:ascii="inherit" w:hAnsi="inherit"/>
          <w:sz w:val="17"/>
        </w:rPr>
        <w:t xml:space="preserve">The undersigned officers of EZCORP, Inc. hereby certify that (a) EZCORP's Quarterly Report on Form 10-Q for the quarter ended </w:t>
      </w:r>
      <w:r>
        <w:rPr>
          <w:rFonts w:ascii="inherit" w:hAnsi="inherit"/>
          <w:strike w:val="false"/>
          <w:dstrike w:val="false"/>
          <w:color w:val="000000"/>
          <w:sz w:val="17"/>
          <w:u w:val="none"/>
          <w:effect w:val="none"/>
        </w:rPr>
        <w:t>June 30, 2012</w:t>
      </w:r>
      <w:r>
        <w:rPr>
          <w:rFonts w:ascii="inherit" w:hAnsi="inherit"/>
          <w:sz w:val="17"/>
        </w:rPr>
        <w:t xml:space="preserve">,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 </w:t>
      </w:r>
    </w:p>
    <w:p>
      <w:pPr>
        <w:pStyle w:val="TextBody"/>
        <w:spacing w:lineRule="auto" w:line="288" w:before="0" w:after="0"/>
        <w:jc w:val="left"/>
        <w:rPr/>
      </w:pPr>
      <w:r>
        <w:rPr/>
        <w:t> </w:t>
      </w:r>
    </w:p>
    <w:p>
      <w:pPr>
        <w:pStyle w:val="TextBody"/>
        <w:spacing w:lineRule="auto" w:line="288" w:before="0" w:after="0"/>
        <w:jc w:val="center"/>
        <w:rPr>
          <w:rFonts w:ascii="inherit" w:hAnsi="inherit"/>
          <w:sz w:val="17"/>
        </w:rPr>
      </w:pPr>
      <w:r>
        <w:rPr>
          <w:rFonts w:ascii="inherit" w:hAnsi="inherit"/>
          <w:sz w:val="17"/>
        </w:rPr>
      </w:r>
    </w:p>
    <w:tbl>
      <w:tblPr>
        <w:tblW w:w="10205" w:type="dxa"/>
        <w:jc w:val="center"/>
        <w:tblInd w:w="0" w:type="dxa"/>
        <w:tblCellMar>
          <w:top w:w="0" w:type="dxa"/>
          <w:left w:w="0" w:type="dxa"/>
          <w:bottom w:w="0" w:type="dxa"/>
          <w:right w:w="0" w:type="dxa"/>
        </w:tblCellMar>
      </w:tblPr>
      <w:tblGrid>
        <w:gridCol w:w="690"/>
        <w:gridCol w:w="6202"/>
        <w:gridCol w:w="3313"/>
      </w:tblGrid>
      <w:tr>
        <w:trPr/>
        <w:tc>
          <w:tcPr>
            <w:tcW w:w="10205" w:type="dxa"/>
            <w:gridSpan w:val="3"/>
            <w:tcBorders/>
            <w:shd w:fill="auto" w:val="clear"/>
            <w:vAlign w:val="center"/>
          </w:tcPr>
          <w:p>
            <w:pPr>
              <w:pStyle w:val="TableContents"/>
              <w:spacing w:before="0" w:after="283"/>
              <w:rPr>
                <w:sz w:val="4"/>
                <w:szCs w:val="4"/>
              </w:rPr>
            </w:pPr>
            <w:r>
              <w:rPr>
                <w:sz w:val="4"/>
                <w:szCs w:val="4"/>
              </w:rPr>
            </w:r>
          </w:p>
        </w:tc>
      </w:tr>
      <w:tr>
        <w:trPr/>
        <w:tc>
          <w:tcPr>
            <w:tcW w:w="690" w:type="dxa"/>
            <w:tcBorders/>
            <w:shd w:fill="auto" w:val="clear"/>
            <w:vAlign w:val="center"/>
          </w:tcPr>
          <w:p>
            <w:pPr>
              <w:pStyle w:val="TableContents"/>
              <w:spacing w:before="0" w:after="283"/>
              <w:rPr>
                <w:sz w:val="4"/>
                <w:szCs w:val="4"/>
              </w:rPr>
            </w:pPr>
            <w:r>
              <w:rPr>
                <w:sz w:val="4"/>
                <w:szCs w:val="4"/>
              </w:rPr>
            </w:r>
          </w:p>
        </w:tc>
        <w:tc>
          <w:tcPr>
            <w:tcW w:w="6202" w:type="dxa"/>
            <w:tcBorders/>
            <w:shd w:fill="auto" w:val="clear"/>
            <w:vAlign w:val="center"/>
          </w:tcPr>
          <w:p>
            <w:pPr>
              <w:pStyle w:val="TableContents"/>
              <w:spacing w:before="0" w:after="283"/>
              <w:rPr>
                <w:sz w:val="4"/>
                <w:szCs w:val="4"/>
              </w:rPr>
            </w:pPr>
            <w:r>
              <w:rPr>
                <w:sz w:val="4"/>
                <w:szCs w:val="4"/>
              </w:rPr>
            </w:r>
          </w:p>
        </w:tc>
        <w:tc>
          <w:tcPr>
            <w:tcW w:w="3313" w:type="dxa"/>
            <w:tcBorders/>
            <w:shd w:fill="auto" w:val="clear"/>
            <w:vAlign w:val="center"/>
          </w:tcPr>
          <w:p>
            <w:pPr>
              <w:pStyle w:val="TableContents"/>
              <w:spacing w:before="0" w:after="283"/>
              <w:ind w:left="0" w:right="0" w:firstLine="30"/>
              <w:rPr>
                <w:sz w:val="4"/>
                <w:szCs w:val="4"/>
              </w:rPr>
            </w:pPr>
            <w:r>
              <w:rPr>
                <w:sz w:val="4"/>
                <w:szCs w:val="4"/>
              </w:rPr>
            </w:r>
          </w:p>
        </w:tc>
      </w:tr>
      <w:tr>
        <w:trPr/>
        <w:tc>
          <w:tcPr>
            <w:tcW w:w="6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2012</w:t>
            </w:r>
          </w:p>
        </w:tc>
        <w:tc>
          <w:tcPr>
            <w:tcW w:w="331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Paul E. Rothamel</w:t>
            </w:r>
          </w:p>
        </w:tc>
      </w:tr>
      <w:tr>
        <w:trPr/>
        <w:tc>
          <w:tcPr>
            <w:tcW w:w="690" w:type="dxa"/>
            <w:tcBorders/>
            <w:shd w:fill="auto" w:val="clear"/>
            <w:vAlign w:val="center"/>
          </w:tcPr>
          <w:p>
            <w:pPr>
              <w:pStyle w:val="TableContents"/>
              <w:spacing w:before="0" w:after="0"/>
              <w:ind w:left="0" w:right="0" w:firstLine="30"/>
              <w:rPr/>
            </w:pPr>
            <w:r>
              <w:rPr/>
              <w:t> </w:t>
            </w:r>
          </w:p>
        </w:tc>
        <w:tc>
          <w:tcPr>
            <w:tcW w:w="6202" w:type="dxa"/>
            <w:tcBorders/>
            <w:shd w:fill="auto" w:val="clear"/>
            <w:vAlign w:val="center"/>
          </w:tcPr>
          <w:p>
            <w:pPr>
              <w:pStyle w:val="TableContents"/>
              <w:spacing w:before="0" w:after="0"/>
              <w:ind w:left="0" w:right="0" w:firstLine="30"/>
              <w:rPr/>
            </w:pPr>
            <w:r>
              <w:rPr/>
              <w:t> </w:t>
            </w:r>
          </w:p>
        </w:tc>
        <w:tc>
          <w:tcPr>
            <w:tcW w:w="3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Paul E. Rothamel</w:t>
            </w:r>
          </w:p>
        </w:tc>
      </w:tr>
      <w:tr>
        <w:trPr/>
        <w:tc>
          <w:tcPr>
            <w:tcW w:w="690" w:type="dxa"/>
            <w:tcBorders/>
            <w:shd w:fill="auto" w:val="clear"/>
            <w:vAlign w:val="center"/>
          </w:tcPr>
          <w:p>
            <w:pPr>
              <w:pStyle w:val="TableContents"/>
              <w:spacing w:before="0" w:after="0"/>
              <w:ind w:left="0" w:right="0" w:firstLine="30"/>
              <w:rPr/>
            </w:pPr>
            <w:r>
              <w:rPr/>
              <w:t> </w:t>
            </w:r>
          </w:p>
        </w:tc>
        <w:tc>
          <w:tcPr>
            <w:tcW w:w="6202" w:type="dxa"/>
            <w:tcBorders/>
            <w:shd w:fill="auto" w:val="clear"/>
            <w:vAlign w:val="center"/>
          </w:tcPr>
          <w:p>
            <w:pPr>
              <w:pStyle w:val="TableContents"/>
              <w:spacing w:before="0" w:after="0"/>
              <w:ind w:left="0" w:right="0" w:firstLine="30"/>
              <w:rPr/>
            </w:pPr>
            <w:r>
              <w:rPr/>
              <w:t> </w:t>
            </w:r>
          </w:p>
        </w:tc>
        <w:tc>
          <w:tcPr>
            <w:tcW w:w="3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President and Chief Executive Officer</w:t>
            </w:r>
          </w:p>
        </w:tc>
      </w:tr>
      <w:tr>
        <w:trPr/>
        <w:tc>
          <w:tcPr>
            <w:tcW w:w="690" w:type="dxa"/>
            <w:tcBorders/>
            <w:shd w:fill="auto" w:val="clear"/>
            <w:vAlign w:val="center"/>
          </w:tcPr>
          <w:p>
            <w:pPr>
              <w:pStyle w:val="TableContents"/>
              <w:spacing w:before="0" w:after="0"/>
              <w:ind w:left="0" w:right="0" w:firstLine="30"/>
              <w:rPr/>
            </w:pPr>
            <w:r>
              <w:rPr/>
              <w:t> </w:t>
            </w:r>
          </w:p>
        </w:tc>
        <w:tc>
          <w:tcPr>
            <w:tcW w:w="6202" w:type="dxa"/>
            <w:tcBorders/>
            <w:shd w:fill="auto" w:val="clear"/>
            <w:vAlign w:val="center"/>
          </w:tcPr>
          <w:p>
            <w:pPr>
              <w:pStyle w:val="TableContents"/>
              <w:spacing w:before="0" w:after="0"/>
              <w:ind w:left="0" w:right="0" w:firstLine="30"/>
              <w:rPr/>
            </w:pPr>
            <w:r>
              <w:rPr/>
              <w:t> </w:t>
            </w:r>
          </w:p>
        </w:tc>
        <w:tc>
          <w:tcPr>
            <w:tcW w:w="3313" w:type="dxa"/>
            <w:tcBorders/>
            <w:shd w:fill="auto" w:val="clear"/>
            <w:vAlign w:val="center"/>
          </w:tcPr>
          <w:p>
            <w:pPr>
              <w:pStyle w:val="TableContents"/>
              <w:spacing w:before="0" w:after="0"/>
              <w:ind w:left="0" w:right="0" w:firstLine="30"/>
              <w:rPr/>
            </w:pPr>
            <w:r>
              <w:rPr/>
              <w:t> </w:t>
            </w:r>
          </w:p>
        </w:tc>
      </w:tr>
      <w:tr>
        <w:trPr/>
        <w:tc>
          <w:tcPr>
            <w:tcW w:w="690" w:type="dxa"/>
            <w:tcBorders/>
            <w:shd w:fill="auto" w:val="clear"/>
            <w:vAlign w:val="center"/>
          </w:tcPr>
          <w:p>
            <w:pPr>
              <w:pStyle w:val="TableContents"/>
              <w:spacing w:before="0" w:after="0"/>
              <w:ind w:left="0" w:right="0" w:firstLine="30"/>
              <w:jc w:val="right"/>
              <w:rPr>
                <w:rFonts w:ascii="inherit" w:hAnsi="inherit"/>
                <w:sz w:val="17"/>
              </w:rPr>
            </w:pPr>
            <w:r>
              <w:rPr>
                <w:rFonts w:ascii="inherit" w:hAnsi="inherit"/>
                <w:sz w:val="17"/>
              </w:rPr>
              <w:t>Date:</w:t>
            </w:r>
          </w:p>
        </w:tc>
        <w:tc>
          <w:tcPr>
            <w:tcW w:w="6202"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August 8, 2012</w:t>
            </w:r>
          </w:p>
        </w:tc>
        <w:tc>
          <w:tcPr>
            <w:tcW w:w="3313" w:type="dxa"/>
            <w:tcBorders>
              <w:bottom w:val="single" w:sz="2" w:space="0" w:color="000000"/>
            </w:tcBorders>
            <w:shd w:fill="auto" w:val="clear"/>
            <w:tcMar>
              <w:bottom w:w="30" w:type="dxa"/>
            </w:tcMar>
            <w:vAlign w:val="center"/>
          </w:tcPr>
          <w:p>
            <w:pPr>
              <w:pStyle w:val="TableContents"/>
              <w:spacing w:before="0" w:after="0"/>
              <w:ind w:left="0" w:right="0" w:firstLine="30"/>
              <w:jc w:val="left"/>
              <w:rPr>
                <w:rFonts w:ascii="inherit" w:hAnsi="inherit"/>
                <w:sz w:val="17"/>
              </w:rPr>
            </w:pPr>
            <w:r>
              <w:rPr>
                <w:rFonts w:ascii="inherit" w:hAnsi="inherit"/>
                <w:sz w:val="17"/>
              </w:rPr>
              <w:t>/s/ Stephen A. Stamp</w:t>
            </w:r>
          </w:p>
        </w:tc>
      </w:tr>
      <w:tr>
        <w:trPr/>
        <w:tc>
          <w:tcPr>
            <w:tcW w:w="690" w:type="dxa"/>
            <w:tcBorders/>
            <w:shd w:fill="auto" w:val="clear"/>
            <w:vAlign w:val="center"/>
          </w:tcPr>
          <w:p>
            <w:pPr>
              <w:pStyle w:val="TableContents"/>
              <w:spacing w:before="0" w:after="0"/>
              <w:ind w:left="0" w:right="0" w:firstLine="30"/>
              <w:rPr/>
            </w:pPr>
            <w:r>
              <w:rPr/>
              <w:t> </w:t>
            </w:r>
          </w:p>
        </w:tc>
        <w:tc>
          <w:tcPr>
            <w:tcW w:w="6202" w:type="dxa"/>
            <w:tcBorders/>
            <w:shd w:fill="auto" w:val="clear"/>
            <w:vAlign w:val="center"/>
          </w:tcPr>
          <w:p>
            <w:pPr>
              <w:pStyle w:val="TableContents"/>
              <w:spacing w:before="0" w:after="0"/>
              <w:ind w:left="0" w:right="0" w:firstLine="30"/>
              <w:rPr/>
            </w:pPr>
            <w:r>
              <w:rPr/>
              <w:t> </w:t>
            </w:r>
          </w:p>
        </w:tc>
        <w:tc>
          <w:tcPr>
            <w:tcW w:w="3313" w:type="dxa"/>
            <w:tcBorders/>
            <w:shd w:fill="auto" w:val="clear"/>
            <w:vAlign w:val="center"/>
          </w:tcPr>
          <w:p>
            <w:pPr>
              <w:pStyle w:val="TableContents"/>
              <w:spacing w:before="0" w:after="0"/>
              <w:ind w:left="0" w:right="0" w:firstLine="30"/>
              <w:jc w:val="left"/>
              <w:rPr>
                <w:rFonts w:ascii="inherit" w:hAnsi="inherit"/>
                <w:sz w:val="17"/>
              </w:rPr>
            </w:pPr>
            <w:r>
              <w:rPr>
                <w:rFonts w:ascii="inherit" w:hAnsi="inherit"/>
                <w:sz w:val="17"/>
              </w:rPr>
              <w:t>Stephen A. Stamp</w:t>
            </w:r>
          </w:p>
        </w:tc>
      </w:tr>
      <w:tr>
        <w:trPr/>
        <w:tc>
          <w:tcPr>
            <w:tcW w:w="690" w:type="dxa"/>
            <w:tcBorders/>
            <w:shd w:fill="auto" w:val="clear"/>
            <w:vAlign w:val="center"/>
          </w:tcPr>
          <w:p>
            <w:pPr>
              <w:pStyle w:val="TableContents"/>
              <w:spacing w:before="0" w:after="0"/>
              <w:ind w:left="0" w:right="0" w:firstLine="30"/>
              <w:rPr/>
            </w:pPr>
            <w:r>
              <w:rPr/>
              <w:t> </w:t>
            </w:r>
          </w:p>
        </w:tc>
        <w:tc>
          <w:tcPr>
            <w:tcW w:w="6202" w:type="dxa"/>
            <w:tcBorders/>
            <w:shd w:fill="auto" w:val="clear"/>
            <w:vAlign w:val="center"/>
          </w:tcPr>
          <w:p>
            <w:pPr>
              <w:pStyle w:val="TableContents"/>
              <w:spacing w:before="0" w:after="0"/>
              <w:ind w:left="0" w:right="0" w:firstLine="30"/>
              <w:rPr/>
            </w:pPr>
            <w:r>
              <w:rPr/>
              <w:t> </w:t>
            </w:r>
          </w:p>
        </w:tc>
        <w:tc>
          <w:tcPr>
            <w:tcW w:w="3313" w:type="dxa"/>
            <w:tcBorders/>
            <w:shd w:fill="auto" w:val="clear"/>
            <w:vAlign w:val="center"/>
          </w:tcPr>
          <w:p>
            <w:pPr>
              <w:pStyle w:val="TableContents"/>
              <w:spacing w:before="0" w:after="0"/>
              <w:jc w:val="left"/>
              <w:rPr>
                <w:rFonts w:ascii="inherit" w:hAnsi="inherit"/>
                <w:sz w:val="17"/>
              </w:rPr>
            </w:pPr>
            <w:r>
              <w:rPr>
                <w:rFonts w:ascii="inherit" w:hAnsi="inherit"/>
                <w:sz w:val="17"/>
              </w:rPr>
              <w:t>Senior Vice President and Chief Financial Officer</w:t>
            </w:r>
          </w:p>
        </w:tc>
      </w:tr>
    </w:tbl>
    <w:p>
      <w:pPr>
        <w:pStyle w:val="TextBody"/>
        <w:spacing w:lineRule="auto" w:line="288" w:before="0" w:after="0"/>
        <w:jc w:val="left"/>
        <w:rPr>
          <w:rFonts w:ascii="inherit" w:hAnsi="inherit"/>
          <w:sz w:val="17"/>
        </w:rPr>
      </w:pPr>
      <w:r>
        <w:rPr>
          <w:rFonts w:ascii="inherit" w:hAnsi="inherit"/>
          <w:sz w:val="17"/>
        </w:rPr>
      </w:r>
    </w:p>
    <w:p>
      <w:pPr>
        <w:pStyle w:val="TextBody"/>
        <w:spacing w:lineRule="auto" w:line="288" w:before="0" w:after="0"/>
        <w:rPr>
          <w:rFonts w:ascii="inherit" w:hAnsi="inherit"/>
          <w:sz w:val="17"/>
        </w:rPr>
      </w:pPr>
      <w:r>
        <w:rPr>
          <w:rFonts w:ascii="inherit" w:hAnsi="inherit"/>
          <w:sz w:val="17"/>
        </w:rPr>
      </w:r>
    </w:p>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inherit">
    <w:charset w:val="00"/>
    <w:family w:val="auto"/>
    <w:pitch w:val="default"/>
  </w:font>
  <w:font w:name="Wingdings">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70</Pages>
  <Words>28821</Words>
  <CharactersWithSpaces>182253</CharactersWithSpaces>
  <Paragraphs>11417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