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jc w:val="center"/>
        <w:rPr>
          <w:rFonts w:ascii="inherit" w:hAnsi="inherit"/>
          <w:b/>
          <w:sz w:val="17"/>
        </w:rPr>
      </w:pPr>
      <w:bookmarkStart w:id="0" w:name="s265750d7175d4f40b38492bd8129f5ba"/>
      <w:bookmarkStart w:id="1" w:name="ezcorp-2010ltipxpostxeffec.htm"/>
      <w:bookmarkStart w:id="2" w:name="ksezcorp2010ltipxpostxeffec"/>
      <w:bookmarkEnd w:id="0"/>
      <w:bookmarkEnd w:id="1"/>
      <w:bookmarkEnd w:id="2"/>
      <w:r>
        <w:rPr>
          <w:rFonts w:ascii="inherit" w:hAnsi="inherit"/>
          <w:b/>
          <w:sz w:val="17"/>
        </w:rPr>
        <w:t>As filed with the Securities and Exchange Commission on October 4, 2013</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right"/>
        <w:rPr>
          <w:rFonts w:ascii="inherit" w:hAnsi="inherit"/>
          <w:b/>
          <w:sz w:val="17"/>
        </w:rPr>
      </w:pPr>
      <w:r>
        <w:rPr>
          <w:rFonts w:ascii="inherit" w:hAnsi="inherit"/>
          <w:b/>
          <w:sz w:val="17"/>
        </w:rPr>
        <w:t xml:space="preserve">Registration No. 333-166950 </w:t>
      </w:r>
    </w:p>
    <w:tbl>
      <w:tblPr>
        <w:tblW w:w="525" w:type="dxa"/>
        <w:jc w:val="center"/>
        <w:tblInd w:w="0" w:type="dxa"/>
        <w:tblCellMar>
          <w:top w:w="0" w:type="dxa"/>
          <w:left w:w="0" w:type="dxa"/>
          <w:bottom w:w="0" w:type="dxa"/>
          <w:right w:w="0" w:type="dxa"/>
        </w:tblCellMar>
      </w:tblPr>
      <w:tblGrid>
        <w:gridCol w:w="105"/>
        <w:gridCol w:w="105"/>
        <w:gridCol w:w="105"/>
        <w:gridCol w:w="105"/>
        <w:gridCol w:w="105"/>
      </w:tblGrid>
      <w:tr>
        <w:trPr/>
        <w:tc>
          <w:tcPr>
            <w:tcW w:w="52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sz w:val="27"/>
        </w:rPr>
      </w:pPr>
      <w:r>
        <w:rPr>
          <w:rFonts w:ascii="inherit" w:hAnsi="inherit"/>
          <w:sz w:val="27"/>
        </w:rPr>
      </w:r>
    </w:p>
    <w:p>
      <w:pPr>
        <w:pStyle w:val="TextBody"/>
        <w:spacing w:lineRule="auto" w:line="288" w:before="0" w:after="0"/>
        <w:jc w:val="center"/>
        <w:rPr>
          <w:rFonts w:ascii="inherit" w:hAnsi="inherit"/>
          <w:b/>
          <w:sz w:val="27"/>
        </w:rPr>
      </w:pPr>
      <w:r>
        <w:rPr>
          <w:rFonts w:ascii="inherit" w:hAnsi="inherit"/>
          <w:b/>
          <w:sz w:val="27"/>
        </w:rPr>
        <w:t>UNITED STATES</w:t>
      </w:r>
    </w:p>
    <w:p>
      <w:pPr>
        <w:pStyle w:val="TextBody"/>
        <w:spacing w:lineRule="auto" w:line="288" w:before="0" w:after="0"/>
        <w:jc w:val="center"/>
        <w:rPr>
          <w:rFonts w:ascii="inherit" w:hAnsi="inherit"/>
          <w:b/>
          <w:sz w:val="27"/>
        </w:rPr>
      </w:pPr>
      <w:r>
        <w:rPr>
          <w:rFonts w:ascii="inherit" w:hAnsi="inherit"/>
          <w:b/>
          <w:sz w:val="27"/>
        </w:rPr>
        <w:t>SECURITIES AND EXCHANGE COMMISSION</w:t>
      </w:r>
    </w:p>
    <w:p>
      <w:pPr>
        <w:pStyle w:val="TextBody"/>
        <w:spacing w:lineRule="auto" w:line="288" w:before="0" w:after="0"/>
        <w:jc w:val="center"/>
        <w:rPr>
          <w:rFonts w:ascii="inherit" w:hAnsi="inherit"/>
          <w:b/>
          <w:sz w:val="27"/>
        </w:rPr>
      </w:pPr>
      <w:r>
        <w:rPr>
          <w:rFonts w:ascii="inherit" w:hAnsi="inherit"/>
          <w:b/>
          <w:sz w:val="27"/>
        </w:rPr>
        <w:t>Washington, D.C. 20549</w:t>
      </w:r>
    </w:p>
    <w:p>
      <w:pPr>
        <w:pStyle w:val="TextBody"/>
        <w:spacing w:lineRule="auto" w:line="288" w:before="0" w:after="0"/>
        <w:jc w:val="center"/>
        <w:rPr>
          <w:rFonts w:ascii="inherit" w:hAnsi="inherit"/>
          <w:sz w:val="23"/>
        </w:rPr>
      </w:pPr>
      <w:r>
        <w:rPr>
          <w:rFonts w:ascii="inherit" w:hAnsi="inherit"/>
          <w:sz w:val="23"/>
        </w:rPr>
      </w:r>
    </w:p>
    <w:p>
      <w:pPr>
        <w:pStyle w:val="TextBody"/>
        <w:spacing w:lineRule="auto" w:line="288" w:before="0" w:after="0"/>
        <w:jc w:val="center"/>
        <w:rPr>
          <w:rFonts w:ascii="inherit" w:hAnsi="inherit"/>
          <w:b/>
          <w:sz w:val="33"/>
        </w:rPr>
      </w:pPr>
      <w:r>
        <w:rPr>
          <w:rFonts w:ascii="inherit" w:hAnsi="inherit"/>
          <w:b/>
          <w:sz w:val="33"/>
        </w:rPr>
        <w:t>POST-EFFECTIVE AMENDMENT NO. 1</w:t>
      </w:r>
    </w:p>
    <w:p>
      <w:pPr>
        <w:pStyle w:val="TextBody"/>
        <w:spacing w:lineRule="auto" w:line="288" w:before="0" w:after="0"/>
        <w:jc w:val="center"/>
        <w:rPr>
          <w:rFonts w:ascii="inherit" w:hAnsi="inherit"/>
          <w:b/>
          <w:sz w:val="33"/>
        </w:rPr>
      </w:pPr>
      <w:r>
        <w:rPr>
          <w:rFonts w:ascii="inherit" w:hAnsi="inherit"/>
          <w:b/>
          <w:sz w:val="33"/>
        </w:rPr>
        <w:t>TO</w:t>
      </w:r>
    </w:p>
    <w:p>
      <w:pPr>
        <w:pStyle w:val="TextBody"/>
        <w:spacing w:lineRule="auto" w:line="288" w:before="0" w:after="0"/>
        <w:jc w:val="center"/>
        <w:rPr>
          <w:rFonts w:ascii="inherit" w:hAnsi="inherit"/>
          <w:b/>
          <w:sz w:val="33"/>
        </w:rPr>
      </w:pPr>
      <w:r>
        <w:rPr>
          <w:rFonts w:ascii="inherit" w:hAnsi="inherit"/>
          <w:b/>
          <w:sz w:val="33"/>
        </w:rPr>
        <w:t>FORM S-8</w:t>
      </w:r>
    </w:p>
    <w:p>
      <w:pPr>
        <w:pStyle w:val="TextBody"/>
        <w:spacing w:lineRule="auto" w:line="288" w:before="0" w:after="0"/>
        <w:jc w:val="center"/>
        <w:rPr>
          <w:rFonts w:ascii="inherit" w:hAnsi="inherit"/>
          <w:b/>
          <w:sz w:val="23"/>
        </w:rPr>
      </w:pPr>
      <w:r>
        <w:rPr>
          <w:rFonts w:ascii="inherit" w:hAnsi="inherit"/>
          <w:b/>
          <w:sz w:val="23"/>
        </w:rPr>
        <w:t>REGISTRATION STATEMENT UNDER</w:t>
      </w:r>
    </w:p>
    <w:p>
      <w:pPr>
        <w:pStyle w:val="TextBody"/>
        <w:spacing w:lineRule="auto" w:line="288" w:before="0" w:after="0"/>
        <w:jc w:val="center"/>
        <w:rPr>
          <w:rFonts w:ascii="inherit" w:hAnsi="inherit"/>
          <w:b/>
          <w:sz w:val="23"/>
        </w:rPr>
      </w:pPr>
      <w:r>
        <w:rPr>
          <w:rFonts w:ascii="inherit" w:hAnsi="inherit"/>
          <w:b/>
          <w:sz w:val="23"/>
        </w:rPr>
        <w:t>THE SECURITIES ACT OF 1933</w:t>
      </w:r>
    </w:p>
    <w:p>
      <w:pPr>
        <w:pStyle w:val="TextBody"/>
        <w:spacing w:lineRule="auto" w:line="288" w:before="0" w:after="0"/>
        <w:jc w:val="center"/>
        <w:rPr>
          <w:rFonts w:ascii="inherit" w:hAnsi="inherit"/>
          <w:sz w:val="23"/>
        </w:rPr>
      </w:pPr>
      <w:r>
        <w:rPr>
          <w:rFonts w:ascii="inherit" w:hAnsi="inherit"/>
          <w:sz w:val="23"/>
        </w:rPr>
      </w:r>
    </w:p>
    <w:p>
      <w:pPr>
        <w:pStyle w:val="TextBody"/>
        <w:spacing w:lineRule="auto" w:line="288" w:before="0" w:after="0"/>
        <w:jc w:val="center"/>
        <w:rPr>
          <w:rFonts w:ascii="inherit" w:hAnsi="inherit"/>
          <w:b/>
          <w:sz w:val="40"/>
        </w:rPr>
      </w:pPr>
      <w:r>
        <w:rPr>
          <w:rFonts w:ascii="inherit" w:hAnsi="inherit"/>
          <w:b/>
          <w:sz w:val="40"/>
        </w:rPr>
        <w:t>EZCORP, INC.</w:t>
      </w:r>
    </w:p>
    <w:p>
      <w:pPr>
        <w:pStyle w:val="TextBody"/>
        <w:spacing w:lineRule="auto" w:line="288" w:before="0" w:after="0"/>
        <w:jc w:val="center"/>
        <w:rPr>
          <w:rFonts w:ascii="inherit" w:hAnsi="inherit"/>
          <w:sz w:val="17"/>
        </w:rPr>
      </w:pPr>
      <w:r>
        <w:rPr>
          <w:rFonts w:ascii="inherit" w:hAnsi="inherit"/>
          <w:sz w:val="17"/>
        </w:rPr>
        <w:t>(Exact name of registrant as specified in its charter)</w:t>
      </w:r>
    </w:p>
    <w:p>
      <w:pPr>
        <w:pStyle w:val="TextBody"/>
        <w:spacing w:lineRule="auto" w:line="288" w:before="0" w:after="0"/>
        <w:jc w:val="center"/>
        <w:rPr>
          <w:rFonts w:ascii="inherit" w:hAnsi="inherit"/>
          <w:sz w:val="17"/>
        </w:rPr>
      </w:pPr>
      <w:r>
        <w:rPr>
          <w:rFonts w:ascii="inherit" w:hAnsi="inherit"/>
          <w:sz w:val="17"/>
        </w:rPr>
      </w:r>
    </w:p>
    <w:tbl>
      <w:tblPr>
        <w:tblW w:w="7974" w:type="dxa"/>
        <w:jc w:val="left"/>
        <w:tblInd w:w="0" w:type="dxa"/>
        <w:tblCellMar>
          <w:top w:w="0" w:type="dxa"/>
          <w:left w:w="0" w:type="dxa"/>
          <w:bottom w:w="0" w:type="dxa"/>
          <w:right w:w="0" w:type="dxa"/>
        </w:tblCellMar>
      </w:tblPr>
      <w:tblGrid>
        <w:gridCol w:w="3987"/>
        <w:gridCol w:w="3987"/>
      </w:tblGrid>
      <w:tr>
        <w:trPr/>
        <w:tc>
          <w:tcPr>
            <w:tcW w:w="7974" w:type="dxa"/>
            <w:gridSpan w:val="2"/>
            <w:tcBorders/>
            <w:shd w:fill="auto" w:val="clear"/>
            <w:vAlign w:val="center"/>
          </w:tcPr>
          <w:p>
            <w:pPr>
              <w:pStyle w:val="TableContents"/>
              <w:spacing w:before="0" w:after="283"/>
              <w:rPr>
                <w:sz w:val="4"/>
                <w:szCs w:val="4"/>
              </w:rPr>
            </w:pPr>
            <w:r>
              <w:rPr>
                <w:sz w:val="4"/>
                <w:szCs w:val="4"/>
              </w:rPr>
            </w:r>
          </w:p>
        </w:tc>
      </w:tr>
      <w:tr>
        <w:trPr/>
        <w:tc>
          <w:tcPr>
            <w:tcW w:w="3987" w:type="dxa"/>
            <w:tcBorders/>
            <w:shd w:fill="auto" w:val="clear"/>
            <w:vAlign w:val="center"/>
          </w:tcPr>
          <w:p>
            <w:pPr>
              <w:pStyle w:val="TableContents"/>
              <w:spacing w:before="0" w:after="283"/>
              <w:rPr>
                <w:sz w:val="4"/>
                <w:szCs w:val="4"/>
              </w:rPr>
            </w:pPr>
            <w:r>
              <w:rPr>
                <w:sz w:val="4"/>
                <w:szCs w:val="4"/>
              </w:rPr>
            </w:r>
          </w:p>
        </w:tc>
        <w:tc>
          <w:tcPr>
            <w:tcW w:w="398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Delaware</w:t>
            </w:r>
          </w:p>
          <w:p>
            <w:pPr>
              <w:pStyle w:val="TableContents"/>
              <w:spacing w:before="0" w:after="0"/>
              <w:jc w:val="center"/>
              <w:rPr>
                <w:rFonts w:ascii="inherit" w:hAnsi="inherit"/>
                <w:sz w:val="13"/>
              </w:rPr>
            </w:pPr>
            <w:r>
              <w:rPr>
                <w:rFonts w:ascii="inherit" w:hAnsi="inherit"/>
                <w:sz w:val="13"/>
              </w:rPr>
              <w:t>(State or other jurisdiction</w:t>
            </w:r>
          </w:p>
          <w:p>
            <w:pPr>
              <w:pStyle w:val="TableContents"/>
              <w:spacing w:before="0" w:after="0"/>
              <w:ind w:left="0" w:right="0" w:firstLine="30"/>
              <w:jc w:val="center"/>
              <w:rPr>
                <w:rFonts w:ascii="inherit" w:hAnsi="inherit"/>
                <w:sz w:val="13"/>
              </w:rPr>
            </w:pPr>
            <w:r>
              <w:rPr>
                <w:rFonts w:ascii="inherit" w:hAnsi="inherit"/>
                <w:sz w:val="13"/>
              </w:rPr>
              <w:t>of incorporation or organization)</w:t>
            </w:r>
          </w:p>
        </w:tc>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74-2540145</w:t>
            </w:r>
          </w:p>
          <w:p>
            <w:pPr>
              <w:pStyle w:val="TableContents"/>
              <w:spacing w:before="0" w:after="0"/>
              <w:jc w:val="center"/>
              <w:rPr/>
            </w:pPr>
            <w:r>
              <w:rPr/>
              <w:t> </w:t>
            </w:r>
            <w:r>
              <w:rPr>
                <w:rFonts w:ascii="inherit" w:hAnsi="inherit"/>
                <w:sz w:val="13"/>
              </w:rPr>
              <w:t>(I.R.S. Employer</w:t>
            </w:r>
          </w:p>
          <w:p>
            <w:pPr>
              <w:pStyle w:val="TableContents"/>
              <w:spacing w:before="0" w:after="0"/>
              <w:ind w:left="0" w:right="0" w:firstLine="30"/>
              <w:jc w:val="center"/>
              <w:rPr>
                <w:rFonts w:ascii="inherit" w:hAnsi="inherit"/>
                <w:sz w:val="13"/>
              </w:rPr>
            </w:pPr>
            <w:r>
              <w:rPr>
                <w:rFonts w:ascii="inherit" w:hAnsi="inherit"/>
                <w:sz w:val="13"/>
              </w:rPr>
              <w:t>Identification Number)</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1901 Capital Parkway</w:t>
            </w:r>
          </w:p>
          <w:p>
            <w:pPr>
              <w:pStyle w:val="TableContents"/>
              <w:spacing w:before="0" w:after="0"/>
              <w:jc w:val="center"/>
              <w:rPr>
                <w:rFonts w:ascii="inherit" w:hAnsi="inherit"/>
                <w:b/>
                <w:sz w:val="13"/>
              </w:rPr>
            </w:pPr>
            <w:r>
              <w:rPr>
                <w:rFonts w:ascii="inherit" w:hAnsi="inherit"/>
                <w:b/>
                <w:sz w:val="13"/>
              </w:rPr>
              <w:t xml:space="preserve">Austin, Texas </w:t>
            </w:r>
          </w:p>
          <w:p>
            <w:pPr>
              <w:pStyle w:val="TableContents"/>
              <w:spacing w:before="0" w:after="0"/>
              <w:ind w:left="0" w:right="0" w:firstLine="30"/>
              <w:jc w:val="center"/>
              <w:rPr>
                <w:rFonts w:ascii="inherit" w:hAnsi="inherit"/>
                <w:sz w:val="13"/>
              </w:rPr>
            </w:pPr>
            <w:r>
              <w:rPr>
                <w:rFonts w:ascii="inherit" w:hAnsi="inherit"/>
                <w:sz w:val="13"/>
              </w:rPr>
              <w:t>(Address of principal executive offices)</w:t>
            </w:r>
          </w:p>
        </w:tc>
        <w:tc>
          <w:tcPr>
            <w:tcW w:w="3987" w:type="dxa"/>
            <w:tcBorders/>
            <w:shd w:fill="auto" w:val="clear"/>
            <w:vAlign w:val="center"/>
          </w:tcPr>
          <w:p>
            <w:pPr>
              <w:pStyle w:val="TableContents"/>
              <w:spacing w:before="0" w:after="0"/>
              <w:jc w:val="center"/>
              <w:rPr>
                <w:rFonts w:ascii="inherit" w:hAnsi="inherit"/>
                <w:sz w:val="13"/>
              </w:rPr>
            </w:pPr>
            <w:r>
              <w:rPr>
                <w:rFonts w:ascii="inherit" w:hAnsi="inherit"/>
                <w:sz w:val="13"/>
              </w:rPr>
            </w:r>
          </w:p>
          <w:p>
            <w:pPr>
              <w:pStyle w:val="TableContents"/>
              <w:spacing w:before="0" w:after="0"/>
              <w:jc w:val="center"/>
              <w:rPr>
                <w:rFonts w:ascii="inherit" w:hAnsi="inherit"/>
                <w:b/>
                <w:sz w:val="13"/>
              </w:rPr>
            </w:pPr>
            <w:r>
              <w:rPr>
                <w:rFonts w:ascii="inherit" w:hAnsi="inherit"/>
                <w:b/>
                <w:sz w:val="13"/>
              </w:rPr>
              <w:t>78746</w:t>
            </w:r>
          </w:p>
          <w:p>
            <w:pPr>
              <w:pStyle w:val="TableContents"/>
              <w:spacing w:before="0" w:after="0"/>
              <w:ind w:left="0" w:right="0" w:firstLine="30"/>
              <w:jc w:val="center"/>
              <w:rPr>
                <w:rFonts w:ascii="inherit" w:hAnsi="inherit"/>
                <w:sz w:val="13"/>
              </w:rPr>
            </w:pPr>
            <w:r>
              <w:rPr>
                <w:rFonts w:ascii="inherit" w:hAnsi="inherit"/>
                <w:sz w:val="13"/>
              </w:rPr>
              <w:t>(Zip code)</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7974" w:type="dxa"/>
            <w:gridSpan w:val="2"/>
            <w:tcBorders/>
            <w:shd w:fill="auto" w:val="clear"/>
            <w:vAlign w:val="center"/>
          </w:tcPr>
          <w:p>
            <w:pPr>
              <w:pStyle w:val="TableContents"/>
              <w:spacing w:before="0" w:after="0"/>
              <w:jc w:val="center"/>
              <w:rPr>
                <w:rFonts w:ascii="inherit" w:hAnsi="inherit"/>
                <w:b/>
                <w:sz w:val="17"/>
              </w:rPr>
            </w:pPr>
            <w:r>
              <w:rPr>
                <w:rFonts w:ascii="inherit" w:hAnsi="inherit"/>
                <w:b/>
                <w:sz w:val="17"/>
              </w:rPr>
              <w:t>EZCORP, INC. 2010 LONG-TERM INCENTIVE PLAN</w:t>
            </w:r>
          </w:p>
          <w:p>
            <w:pPr>
              <w:pStyle w:val="TableContents"/>
              <w:spacing w:before="0" w:after="0"/>
              <w:ind w:left="0" w:right="0" w:firstLine="30"/>
              <w:jc w:val="center"/>
              <w:rPr>
                <w:rFonts w:ascii="inherit" w:hAnsi="inherit"/>
                <w:sz w:val="13"/>
              </w:rPr>
            </w:pPr>
            <w:r>
              <w:rPr>
                <w:rFonts w:ascii="inherit" w:hAnsi="inherit"/>
                <w:sz w:val="13"/>
              </w:rPr>
              <w:t>(Full title of the plan)</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3987" w:type="dxa"/>
            <w:tcBorders/>
            <w:shd w:fill="auto" w:val="clear"/>
            <w:vAlign w:val="center"/>
          </w:tcPr>
          <w:p>
            <w:pPr>
              <w:pStyle w:val="TableContents"/>
              <w:spacing w:before="0" w:after="0"/>
              <w:jc w:val="center"/>
              <w:rPr>
                <w:rFonts w:ascii="inherit" w:hAnsi="inherit"/>
                <w:sz w:val="13"/>
              </w:rPr>
            </w:pPr>
            <w:r>
              <w:rPr>
                <w:rFonts w:ascii="inherit" w:hAnsi="inherit"/>
                <w:sz w:val="13"/>
              </w:rPr>
              <w:t>Name and address</w:t>
            </w:r>
          </w:p>
          <w:p>
            <w:pPr>
              <w:pStyle w:val="TableContents"/>
              <w:spacing w:before="0" w:after="0"/>
              <w:ind w:left="0" w:right="0" w:firstLine="30"/>
              <w:jc w:val="center"/>
              <w:rPr>
                <w:rFonts w:ascii="inherit" w:hAnsi="inherit"/>
                <w:sz w:val="13"/>
              </w:rPr>
            </w:pPr>
            <w:r>
              <w:rPr>
                <w:rFonts w:ascii="inherit" w:hAnsi="inherit"/>
                <w:sz w:val="13"/>
              </w:rPr>
              <w:t>of agent for service:</w:t>
            </w:r>
          </w:p>
        </w:tc>
        <w:tc>
          <w:tcPr>
            <w:tcW w:w="3987"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Copy of communications to:</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Thomas H. Welch, Jr.</w:t>
            </w:r>
          </w:p>
          <w:p>
            <w:pPr>
              <w:pStyle w:val="TableContents"/>
              <w:spacing w:before="0" w:after="0"/>
              <w:jc w:val="center"/>
              <w:rPr>
                <w:rFonts w:ascii="inherit" w:hAnsi="inherit"/>
                <w:b/>
                <w:sz w:val="13"/>
              </w:rPr>
            </w:pPr>
            <w:r>
              <w:rPr>
                <w:rFonts w:ascii="inherit" w:hAnsi="inherit"/>
                <w:b/>
                <w:sz w:val="13"/>
              </w:rPr>
              <w:t>Senior Vice President, General Counsel and Secretary</w:t>
            </w:r>
          </w:p>
          <w:p>
            <w:pPr>
              <w:pStyle w:val="TableContents"/>
              <w:spacing w:before="0" w:after="0"/>
              <w:jc w:val="center"/>
              <w:rPr>
                <w:rFonts w:ascii="inherit" w:hAnsi="inherit"/>
                <w:b/>
                <w:sz w:val="13"/>
              </w:rPr>
            </w:pPr>
            <w:r>
              <w:rPr>
                <w:rFonts w:ascii="inherit" w:hAnsi="inherit"/>
                <w:b/>
                <w:sz w:val="13"/>
              </w:rPr>
              <w:t>EZCORP, Inc.</w:t>
            </w:r>
          </w:p>
          <w:p>
            <w:pPr>
              <w:pStyle w:val="TableContents"/>
              <w:spacing w:before="0" w:after="0"/>
              <w:jc w:val="center"/>
              <w:rPr>
                <w:rFonts w:ascii="inherit" w:hAnsi="inherit"/>
                <w:b/>
                <w:sz w:val="13"/>
              </w:rPr>
            </w:pPr>
            <w:r>
              <w:rPr>
                <w:rFonts w:ascii="inherit" w:hAnsi="inherit"/>
                <w:b/>
                <w:sz w:val="13"/>
              </w:rPr>
              <w:t>1901 Capital Parkway</w:t>
            </w:r>
          </w:p>
          <w:p>
            <w:pPr>
              <w:pStyle w:val="TableContents"/>
              <w:spacing w:before="0" w:after="0"/>
              <w:ind w:left="0" w:right="0" w:firstLine="30"/>
              <w:jc w:val="center"/>
              <w:rPr>
                <w:rFonts w:ascii="inherit" w:hAnsi="inherit"/>
                <w:b/>
                <w:sz w:val="13"/>
              </w:rPr>
            </w:pPr>
            <w:r>
              <w:rPr>
                <w:rFonts w:ascii="inherit" w:hAnsi="inherit"/>
                <w:b/>
                <w:sz w:val="13"/>
              </w:rPr>
              <w:t>Austin, Texas 78746</w:t>
            </w:r>
          </w:p>
        </w:tc>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Christine A. Hathaway</w:t>
            </w:r>
          </w:p>
          <w:p>
            <w:pPr>
              <w:pStyle w:val="TableContents"/>
              <w:spacing w:before="0" w:after="0"/>
              <w:jc w:val="center"/>
              <w:rPr>
                <w:rFonts w:ascii="inherit" w:hAnsi="inherit"/>
                <w:b/>
                <w:sz w:val="13"/>
              </w:rPr>
            </w:pPr>
            <w:r>
              <w:rPr>
                <w:rFonts w:ascii="inherit" w:hAnsi="inherit"/>
                <w:b/>
                <w:sz w:val="13"/>
              </w:rPr>
              <w:t>Vinson &amp; Elkins L.L.P.</w:t>
            </w:r>
          </w:p>
          <w:p>
            <w:pPr>
              <w:pStyle w:val="TableContents"/>
              <w:spacing w:before="0" w:after="0"/>
              <w:jc w:val="center"/>
              <w:rPr>
                <w:rFonts w:ascii="inherit" w:hAnsi="inherit"/>
                <w:b/>
                <w:sz w:val="13"/>
              </w:rPr>
            </w:pPr>
            <w:r>
              <w:rPr>
                <w:rFonts w:ascii="inherit" w:hAnsi="inherit"/>
                <w:b/>
                <w:sz w:val="13"/>
              </w:rPr>
              <w:t>2001 Ross Avenue, Suite 3700</w:t>
            </w:r>
          </w:p>
          <w:p>
            <w:pPr>
              <w:pStyle w:val="TableContents"/>
              <w:spacing w:before="0" w:after="0"/>
              <w:jc w:val="center"/>
              <w:rPr>
                <w:rFonts w:ascii="inherit" w:hAnsi="inherit"/>
                <w:b/>
                <w:sz w:val="13"/>
              </w:rPr>
            </w:pPr>
            <w:r>
              <w:rPr>
                <w:rFonts w:ascii="inherit" w:hAnsi="inherit"/>
                <w:b/>
                <w:sz w:val="13"/>
              </w:rPr>
              <w:t>Dallas, Texas 75201-2975</w:t>
            </w:r>
          </w:p>
          <w:p>
            <w:pPr>
              <w:pStyle w:val="TableContents"/>
              <w:spacing w:before="0" w:after="0"/>
              <w:jc w:val="center"/>
              <w:rPr>
                <w:rFonts w:ascii="inherit" w:hAnsi="inherit"/>
                <w:b/>
                <w:sz w:val="13"/>
              </w:rPr>
            </w:pPr>
            <w:r>
              <w:rPr>
                <w:rFonts w:ascii="inherit" w:hAnsi="inherit"/>
                <w:b/>
                <w:sz w:val="13"/>
              </w:rPr>
              <w:t>214-220-7700</w:t>
            </w:r>
          </w:p>
          <w:p>
            <w:pPr>
              <w:pStyle w:val="TableContents"/>
              <w:spacing w:before="0" w:after="0"/>
              <w:ind w:left="0" w:right="0" w:firstLine="30"/>
              <w:jc w:val="center"/>
              <w:rPr>
                <w:rFonts w:ascii="inherit" w:hAnsi="inherit"/>
                <w:sz w:val="13"/>
              </w:rPr>
            </w:pPr>
            <w:r>
              <w:rPr>
                <w:rFonts w:ascii="inherit" w:hAnsi="inherit"/>
                <w:sz w:val="13"/>
              </w:rPr>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7974" w:type="dxa"/>
            <w:gridSpan w:val="2"/>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Telephone number, including area code, of agent for service:</w:t>
            </w:r>
          </w:p>
        </w:tc>
      </w:tr>
      <w:tr>
        <w:trPr/>
        <w:tc>
          <w:tcPr>
            <w:tcW w:w="7974" w:type="dxa"/>
            <w:gridSpan w:val="2"/>
            <w:tcBorders/>
            <w:shd w:fill="auto" w:val="clear"/>
            <w:vAlign w:val="center"/>
          </w:tcPr>
          <w:p>
            <w:pPr>
              <w:pStyle w:val="TableContents"/>
              <w:spacing w:before="0" w:after="0"/>
              <w:jc w:val="center"/>
              <w:rPr>
                <w:rFonts w:ascii="inherit" w:hAnsi="inherit"/>
                <w:b/>
                <w:sz w:val="13"/>
              </w:rPr>
            </w:pPr>
            <w:r>
              <w:rPr>
                <w:rFonts w:ascii="inherit" w:hAnsi="inherit"/>
                <w:b/>
                <w:sz w:val="13"/>
              </w:rPr>
              <w:t>(512) 314-3400</w:t>
            </w:r>
          </w:p>
        </w:tc>
      </w:tr>
    </w:tbl>
    <w:p>
      <w:pPr>
        <w:pStyle w:val="TextBody"/>
        <w:spacing w:lineRule="auto" w:line="288" w:before="0" w:after="0"/>
        <w:jc w:val="left"/>
        <w:rPr>
          <w:rFonts w:ascii="inherit" w:hAnsi="inherit"/>
          <w:sz w:val="13"/>
        </w:rPr>
      </w:pPr>
      <w:r>
        <w:rPr>
          <w:rFonts w:ascii="inherit" w:hAnsi="inherit"/>
          <w:sz w:val="13"/>
        </w:rPr>
      </w:r>
    </w:p>
    <w:p>
      <w:pPr>
        <w:pStyle w:val="TextBody"/>
        <w:spacing w:lineRule="auto" w:line="288" w:before="0" w:after="0"/>
        <w:jc w:val="left"/>
        <w:rPr>
          <w:rFonts w:ascii="inherit" w:hAnsi="inherit"/>
          <w:sz w:val="17"/>
        </w:rPr>
      </w:pPr>
      <w:r>
        <w:rPr>
          <w:rFonts w:ascii="inherit" w:hAnsi="inherit"/>
          <w:sz w:val="17"/>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lineRule="auto" w:line="288" w:before="0" w:after="0"/>
        <w:jc w:val="left"/>
        <w:rPr>
          <w:sz w:val="13"/>
        </w:rPr>
      </w:pPr>
      <w:r>
        <w:rPr>
          <w:rFonts w:ascii="inherit" w:hAnsi="inherit"/>
          <w:sz w:val="13"/>
        </w:rPr>
        <w:t>Large accelerated filer    </w:t>
      </w:r>
      <w:r>
        <w:rPr>
          <w:rFonts w:ascii="Wingdings" w:hAnsi="Wingdings"/>
          <w:sz w:val="13"/>
        </w:rPr>
        <w:t>x</w:t>
      </w:r>
      <w:r>
        <w:rPr>
          <w:sz w:val="13"/>
        </w:rPr>
        <w:t>    </w:t>
      </w:r>
      <w:r>
        <w:rPr>
          <w:rFonts w:ascii="inherit" w:hAnsi="inherit"/>
          <w:sz w:val="13"/>
        </w:rPr>
        <w:t>Accelerated filer    </w:t>
      </w:r>
      <w:r>
        <w:rPr>
          <w:rFonts w:ascii="Wingdings" w:hAnsi="Wingdings"/>
          <w:sz w:val="13"/>
        </w:rPr>
        <w:t>o</w:t>
      </w:r>
      <w:r>
        <w:rPr>
          <w:sz w:val="13"/>
        </w:rPr>
        <w:t>    </w:t>
      </w:r>
      <w:r>
        <w:rPr>
          <w:rFonts w:ascii="inherit" w:hAnsi="inherit"/>
          <w:sz w:val="13"/>
        </w:rPr>
        <w:t>Non-accelerated filer    </w:t>
      </w:r>
      <w:r>
        <w:rPr>
          <w:rFonts w:ascii="Wingdings" w:hAnsi="Wingdings"/>
          <w:sz w:val="13"/>
        </w:rPr>
        <w:t>o</w:t>
      </w:r>
      <w:r>
        <w:rPr>
          <w:sz w:val="13"/>
        </w:rPr>
        <w:t>    </w:t>
      </w:r>
      <w:r>
        <w:rPr>
          <w:rFonts w:ascii="inherit" w:hAnsi="inherit"/>
          <w:sz w:val="13"/>
        </w:rPr>
        <w:t>Smaller reporting company    </w:t>
      </w:r>
      <w:r>
        <w:rPr>
          <w:rFonts w:ascii="Wingdings" w:hAnsi="Wingdings"/>
          <w:sz w:val="13"/>
        </w:rPr>
        <w:t>o</w:t>
      </w:r>
    </w:p>
    <w:p>
      <w:pPr>
        <w:pStyle w:val="TextBody"/>
        <w:spacing w:lineRule="auto" w:line="288" w:before="0" w:after="0"/>
        <w:ind w:left="0" w:right="0" w:firstLine="4080"/>
        <w:jc w:val="left"/>
        <w:rPr>
          <w:rFonts w:ascii="inherit" w:hAnsi="inherit"/>
          <w:sz w:val="12"/>
        </w:rPr>
      </w:pPr>
      <w:r>
        <w:rPr>
          <w:rFonts w:ascii="inherit" w:hAnsi="inherit"/>
          <w:sz w:val="12"/>
        </w:rPr>
        <w:t>(Do not check if a smaller reporting company)</w:t>
      </w:r>
    </w:p>
    <w:p>
      <w:pPr>
        <w:pStyle w:val="TextBody"/>
        <w:spacing w:before="0" w:after="0"/>
        <w:rPr/>
      </w:pPr>
      <w:r>
        <w:rPr/>
      </w:r>
    </w:p>
    <w:p>
      <w:pPr>
        <w:pStyle w:val="TextBody"/>
        <w:spacing w:lineRule="auto" w:line="288" w:before="0" w:after="0"/>
        <w:ind w:left="0" w:right="0" w:firstLine="450"/>
        <w:jc w:val="left"/>
        <w:rPr>
          <w:rFonts w:ascii="inherit" w:hAnsi="inherit"/>
          <w:sz w:val="15"/>
        </w:rPr>
      </w:pPr>
      <w:r>
        <w:rPr>
          <w:rFonts w:ascii="inherit" w:hAnsi="inherit"/>
          <w:sz w:val="15"/>
        </w:rPr>
        <w:t>US 2104006v.9</w:t>
      </w:r>
    </w:p>
    <w:p>
      <w:pPr>
        <w:pStyle w:val="TextBody"/>
        <w:spacing w:lineRule="auto" w:line="288"/>
        <w:rPr>
          <w:rFonts w:ascii="inherit" w:hAnsi="inherit"/>
          <w:sz w:val="17"/>
        </w:rPr>
      </w:pPr>
      <w:r>
        <w:rPr>
          <w:rFonts w:ascii="inherit" w:hAnsi="inherit"/>
          <w:sz w:val="17"/>
        </w:rPr>
      </w:r>
      <w:r>
        <w:br w:type="page"/>
      </w:r>
    </w:p>
    <w:p>
      <w:pPr>
        <w:pStyle w:val="TextBody"/>
        <w:spacing w:before="0" w:after="0"/>
        <w:rPr/>
      </w:pPr>
      <w:r>
        <w:rPr/>
      </w:r>
      <w:bookmarkStart w:id="3" w:name="sfef9f108cfd3423abf93692a1531399e"/>
      <w:bookmarkStart w:id="4" w:name="sfef9f108cfd3423abf93692a1531399e"/>
      <w:bookmarkEnd w:id="4"/>
    </w:p>
    <w:p>
      <w:pPr>
        <w:pStyle w:val="TextBody"/>
        <w:spacing w:lineRule="auto" w:line="288" w:before="0" w:after="0"/>
        <w:jc w:val="center"/>
        <w:rPr>
          <w:rFonts w:ascii="inherit" w:hAnsi="inherit"/>
          <w:b/>
          <w:sz w:val="17"/>
        </w:rPr>
      </w:pPr>
      <w:r>
        <w:rPr>
          <w:rFonts w:ascii="inherit" w:hAnsi="inherit"/>
          <w:b/>
          <w:sz w:val="17"/>
        </w:rPr>
        <w:t>DEREGISTRATION OF SECURITIES</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ind w:left="0" w:right="0" w:firstLine="360"/>
        <w:jc w:val="left"/>
        <w:rPr>
          <w:sz w:val="17"/>
        </w:rPr>
      </w:pPr>
      <w:r>
        <w:rPr>
          <w:rFonts w:ascii="inherit" w:hAnsi="inherit"/>
          <w:sz w:val="17"/>
        </w:rPr>
        <w:t>This Post-Effective Amendment No. 1 to the Registration Statement on Form S-8 (File No. 333-166950) (the “</w:t>
      </w:r>
      <w:r>
        <w:rPr>
          <w:rFonts w:ascii="inherit" w:hAnsi="inherit"/>
          <w:sz w:val="17"/>
          <w:u w:val="single"/>
        </w:rPr>
        <w:t>Registration Statement</w:t>
      </w:r>
      <w:r>
        <w:rPr>
          <w:sz w:val="17"/>
        </w:rPr>
        <w:t>”</w:t>
      </w:r>
      <w:r>
        <w:rPr>
          <w:rFonts w:ascii="inherit" w:hAnsi="inherit"/>
          <w:sz w:val="17"/>
        </w:rPr>
        <w:t>) filed by EZCORP, Inc., a Delaware corporation (“</w:t>
      </w:r>
      <w:r>
        <w:rPr>
          <w:rFonts w:ascii="inherit" w:hAnsi="inherit"/>
          <w:sz w:val="17"/>
          <w:u w:val="single"/>
        </w:rPr>
        <w:t>Registrant</w:t>
      </w:r>
      <w:r>
        <w:rPr>
          <w:sz w:val="17"/>
        </w:rPr>
        <w:t>”</w:t>
      </w:r>
      <w:r>
        <w:rPr>
          <w:rFonts w:ascii="inherit" w:hAnsi="inherit"/>
          <w:sz w:val="17"/>
        </w:rPr>
        <w:t>), with the Securities and Exchange Commission on May 19, 2010, which registered 1,575,750 shares of Registrant’s Class A Non-Voting Common Stock, par value $0.01 per share (“</w:t>
      </w:r>
      <w:r>
        <w:rPr>
          <w:rFonts w:ascii="inherit" w:hAnsi="inherit"/>
          <w:sz w:val="17"/>
          <w:u w:val="single"/>
        </w:rPr>
        <w:t>Class A Common Stock</w:t>
      </w:r>
      <w:r>
        <w:rPr>
          <w:sz w:val="17"/>
        </w:rPr>
        <w:t>”</w:t>
      </w:r>
      <w:r>
        <w:rPr>
          <w:rFonts w:ascii="inherit" w:hAnsi="inherit"/>
          <w:sz w:val="17"/>
        </w:rPr>
        <w:t>), under the EZCORP, Inc. 2010 Long-Term Incentive Plan, is being filed to deregister any securities registered pursuant to the Registration Statement and not otherwise sold thereunder.</w:t>
      </w:r>
    </w:p>
    <w:p>
      <w:pPr>
        <w:pStyle w:val="TextBody"/>
        <w:spacing w:lineRule="auto" w:line="288" w:before="0" w:after="0"/>
        <w:ind w:left="0" w:right="0" w:firstLine="360"/>
        <w:jc w:val="left"/>
        <w:rPr>
          <w:sz w:val="17"/>
        </w:rPr>
      </w:pPr>
      <w:r>
        <w:rPr>
          <w:rFonts w:ascii="inherit" w:hAnsi="inherit"/>
          <w:sz w:val="17"/>
        </w:rPr>
        <w:t>On October 2, 2013, pursuant to the Agreement and Plan of Merger, dated as of October 1, 2013 (the “Merger Agreement”), between Registrant and EZMergeco, Inc., a Delaware corporation and a newly formed direct wholly owned subsidiary of Registrant (“</w:t>
      </w:r>
      <w:r>
        <w:rPr>
          <w:rFonts w:ascii="inherit" w:hAnsi="inherit"/>
          <w:sz w:val="17"/>
          <w:u w:val="single"/>
        </w:rPr>
        <w:t>MergeCo</w:t>
      </w:r>
      <w:r>
        <w:rPr>
          <w:sz w:val="17"/>
        </w:rPr>
        <w:t>”</w:t>
      </w:r>
      <w:r>
        <w:rPr>
          <w:rFonts w:ascii="inherit" w:hAnsi="inherit"/>
          <w:sz w:val="17"/>
        </w:rPr>
        <w:t>), in an internal reorganization transaction structured as a merger, Registrant merged with and into MergeCo, with MergeCo continuing as the surviving corporation (the “Reorganization”).  At the effective time of the Reorganization, MergeCo changed its name to “EZCORP, Inc.” (referred to herein as “</w:t>
      </w:r>
      <w:r>
        <w:rPr>
          <w:rFonts w:ascii="inherit" w:hAnsi="inherit"/>
          <w:sz w:val="17"/>
          <w:u w:val="single"/>
        </w:rPr>
        <w:t>EZCORP</w:t>
      </w:r>
      <w:r>
        <w:rPr>
          <w:sz w:val="17"/>
        </w:rPr>
        <w:t>”</w:t>
      </w:r>
      <w:r>
        <w:rPr>
          <w:rFonts w:ascii="inherit" w:hAnsi="inherit"/>
          <w:sz w:val="17"/>
        </w:rPr>
        <w:t>) and succeeded to all of the assets and liabilities of Registrant.  EZCORP has conducted and will continue to conduct the same business and operations as Registrant immediately prior to the Reorganization.</w:t>
      </w:r>
    </w:p>
    <w:p>
      <w:pPr>
        <w:pStyle w:val="TextBody"/>
        <w:spacing w:lineRule="auto" w:line="288" w:before="0" w:after="0"/>
        <w:ind w:left="0" w:right="0" w:firstLine="360"/>
        <w:jc w:val="left"/>
        <w:rPr>
          <w:rFonts w:ascii="inherit" w:hAnsi="inherit"/>
          <w:sz w:val="17"/>
        </w:rPr>
      </w:pPr>
      <w:r>
        <w:rPr>
          <w:rFonts w:ascii="inherit" w:hAnsi="inherit"/>
          <w:sz w:val="17"/>
        </w:rPr>
        <w:t xml:space="preserve">As a result of the Reorganization, Registrant has terminated any and all offerings of its securities pursuant to its existing registration statements, including the Registration Statement. Accordingly, Registrant hereby terminates the effectiveness of the Registration Statement and, in accordance with an undertaking made by Registrant in Part II of the Registration Statement to remove from registration by means of a post-effective amendment any of the securities being registered which remain unsold at the termination of the offering, removes from registration any and all Class A Common Stock registered but unsold under the Registration Statement as of the date hereof. </w:t>
      </w:r>
    </w:p>
    <w:p>
      <w:pPr>
        <w:pStyle w:val="TextBody"/>
        <w:rPr/>
      </w:pPr>
      <w:r>
        <w:rPr/>
      </w:r>
      <w:r>
        <w:br w:type="page"/>
      </w:r>
    </w:p>
    <w:p>
      <w:pPr>
        <w:pStyle w:val="TextBody"/>
        <w:spacing w:before="0" w:after="0"/>
        <w:rPr/>
      </w:pPr>
      <w:r>
        <w:rPr/>
      </w:r>
      <w:bookmarkStart w:id="5" w:name="s42B22A82217631EF61337F196CC23315"/>
      <w:bookmarkStart w:id="6" w:name="s42B22A82217631EF61337F196CC23315"/>
      <w:bookmarkEnd w:id="6"/>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ind w:left="0" w:right="0" w:firstLine="360"/>
        <w:jc w:val="left"/>
        <w:rPr>
          <w:rFonts w:ascii="inherit" w:hAnsi="inherit"/>
          <w:sz w:val="17"/>
        </w:rPr>
      </w:pPr>
      <w:r>
        <w:rPr>
          <w:rFonts w:ascii="inherit" w:hAnsi="inherit"/>
          <w:sz w:val="17"/>
        </w:rPr>
        <w:t>Pursuant to the requirements of the Securities Act of 1933 and Rule 478 thereunder,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Austin, State of Texas, on this 4th day of October, 2013.</w:t>
      </w:r>
    </w:p>
    <w:tbl>
      <w:tblPr>
        <w:tblW w:w="8511" w:type="dxa"/>
        <w:jc w:val="center"/>
        <w:tblInd w:w="0" w:type="dxa"/>
        <w:tblCellMar>
          <w:top w:w="0" w:type="dxa"/>
          <w:left w:w="0" w:type="dxa"/>
          <w:bottom w:w="0" w:type="dxa"/>
          <w:right w:w="0" w:type="dxa"/>
        </w:tblCellMar>
      </w:tblPr>
      <w:tblGrid>
        <w:gridCol w:w="1702"/>
        <w:gridCol w:w="2724"/>
        <w:gridCol w:w="340"/>
        <w:gridCol w:w="2724"/>
        <w:gridCol w:w="1021"/>
      </w:tblGrid>
      <w:tr>
        <w:trPr/>
        <w:tc>
          <w:tcPr>
            <w:tcW w:w="8511" w:type="dxa"/>
            <w:gridSpan w:val="5"/>
            <w:tcBorders/>
            <w:shd w:fill="auto" w:val="clear"/>
            <w:vAlign w:val="center"/>
          </w:tcPr>
          <w:p>
            <w:pPr>
              <w:pStyle w:val="TableContents"/>
              <w:spacing w:before="0" w:after="283"/>
              <w:rPr>
                <w:sz w:val="4"/>
                <w:szCs w:val="4"/>
              </w:rPr>
            </w:pPr>
            <w:r>
              <w:rPr>
                <w:sz w:val="4"/>
                <w:szCs w:val="4"/>
              </w:rPr>
            </w:r>
          </w:p>
        </w:tc>
      </w:tr>
      <w:tr>
        <w:trPr/>
        <w:tc>
          <w:tcPr>
            <w:tcW w:w="1702" w:type="dxa"/>
            <w:tcBorders/>
            <w:shd w:fill="auto" w:val="clear"/>
            <w:vAlign w:val="center"/>
          </w:tcPr>
          <w:p>
            <w:pPr>
              <w:pStyle w:val="TableContents"/>
              <w:spacing w:before="0" w:after="283"/>
              <w:rPr>
                <w:sz w:val="4"/>
                <w:szCs w:val="4"/>
              </w:rPr>
            </w:pPr>
            <w:r>
              <w:rPr>
                <w:sz w:val="4"/>
                <w:szCs w:val="4"/>
              </w:rPr>
            </w:r>
          </w:p>
        </w:tc>
        <w:tc>
          <w:tcPr>
            <w:tcW w:w="2724"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2724"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064"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EZCORP, INC.</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272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Thomas H. Welch, Jr.</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Name: Thomas H. Welch, Jr.</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Title: Agent for Service</w:t>
            </w:r>
          </w:p>
        </w:tc>
        <w:tc>
          <w:tcPr>
            <w:tcW w:w="1021" w:type="dxa"/>
            <w:tcBorders/>
            <w:shd w:fill="auto" w:val="clear"/>
            <w:vAlign w:val="center"/>
          </w:tcPr>
          <w:p>
            <w:pPr>
              <w:pStyle w:val="TableContents"/>
              <w:spacing w:before="0" w:after="0"/>
              <w:rPr/>
            </w:pPr>
            <w:r>
              <w:rPr/>
              <w:t> </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Note: No other person is required to sign this Post-Effective Amendment No. 1 to the Registration Statement in reliance on Rule 478 of the Securities Act of 1933.</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632</Words>
  <CharactersWithSpaces>4220</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