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20, 2018 (March 19, 2018)</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5.07 </w:t>
      </w:r>
      <w:r>
        <w:rPr>
          <w:rFonts w:ascii="Arial" w:cs="Arial" w:eastAsia="Arial" w:hAnsi="Arial"/>
          <w:sz w:val="18"/>
          <w:szCs w:val="18"/>
          <w:color w:val="auto"/>
        </w:rPr>
        <w:t>—</w:t>
      </w:r>
      <w:r>
        <w:rPr>
          <w:rFonts w:ascii="Arial" w:cs="Arial" w:eastAsia="Arial" w:hAnsi="Arial"/>
          <w:sz w:val="18"/>
          <w:szCs w:val="18"/>
          <w:b w:val="1"/>
          <w:bCs w:val="1"/>
          <w:color w:val="auto"/>
        </w:rPr>
        <w:t xml:space="preserve"> Submission of Matters to a Vote of Security Holders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19, 2018, the sole holder of the company’s Class B Voting Common Stock (the "Voting Stockholder") re-elected the following persons to serve on the Company’s Board of Directors, effective at the Annual Meeting of Stockholders held on March 20, 2018: Matthew W. Appel, Santiago Creel Miranda, Peter Cumins, Lachlan P. Given, Stuart I. Grimshaw, Pablo Lagos Espinosa, Thomas C. Roberts and Joseph L. Rotunda. Each of such persons was previously serving on the Board of Directors, and as a result of his re-election, each shall serve an additional one-year term until the next annual meeting of stockholders (or, if earlier, until his death, removal or resignation).</w:t>
      </w:r>
    </w:p>
    <w:p>
      <w:pPr>
        <w:spacing w:after="0" w:line="13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March 19, 2018, there were 2,970,171 shares of the company's Class B Voting Common Stock outstanding, all of which are held by MS Pawn Limited Partnership.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7.01 </w:t>
      </w:r>
      <w:r>
        <w:rPr>
          <w:rFonts w:ascii="Arial" w:cs="Arial" w:eastAsia="Arial" w:hAnsi="Arial"/>
          <w:sz w:val="18"/>
          <w:szCs w:val="18"/>
          <w:color w:val="auto"/>
        </w:rPr>
        <w:t>—</w:t>
      </w:r>
      <w:r>
        <w:rPr>
          <w:rFonts w:ascii="Arial" w:cs="Arial" w:eastAsia="Arial" w:hAnsi="Arial"/>
          <w:sz w:val="18"/>
          <w:szCs w:val="18"/>
          <w:b w:val="1"/>
          <w:bCs w:val="1"/>
          <w:color w:val="auto"/>
        </w:rPr>
        <w:t xml:space="preserve"> Regulation FD Disclosure</w:t>
      </w:r>
    </w:p>
    <w:p>
      <w:pPr>
        <w:spacing w:after="0" w:line="175"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On March 20, 2018, the Company held its Annual Meeting of Stockholders. The Company’s publicly-traded Class A Non-Voting Common Stock is not entitled to vote on any matters, and thus, no proposals or other matters were presented for voting at the meeting. Management discussed the Company’s strategic plans and initiatives and responded to stockholders’ questions. A copy of the presentation materials that management reviewed during the Company’s Annual Meeting of Stockholders has been posted in the Investor Relations section of the Company’s website at www.ezcorp.com.</w:t>
      </w:r>
    </w:p>
    <w:p>
      <w:pPr>
        <w:spacing w:after="0" w:line="1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set forth, or referred to, in this Item 7.01 shall not be deemed to be incorporated by reference into any registration statement or other document pursuant to the Securities Act of 1933, as amended, unless such subsequent filing specifically references this Item 7.01 of this Current Report on Form 8-K.</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March 20,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360"/>
      </w:cols>
      <w:pgMar w:left="240" w:top="74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2020-01-14T18:37:07Z</dcterms:created>
  <dcterms:modified xsi:type="dcterms:W3CDTF">2020-01-14T18:37:07Z</dcterms:modified>
</cp:coreProperties>
</file>