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5"/>
        </w:trPr>
        <w:tc>
          <w:tcPr>
            <w:tcW w:w="2000" w:type="dxa"/>
            <w:vAlign w:val="bottom"/>
          </w:tcPr>
          <w:p>
            <w:pPr>
              <w:spacing w:after="0"/>
              <w:rPr>
                <w:sz w:val="20"/>
                <w:szCs w:val="20"/>
                <w:color w:val="auto"/>
              </w:rPr>
            </w:pPr>
            <w:r>
              <w:rPr>
                <w:rFonts w:ascii="Arial" w:cs="Arial" w:eastAsia="Arial" w:hAnsi="Arial"/>
                <w:sz w:val="21"/>
                <w:szCs w:val="21"/>
                <w:color w:val="auto"/>
              </w:rPr>
              <w:t>SEC Form 3</w:t>
            </w:r>
          </w:p>
        </w:tc>
        <w:tc>
          <w:tcPr>
            <w:tcW w:w="7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00" w:type="dxa"/>
            <w:vAlign w:val="bottom"/>
          </w:tcPr>
          <w:p>
            <w:pPr>
              <w:ind w:left="720"/>
              <w:spacing w:after="0"/>
              <w:rPr>
                <w:sz w:val="20"/>
                <w:szCs w:val="20"/>
                <w:color w:val="auto"/>
              </w:rPr>
            </w:pPr>
            <w:r>
              <w:rPr>
                <w:rFonts w:ascii="Arial" w:cs="Arial" w:eastAsia="Arial" w:hAnsi="Arial"/>
                <w:sz w:val="23"/>
                <w:szCs w:val="23"/>
                <w:b w:val="1"/>
                <w:bCs w:val="1"/>
                <w:color w:val="auto"/>
              </w:rPr>
              <w:t>FORM 3</w:t>
            </w:r>
          </w:p>
        </w:tc>
        <w:tc>
          <w:tcPr>
            <w:tcW w:w="7200" w:type="dxa"/>
            <w:vAlign w:val="bottom"/>
          </w:tcPr>
          <w:p>
            <w:pPr>
              <w:jc w:val="center"/>
              <w:ind w:lef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200" w:type="dxa"/>
            <w:vAlign w:val="bottom"/>
            <w:vMerge w:val="restart"/>
          </w:tcPr>
          <w:p>
            <w:pPr>
              <w:jc w:val="center"/>
              <w:ind w:lef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00" w:type="dxa"/>
            <w:vAlign w:val="bottom"/>
          </w:tcPr>
          <w:p>
            <w:pPr>
              <w:spacing w:after="0"/>
              <w:rPr>
                <w:sz w:val="8"/>
                <w:szCs w:val="8"/>
                <w:color w:val="auto"/>
              </w:rPr>
            </w:pPr>
          </w:p>
        </w:tc>
        <w:tc>
          <w:tcPr>
            <w:tcW w:w="7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0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7200" w:type="dxa"/>
            <w:vAlign w:val="bottom"/>
            <w:vMerge w:val="restart"/>
          </w:tcPr>
          <w:p>
            <w:pPr>
              <w:jc w:val="center"/>
              <w:ind w:left="156"/>
              <w:spacing w:after="0" w:line="190" w:lineRule="exact"/>
              <w:rPr>
                <w:sz w:val="20"/>
                <w:szCs w:val="20"/>
                <w:color w:val="auto"/>
              </w:rPr>
            </w:pPr>
            <w:r>
              <w:rPr>
                <w:rFonts w:ascii="Arial" w:cs="Arial" w:eastAsia="Arial" w:hAnsi="Arial"/>
                <w:sz w:val="21"/>
                <w:szCs w:val="21"/>
                <w:b w:val="1"/>
                <w:bCs w:val="1"/>
                <w:color w:val="auto"/>
                <w:w w:val="98"/>
              </w:rPr>
              <w:t>INITIAL STATEMENT OF BENEFICIAL OWNERSHIP OF SECURITIES</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7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60" w:type="dxa"/>
            <w:vAlign w:val="bottom"/>
            <w:vMerge w:val="restart"/>
          </w:tcPr>
          <w:p>
            <w:pPr>
              <w:jc w:val="right"/>
              <w:ind w:right="22"/>
              <w:spacing w:after="0"/>
              <w:rPr>
                <w:sz w:val="20"/>
                <w:szCs w:val="20"/>
                <w:color w:val="auto"/>
              </w:rPr>
            </w:pPr>
            <w:r>
              <w:rPr>
                <w:rFonts w:ascii="Arial" w:cs="Arial" w:eastAsia="Arial" w:hAnsi="Arial"/>
                <w:sz w:val="12"/>
                <w:szCs w:val="12"/>
                <w:color w:val="auto"/>
                <w:w w:val="97"/>
              </w:rPr>
              <w:t>3235-0104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0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7200" w:type="dxa"/>
            <w:vAlign w:val="bottom"/>
            <w:vMerge w:val="restart"/>
          </w:tcPr>
          <w:p>
            <w:pPr>
              <w:jc w:val="center"/>
              <w:ind w:lef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6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00" w:type="dxa"/>
            <w:vAlign w:val="bottom"/>
          </w:tcPr>
          <w:p>
            <w:pPr>
              <w:spacing w:after="0"/>
              <w:rPr>
                <w:sz w:val="3"/>
                <w:szCs w:val="3"/>
                <w:color w:val="auto"/>
              </w:rPr>
            </w:pPr>
          </w:p>
        </w:tc>
        <w:tc>
          <w:tcPr>
            <w:tcW w:w="7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7176135</wp:posOffset>
            </wp:positionH>
            <wp:positionV relativeFrom="paragraph">
              <wp:posOffset>-629285</wp:posOffset>
            </wp:positionV>
            <wp:extent cx="58420" cy="642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16510</wp:posOffset>
            </wp:positionV>
            <wp:extent cx="7277735" cy="3762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735" cy="376237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p>
      <w:pPr>
        <w:spacing w:after="0" w:line="110"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Ashby Mark</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9" w:hanging="9"/>
        <w:spacing w:after="0" w:line="232"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Date of Event Requiring Statement (Month/Day/Year)</w:t>
      </w:r>
    </w:p>
    <w:p>
      <w:pPr>
        <w:jc w:val="center"/>
        <w:ind w:right="751"/>
        <w:spacing w:after="0"/>
        <w:rPr>
          <w:sz w:val="20"/>
          <w:szCs w:val="20"/>
          <w:color w:val="auto"/>
        </w:rPr>
      </w:pPr>
      <w:r>
        <w:rPr>
          <w:rFonts w:ascii="Arial" w:cs="Arial" w:eastAsia="Arial" w:hAnsi="Arial"/>
          <w:sz w:val="15"/>
          <w:szCs w:val="15"/>
          <w:color w:val="0000FF"/>
        </w:rPr>
        <w:t>05/26/2015</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8"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EZCORP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EZPW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66" w:lineRule="exact"/>
        <w:rPr>
          <w:sz w:val="24"/>
          <w:szCs w:val="24"/>
          <w:color w:val="auto"/>
        </w:rPr>
      </w:pPr>
    </w:p>
    <w:p>
      <w:pPr>
        <w:sectPr>
          <w:pgSz w:w="11900" w:h="16838" w:orient="portrait"/>
          <w:cols w:equalWidth="0" w:num="3">
            <w:col w:w="2771" w:space="720"/>
            <w:col w:w="1529" w:space="160"/>
            <w:col w:w="6240"/>
          </w:cols>
          <w:pgMar w:left="240" w:top="222" w:right="239" w:bottom="1440" w:gutter="0" w:footer="0" w:header="0"/>
          <w:type w:val="continuous"/>
        </w:sectPr>
      </w:pPr>
    </w:p>
    <w:p>
      <w:pPr>
        <w:spacing w:after="0" w:line="11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(Last)</w:t>
            </w:r>
          </w:p>
        </w:tc>
        <w:tc>
          <w:tcPr>
            <w:tcW w:w="1200" w:type="dxa"/>
            <w:vAlign w:val="bottom"/>
          </w:tcPr>
          <w:p>
            <w:pPr>
              <w:ind w:left="240"/>
              <w:spacing w:after="0"/>
              <w:rPr>
                <w:sz w:val="20"/>
                <w:szCs w:val="20"/>
                <w:color w:val="auto"/>
              </w:rPr>
            </w:pPr>
            <w:r>
              <w:rPr>
                <w:rFonts w:ascii="Arial" w:cs="Arial" w:eastAsia="Arial" w:hAnsi="Arial"/>
                <w:sz w:val="13"/>
                <w:szCs w:val="13"/>
                <w:color w:val="auto"/>
              </w:rPr>
              <w:t>(First)</w:t>
            </w:r>
          </w:p>
        </w:tc>
        <w:tc>
          <w:tcPr>
            <w:tcW w:w="11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1"/>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w w:val="99"/>
              </w:rPr>
              <w:t>1901 CAPITAL PARKWAY</w:t>
            </w:r>
          </w:p>
        </w:tc>
        <w:tc>
          <w:tcPr>
            <w:tcW w:w="1180" w:type="dxa"/>
            <w:vAlign w:val="bottom"/>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r>
      <w:tr>
        <w:trPr>
          <w:trHeight w:val="25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Arial" w:cs="Arial" w:eastAsia="Arial" w:hAnsi="Arial"/>
                <w:sz w:val="17"/>
                <w:szCs w:val="17"/>
                <w:color w:val="0000FF"/>
              </w:rPr>
              <w:t>AUSTIN</w:t>
            </w:r>
          </w:p>
        </w:tc>
        <w:tc>
          <w:tcPr>
            <w:tcW w:w="1200" w:type="dxa"/>
            <w:vAlign w:val="bottom"/>
          </w:tcPr>
          <w:p>
            <w:pPr>
              <w:ind w:left="240"/>
              <w:spacing w:after="0"/>
              <w:rPr>
                <w:sz w:val="20"/>
                <w:szCs w:val="20"/>
                <w:color w:val="auto"/>
              </w:rPr>
            </w:pPr>
            <w:r>
              <w:rPr>
                <w:rFonts w:ascii="Arial" w:cs="Arial" w:eastAsia="Arial" w:hAnsi="Arial"/>
                <w:sz w:val="17"/>
                <w:szCs w:val="17"/>
                <w:color w:val="0000FF"/>
              </w:rPr>
              <w:t>TX</w:t>
            </w:r>
          </w:p>
        </w:tc>
        <w:tc>
          <w:tcPr>
            <w:tcW w:w="1180" w:type="dxa"/>
            <w:vAlign w:val="bottom"/>
          </w:tcPr>
          <w:p>
            <w:pPr>
              <w:ind w:left="120"/>
              <w:spacing w:after="0"/>
              <w:rPr>
                <w:sz w:val="20"/>
                <w:szCs w:val="20"/>
                <w:color w:val="auto"/>
              </w:rPr>
            </w:pPr>
            <w:r>
              <w:rPr>
                <w:rFonts w:ascii="Arial" w:cs="Arial" w:eastAsia="Arial" w:hAnsi="Arial"/>
                <w:sz w:val="17"/>
                <w:szCs w:val="17"/>
                <w:color w:val="0000FF"/>
              </w:rPr>
              <w:t>78746</w:t>
            </w:r>
          </w:p>
        </w:tc>
      </w:tr>
      <w:tr>
        <w:trPr>
          <w:trHeight w:val="150"/>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240"/>
              <w:spacing w:after="0"/>
              <w:rPr>
                <w:sz w:val="20"/>
                <w:szCs w:val="20"/>
                <w:color w:val="auto"/>
              </w:rPr>
            </w:pPr>
            <w:r>
              <w:rPr>
                <w:rFonts w:ascii="Arial" w:cs="Arial" w:eastAsia="Arial" w:hAnsi="Arial"/>
                <w:sz w:val="13"/>
                <w:szCs w:val="13"/>
                <w:color w:val="auto"/>
              </w:rPr>
              <w:t>(State)</w:t>
            </w:r>
          </w:p>
        </w:tc>
        <w:tc>
          <w:tcPr>
            <w:tcW w:w="11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left="-9" w:right="240" w:firstLine="9"/>
        <w:spacing w:after="0" w:line="239" w:lineRule="auto"/>
        <w:tabs>
          <w:tab w:leader="none" w:pos="13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1"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51"/>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4"/>
          <w:szCs w:val="24"/>
          <w:color w:val="auto"/>
        </w:rPr>
      </w:pPr>
      <w:r>
        <w:rPr>
          <w:sz w:val="24"/>
          <w:szCs w:val="24"/>
          <w:color w:val="auto"/>
        </w:rPr>
        <w:br w:type="column"/>
      </w:r>
    </w:p>
    <w:p>
      <w:pPr>
        <w:ind w:left="2" w:right="580" w:hanging="2"/>
        <w:spacing w:after="0" w:line="239" w:lineRule="auto"/>
        <w:tabs>
          <w:tab w:leader="none" w:pos="146" w:val="left"/>
        </w:tabs>
        <w:numPr>
          <w:ilvl w:val="0"/>
          <w:numId w:val="3"/>
        </w:numPr>
        <w:rPr>
          <w:rFonts w:ascii="Arial" w:cs="Arial" w:eastAsia="Arial" w:hAnsi="Arial"/>
          <w:sz w:val="13"/>
          <w:szCs w:val="13"/>
          <w:color w:val="auto"/>
        </w:rPr>
      </w:pPr>
      <w:r>
        <w:rPr>
          <w:rFonts w:ascii="Arial" w:cs="Arial" w:eastAsia="Arial" w:hAnsi="Arial"/>
          <w:sz w:val="13"/>
          <w:szCs w:val="13"/>
          <w:color w:val="auto"/>
        </w:rPr>
        <w:t>If Amendment, Date of Original Filed (Month/Day/Year)</w:t>
      </w:r>
    </w:p>
    <w:p>
      <w:pPr>
        <w:spacing w:after="0" w:line="233" w:lineRule="exact"/>
        <w:rPr>
          <w:rFonts w:ascii="Arial" w:cs="Arial" w:eastAsia="Arial" w:hAnsi="Arial"/>
          <w:sz w:val="13"/>
          <w:szCs w:val="13"/>
          <w:color w:val="auto"/>
        </w:rPr>
      </w:pPr>
    </w:p>
    <w:p>
      <w:pPr>
        <w:ind w:left="2" w:right="480" w:hanging="2"/>
        <w:spacing w:after="0" w:line="239" w:lineRule="auto"/>
        <w:tabs>
          <w:tab w:leader="none" w:pos="146" w:val="left"/>
        </w:tabs>
        <w:numPr>
          <w:ilvl w:val="0"/>
          <w:numId w:val="3"/>
        </w:numPr>
        <w:rPr>
          <w:rFonts w:ascii="Arial" w:cs="Arial" w:eastAsia="Arial" w:hAnsi="Arial"/>
          <w:sz w:val="13"/>
          <w:szCs w:val="13"/>
          <w:color w:val="auto"/>
        </w:rPr>
      </w:pPr>
      <w:r>
        <w:rPr>
          <w:rFonts w:ascii="Arial" w:cs="Arial" w:eastAsia="Arial" w:hAnsi="Arial"/>
          <w:sz w:val="13"/>
          <w:szCs w:val="13"/>
          <w:color w:val="auto"/>
        </w:rPr>
        <w:t>Individual or Joint/Group Filing (Check Applicable Line)</w:t>
      </w:r>
    </w:p>
    <w:p>
      <w:pPr>
        <w:spacing w:after="0" w:line="24" w:lineRule="exact"/>
        <w:rPr>
          <w:sz w:val="24"/>
          <w:szCs w:val="24"/>
          <w:color w:val="auto"/>
        </w:rPr>
      </w:pPr>
    </w:p>
    <w:p>
      <w:pPr>
        <w:ind w:left="462" w:hanging="296"/>
        <w:spacing w:after="0"/>
        <w:tabs>
          <w:tab w:leader="none" w:pos="462" w:val="left"/>
        </w:tabs>
        <w:numPr>
          <w:ilvl w:val="0"/>
          <w:numId w:val="4"/>
        </w:numPr>
        <w:rPr>
          <w:rFonts w:ascii="Arial" w:cs="Arial" w:eastAsia="Arial" w:hAnsi="Arial"/>
          <w:sz w:val="16"/>
          <w:szCs w:val="16"/>
          <w:color w:val="0000FF"/>
        </w:rPr>
      </w:pPr>
      <w:r>
        <w:rPr>
          <w:rFonts w:ascii="Arial" w:cs="Arial" w:eastAsia="Arial" w:hAnsi="Arial"/>
          <w:sz w:val="12"/>
          <w:szCs w:val="12"/>
          <w:color w:val="auto"/>
        </w:rPr>
        <w:t>Form filed by One Reporting Person</w:t>
      </w:r>
    </w:p>
    <w:p>
      <w:pPr>
        <w:spacing w:after="0" w:line="78" w:lineRule="exact"/>
        <w:rPr>
          <w:rFonts w:ascii="Arial" w:cs="Arial" w:eastAsia="Arial" w:hAnsi="Arial"/>
          <w:sz w:val="16"/>
          <w:szCs w:val="16"/>
          <w:color w:val="0000FF"/>
        </w:rPr>
      </w:pPr>
    </w:p>
    <w:p>
      <w:pPr>
        <w:ind w:left="462" w:right="700"/>
        <w:spacing w:after="0" w:line="239" w:lineRule="auto"/>
        <w:rPr>
          <w:rFonts w:ascii="Arial" w:cs="Arial" w:eastAsia="Arial" w:hAnsi="Arial"/>
          <w:sz w:val="16"/>
          <w:szCs w:val="16"/>
          <w:color w:val="0000FF"/>
        </w:rPr>
      </w:pPr>
      <w:r>
        <w:rPr>
          <w:rFonts w:ascii="Arial" w:cs="Arial" w:eastAsia="Arial" w:hAnsi="Arial"/>
          <w:sz w:val="13"/>
          <w:szCs w:val="13"/>
          <w:color w:val="auto"/>
        </w:rPr>
        <w:t>Form filed by More than One Reporting Person</w:t>
      </w:r>
    </w:p>
    <w:p>
      <w:pPr>
        <w:spacing w:after="0" w:line="476" w:lineRule="exact"/>
        <w:rPr>
          <w:sz w:val="24"/>
          <w:szCs w:val="24"/>
          <w:color w:val="auto"/>
        </w:rPr>
      </w:pPr>
    </w:p>
    <w:p>
      <w:pPr>
        <w:sectPr>
          <w:pgSz w:w="11900" w:h="16838" w:orient="portrait"/>
          <w:cols w:equalWidth="0" w:num="3">
            <w:col w:w="4469" w:space="720"/>
            <w:col w:w="2971" w:space="438"/>
            <w:col w:w="2822"/>
          </w:cols>
          <w:pgMar w:left="240" w:top="222"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Table I - Non-Derivative Securities Beneficially Owned</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4)</w:t>
            </w:r>
          </w:p>
        </w:tc>
        <w:tc>
          <w:tcPr>
            <w:tcW w:w="3640" w:type="dxa"/>
            <w:vAlign w:val="bottom"/>
          </w:tcPr>
          <w:p>
            <w:pPr>
              <w:ind w:left="1680"/>
              <w:spacing w:after="0"/>
              <w:rPr>
                <w:sz w:val="20"/>
                <w:szCs w:val="20"/>
                <w:color w:val="auto"/>
              </w:rPr>
            </w:pPr>
            <w:r>
              <w:rPr>
                <w:rFonts w:ascii="Arial" w:cs="Arial" w:eastAsia="Arial" w:hAnsi="Arial"/>
                <w:sz w:val="13"/>
                <w:szCs w:val="13"/>
                <w:b w:val="1"/>
                <w:bCs w:val="1"/>
                <w:color w:val="auto"/>
              </w:rPr>
              <w:t>2. Amount of Securities</w:t>
            </w:r>
          </w:p>
        </w:tc>
        <w:tc>
          <w:tcPr>
            <w:tcW w:w="1340" w:type="dxa"/>
            <w:vAlign w:val="bottom"/>
          </w:tcPr>
          <w:p>
            <w:pPr>
              <w:ind w:left="220"/>
              <w:spacing w:after="0"/>
              <w:rPr>
                <w:sz w:val="20"/>
                <w:szCs w:val="20"/>
                <w:color w:val="auto"/>
              </w:rPr>
            </w:pPr>
            <w:r>
              <w:rPr>
                <w:rFonts w:ascii="Arial" w:cs="Arial" w:eastAsia="Arial" w:hAnsi="Arial"/>
                <w:sz w:val="13"/>
                <w:szCs w:val="13"/>
                <w:b w:val="1"/>
                <w:bCs w:val="1"/>
                <w:color w:val="auto"/>
              </w:rPr>
              <w:t>3. Ownership</w:t>
            </w:r>
          </w:p>
        </w:tc>
        <w:tc>
          <w:tcPr>
            <w:tcW w:w="3020" w:type="dxa"/>
            <w:vAlign w:val="bottom"/>
          </w:tcPr>
          <w:p>
            <w:pPr>
              <w:ind w:left="120"/>
              <w:spacing w:after="0"/>
              <w:rPr>
                <w:sz w:val="20"/>
                <w:szCs w:val="20"/>
                <w:color w:val="auto"/>
              </w:rPr>
            </w:pPr>
            <w:r>
              <w:rPr>
                <w:rFonts w:ascii="Arial" w:cs="Arial" w:eastAsia="Arial" w:hAnsi="Arial"/>
                <w:sz w:val="13"/>
                <w:szCs w:val="13"/>
                <w:b w:val="1"/>
                <w:bCs w:val="1"/>
                <w:color w:val="auto"/>
              </w:rPr>
              <w:t>4. Nature of Indirect Beneficial Ownership</w:t>
            </w:r>
          </w:p>
        </w:tc>
      </w:tr>
      <w:tr>
        <w:trPr>
          <w:trHeight w:val="143"/>
        </w:trPr>
        <w:tc>
          <w:tcPr>
            <w:tcW w:w="3400" w:type="dxa"/>
            <w:vAlign w:val="bottom"/>
          </w:tcPr>
          <w:p>
            <w:pPr>
              <w:spacing w:after="0"/>
              <w:rPr>
                <w:sz w:val="12"/>
                <w:szCs w:val="12"/>
                <w:color w:val="auto"/>
              </w:rPr>
            </w:pPr>
          </w:p>
        </w:tc>
        <w:tc>
          <w:tcPr>
            <w:tcW w:w="3640" w:type="dxa"/>
            <w:vAlign w:val="bottom"/>
          </w:tcPr>
          <w:p>
            <w:pPr>
              <w:ind w:left="1680"/>
              <w:spacing w:after="0" w:line="143" w:lineRule="exact"/>
              <w:rPr>
                <w:sz w:val="20"/>
                <w:szCs w:val="20"/>
                <w:color w:val="auto"/>
              </w:rPr>
            </w:pPr>
            <w:r>
              <w:rPr>
                <w:rFonts w:ascii="Arial" w:cs="Arial" w:eastAsia="Arial" w:hAnsi="Arial"/>
                <w:sz w:val="13"/>
                <w:szCs w:val="13"/>
                <w:b w:val="1"/>
                <w:bCs w:val="1"/>
                <w:color w:val="auto"/>
              </w:rPr>
              <w:t>Beneficially Owned (Instr. 4)</w:t>
            </w:r>
          </w:p>
        </w:tc>
        <w:tc>
          <w:tcPr>
            <w:tcW w:w="1340" w:type="dxa"/>
            <w:vAlign w:val="bottom"/>
          </w:tcPr>
          <w:p>
            <w:pPr>
              <w:ind w:left="220"/>
              <w:spacing w:after="0" w:line="143" w:lineRule="exact"/>
              <w:rPr>
                <w:sz w:val="20"/>
                <w:szCs w:val="20"/>
                <w:color w:val="auto"/>
              </w:rPr>
            </w:pPr>
            <w:r>
              <w:rPr>
                <w:rFonts w:ascii="Arial" w:cs="Arial" w:eastAsia="Arial" w:hAnsi="Arial"/>
                <w:sz w:val="13"/>
                <w:szCs w:val="13"/>
                <w:b w:val="1"/>
                <w:bCs w:val="1"/>
                <w:color w:val="auto"/>
              </w:rPr>
              <w:t>Form: Direct (D)</w:t>
            </w:r>
          </w:p>
        </w:tc>
        <w:tc>
          <w:tcPr>
            <w:tcW w:w="3020" w:type="dxa"/>
            <w:vAlign w:val="bottom"/>
          </w:tcPr>
          <w:p>
            <w:pPr>
              <w:ind w:left="120"/>
              <w:spacing w:after="0" w:line="143" w:lineRule="exact"/>
              <w:rPr>
                <w:sz w:val="20"/>
                <w:szCs w:val="20"/>
                <w:color w:val="auto"/>
              </w:rPr>
            </w:pPr>
            <w:r>
              <w:rPr>
                <w:rFonts w:ascii="Arial" w:cs="Arial" w:eastAsia="Arial" w:hAnsi="Arial"/>
                <w:sz w:val="13"/>
                <w:szCs w:val="13"/>
                <w:b w:val="1"/>
                <w:bCs w:val="1"/>
                <w:color w:val="auto"/>
              </w:rPr>
              <w:t>(Instr. 5)</w:t>
            </w:r>
          </w:p>
        </w:tc>
      </w:tr>
      <w:tr>
        <w:trPr>
          <w:trHeight w:val="143"/>
        </w:trPr>
        <w:tc>
          <w:tcPr>
            <w:tcW w:w="34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340" w:type="dxa"/>
            <w:vAlign w:val="bottom"/>
          </w:tcPr>
          <w:p>
            <w:pPr>
              <w:ind w:left="220"/>
              <w:spacing w:after="0" w:line="143" w:lineRule="exact"/>
              <w:rPr>
                <w:sz w:val="20"/>
                <w:szCs w:val="20"/>
                <w:color w:val="auto"/>
              </w:rPr>
            </w:pPr>
            <w:r>
              <w:rPr>
                <w:rFonts w:ascii="Arial" w:cs="Arial" w:eastAsia="Arial" w:hAnsi="Arial"/>
                <w:sz w:val="13"/>
                <w:szCs w:val="13"/>
                <w:b w:val="1"/>
                <w:bCs w:val="1"/>
                <w:color w:val="auto"/>
              </w:rPr>
              <w:t>or Indirect (I)</w:t>
            </w:r>
          </w:p>
        </w:tc>
        <w:tc>
          <w:tcPr>
            <w:tcW w:w="3020" w:type="dxa"/>
            <w:vAlign w:val="bottom"/>
          </w:tcPr>
          <w:p>
            <w:pPr>
              <w:spacing w:after="0"/>
              <w:rPr>
                <w:sz w:val="12"/>
                <w:szCs w:val="12"/>
                <w:color w:val="auto"/>
              </w:rPr>
            </w:pPr>
          </w:p>
        </w:tc>
      </w:tr>
      <w:tr>
        <w:trPr>
          <w:trHeight w:val="171"/>
        </w:trPr>
        <w:tc>
          <w:tcPr>
            <w:tcW w:w="3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Arial" w:cs="Arial" w:eastAsia="Arial" w:hAnsi="Arial"/>
                <w:sz w:val="13"/>
                <w:szCs w:val="13"/>
                <w:b w:val="1"/>
                <w:bCs w:val="1"/>
                <w:color w:val="auto"/>
              </w:rPr>
              <w:t>(Instr. 5)</w:t>
            </w:r>
          </w:p>
        </w:tc>
        <w:tc>
          <w:tcPr>
            <w:tcW w:w="3020" w:type="dxa"/>
            <w:vAlign w:val="bottom"/>
          </w:tcPr>
          <w:p>
            <w:pPr>
              <w:spacing w:after="0"/>
              <w:rPr>
                <w:sz w:val="14"/>
                <w:szCs w:val="14"/>
                <w:color w:val="auto"/>
              </w:rPr>
            </w:pPr>
          </w:p>
        </w:tc>
      </w:tr>
      <w:tr>
        <w:trPr>
          <w:trHeight w:val="46"/>
        </w:trPr>
        <w:tc>
          <w:tcPr>
            <w:tcW w:w="3400" w:type="dxa"/>
            <w:vAlign w:val="bottom"/>
            <w:tcBorders>
              <w:bottom w:val="single" w:sz="8" w:color="2C2C2C"/>
            </w:tcBorders>
          </w:tcPr>
          <w:p>
            <w:pPr>
              <w:spacing w:after="0"/>
              <w:rPr>
                <w:sz w:val="3"/>
                <w:szCs w:val="3"/>
                <w:color w:val="auto"/>
              </w:rPr>
            </w:pPr>
          </w:p>
        </w:tc>
        <w:tc>
          <w:tcPr>
            <w:tcW w:w="36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62"/>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No Securities Beneficially Held</w:t>
            </w: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jc w:val="right"/>
              <w:ind w:right="1098"/>
              <w:spacing w:after="0" w:line="310" w:lineRule="exact"/>
              <w:rPr>
                <w:sz w:val="20"/>
                <w:szCs w:val="20"/>
                <w:color w:val="auto"/>
              </w:rPr>
            </w:pP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8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28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4400" w:type="dxa"/>
            <w:vAlign w:val="bottom"/>
            <w:tcBorders>
              <w:top w:val="single" w:sz="8" w:color="2C2C2C"/>
            </w:tcBorders>
            <w:gridSpan w:val="5"/>
          </w:tcPr>
          <w:p>
            <w:pPr>
              <w:ind w:left="80"/>
              <w:spacing w:after="0"/>
              <w:rPr>
                <w:sz w:val="20"/>
                <w:szCs w:val="20"/>
                <w:color w:val="auto"/>
              </w:rPr>
            </w:pPr>
            <w:r>
              <w:rPr>
                <w:rFonts w:ascii="Arial" w:cs="Arial" w:eastAsia="Arial" w:hAnsi="Arial"/>
                <w:sz w:val="17"/>
                <w:szCs w:val="17"/>
                <w:b w:val="1"/>
                <w:bCs w:val="1"/>
                <w:color w:val="auto"/>
              </w:rPr>
              <w:t>Table II - Derivative Securities Beneficially Owned</w:t>
            </w:r>
          </w:p>
        </w:tc>
        <w:tc>
          <w:tcPr>
            <w:tcW w:w="82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164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5160" w:type="dxa"/>
            <w:vAlign w:val="bottom"/>
            <w:gridSpan w:val="6"/>
          </w:tcPr>
          <w:p>
            <w:pPr>
              <w:ind w:left="50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2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3"/>
                <w:szCs w:val="13"/>
                <w:b w:val="1"/>
                <w:bCs w:val="1"/>
                <w:color w:val="auto"/>
              </w:rPr>
              <w:t>1. Title of Derivative Security (Instr. 4)</w:t>
            </w:r>
          </w:p>
        </w:tc>
        <w:tc>
          <w:tcPr>
            <w:tcW w:w="760" w:type="dxa"/>
            <w:vAlign w:val="bottom"/>
          </w:tcPr>
          <w:p>
            <w:pPr>
              <w:spacing w:after="0"/>
              <w:rPr>
                <w:sz w:val="15"/>
                <w:szCs w:val="15"/>
                <w:color w:val="auto"/>
              </w:rPr>
            </w:pPr>
          </w:p>
        </w:tc>
        <w:tc>
          <w:tcPr>
            <w:tcW w:w="1620" w:type="dxa"/>
            <w:vAlign w:val="bottom"/>
            <w:gridSpan w:val="2"/>
          </w:tcPr>
          <w:p>
            <w:pPr>
              <w:ind w:left="60"/>
              <w:spacing w:after="0"/>
              <w:rPr>
                <w:sz w:val="20"/>
                <w:szCs w:val="20"/>
                <w:color w:val="auto"/>
              </w:rPr>
            </w:pPr>
            <w:r>
              <w:rPr>
                <w:rFonts w:ascii="Arial" w:cs="Arial" w:eastAsia="Arial" w:hAnsi="Arial"/>
                <w:sz w:val="13"/>
                <w:szCs w:val="13"/>
                <w:b w:val="1"/>
                <w:bCs w:val="1"/>
                <w:color w:val="auto"/>
              </w:rPr>
              <w:t>2. Date Exercisable and</w:t>
            </w:r>
          </w:p>
        </w:tc>
        <w:tc>
          <w:tcPr>
            <w:tcW w:w="2100" w:type="dxa"/>
            <w:vAlign w:val="bottom"/>
          </w:tcPr>
          <w:p>
            <w:pPr>
              <w:ind w:left="60"/>
              <w:spacing w:after="0"/>
              <w:rPr>
                <w:sz w:val="20"/>
                <w:szCs w:val="20"/>
                <w:color w:val="auto"/>
              </w:rPr>
            </w:pPr>
            <w:r>
              <w:rPr>
                <w:rFonts w:ascii="Arial" w:cs="Arial" w:eastAsia="Arial" w:hAnsi="Arial"/>
                <w:sz w:val="13"/>
                <w:szCs w:val="13"/>
                <w:b w:val="1"/>
                <w:bCs w:val="1"/>
                <w:color w:val="auto"/>
                <w:w w:val="99"/>
              </w:rPr>
              <w:t>3. Title and Amount of Securities</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Arial" w:cs="Arial" w:eastAsia="Arial" w:hAnsi="Arial"/>
                <w:sz w:val="13"/>
                <w:szCs w:val="13"/>
                <w:b w:val="1"/>
                <w:bCs w:val="1"/>
                <w:color w:val="auto"/>
              </w:rPr>
              <w:t>4.</w:t>
            </w:r>
          </w:p>
        </w:tc>
        <w:tc>
          <w:tcPr>
            <w:tcW w:w="900" w:type="dxa"/>
            <w:vAlign w:val="bottom"/>
          </w:tcPr>
          <w:p>
            <w:pPr>
              <w:ind w:left="60"/>
              <w:spacing w:after="0"/>
              <w:rPr>
                <w:sz w:val="20"/>
                <w:szCs w:val="20"/>
                <w:color w:val="auto"/>
              </w:rPr>
            </w:pPr>
            <w:r>
              <w:rPr>
                <w:rFonts w:ascii="Arial" w:cs="Arial" w:eastAsia="Arial" w:hAnsi="Arial"/>
                <w:sz w:val="13"/>
                <w:szCs w:val="13"/>
                <w:b w:val="1"/>
                <w:bCs w:val="1"/>
                <w:color w:val="auto"/>
              </w:rPr>
              <w:t>5.</w:t>
            </w:r>
          </w:p>
        </w:tc>
        <w:tc>
          <w:tcPr>
            <w:tcW w:w="1640" w:type="dxa"/>
            <w:vAlign w:val="bottom"/>
          </w:tcPr>
          <w:p>
            <w:pPr>
              <w:ind w:left="80"/>
              <w:spacing w:after="0"/>
              <w:rPr>
                <w:sz w:val="20"/>
                <w:szCs w:val="20"/>
                <w:color w:val="auto"/>
              </w:rPr>
            </w:pPr>
            <w:r>
              <w:rPr>
                <w:rFonts w:ascii="Arial" w:cs="Arial" w:eastAsia="Arial" w:hAnsi="Arial"/>
                <w:sz w:val="13"/>
                <w:szCs w:val="13"/>
                <w:b w:val="1"/>
                <w:bCs w:val="1"/>
                <w:color w:val="auto"/>
              </w:rPr>
              <w:t>6. Nature of Indirect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2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rPr>
              <w:t>Expiration Date</w:t>
            </w:r>
          </w:p>
        </w:tc>
        <w:tc>
          <w:tcPr>
            <w:tcW w:w="2780" w:type="dxa"/>
            <w:vAlign w:val="bottom"/>
            <w:gridSpan w:val="3"/>
          </w:tcPr>
          <w:p>
            <w:pPr>
              <w:ind w:left="60"/>
              <w:spacing w:after="0" w:line="143" w:lineRule="exact"/>
              <w:rPr>
                <w:sz w:val="20"/>
                <w:szCs w:val="20"/>
                <w:color w:val="auto"/>
              </w:rPr>
            </w:pPr>
            <w:r>
              <w:rPr>
                <w:rFonts w:ascii="Arial" w:cs="Arial" w:eastAsia="Arial" w:hAnsi="Arial"/>
                <w:sz w:val="13"/>
                <w:szCs w:val="13"/>
                <w:b w:val="1"/>
                <w:bCs w:val="1"/>
                <w:color w:val="auto"/>
              </w:rPr>
              <w:t>Underlying Derivative Security (Instr. 4)</w:t>
            </w:r>
          </w:p>
        </w:tc>
        <w:tc>
          <w:tcPr>
            <w:tcW w:w="820" w:type="dxa"/>
            <w:vAlign w:val="bottom"/>
          </w:tcPr>
          <w:p>
            <w:pPr>
              <w:ind w:left="40"/>
              <w:spacing w:after="0" w:line="143" w:lineRule="exact"/>
              <w:rPr>
                <w:sz w:val="20"/>
                <w:szCs w:val="20"/>
                <w:color w:val="auto"/>
              </w:rPr>
            </w:pPr>
            <w:r>
              <w:rPr>
                <w:rFonts w:ascii="Arial" w:cs="Arial" w:eastAsia="Arial" w:hAnsi="Arial"/>
                <w:sz w:val="13"/>
                <w:szCs w:val="13"/>
                <w:b w:val="1"/>
                <w:bCs w:val="1"/>
                <w:color w:val="auto"/>
              </w:rPr>
              <w:t>Conversion</w:t>
            </w:r>
          </w:p>
        </w:tc>
        <w:tc>
          <w:tcPr>
            <w:tcW w:w="900" w:type="dxa"/>
            <w:vAlign w:val="bottom"/>
          </w:tcPr>
          <w:p>
            <w:pPr>
              <w:ind w:left="60"/>
              <w:spacing w:after="0" w:line="143" w:lineRule="exact"/>
              <w:rPr>
                <w:sz w:val="20"/>
                <w:szCs w:val="20"/>
                <w:color w:val="auto"/>
              </w:rPr>
            </w:pPr>
            <w:r>
              <w:rPr>
                <w:rFonts w:ascii="Arial" w:cs="Arial" w:eastAsia="Arial" w:hAnsi="Arial"/>
                <w:sz w:val="13"/>
                <w:szCs w:val="13"/>
                <w:b w:val="1"/>
                <w:bCs w:val="1"/>
                <w:color w:val="auto"/>
              </w:rPr>
              <w:t>Ownership</w:t>
            </w:r>
          </w:p>
        </w:tc>
        <w:tc>
          <w:tcPr>
            <w:tcW w:w="16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Beneficial Ownership</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2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rPr>
              <w:t>(Month/Day/Year)</w:t>
            </w: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ind w:left="40"/>
              <w:spacing w:after="0" w:line="143" w:lineRule="exact"/>
              <w:rPr>
                <w:sz w:val="20"/>
                <w:szCs w:val="20"/>
                <w:color w:val="auto"/>
              </w:rPr>
            </w:pPr>
            <w:r>
              <w:rPr>
                <w:rFonts w:ascii="Arial" w:cs="Arial" w:eastAsia="Arial" w:hAnsi="Arial"/>
                <w:sz w:val="13"/>
                <w:szCs w:val="13"/>
                <w:b w:val="1"/>
                <w:bCs w:val="1"/>
                <w:color w:val="auto"/>
              </w:rPr>
              <w:t>or Exercise</w:t>
            </w:r>
          </w:p>
        </w:tc>
        <w:tc>
          <w:tcPr>
            <w:tcW w:w="900" w:type="dxa"/>
            <w:vAlign w:val="bottom"/>
          </w:tcPr>
          <w:p>
            <w:pPr>
              <w:ind w:left="60"/>
              <w:spacing w:after="0" w:line="143" w:lineRule="exact"/>
              <w:rPr>
                <w:sz w:val="20"/>
                <w:szCs w:val="20"/>
                <w:color w:val="auto"/>
              </w:rPr>
            </w:pPr>
            <w:r>
              <w:rPr>
                <w:rFonts w:ascii="Arial" w:cs="Arial" w:eastAsia="Arial" w:hAnsi="Arial"/>
                <w:sz w:val="13"/>
                <w:szCs w:val="13"/>
                <w:b w:val="1"/>
                <w:bCs w:val="1"/>
                <w:color w:val="auto"/>
              </w:rPr>
              <w:t>Form: Direct</w:t>
            </w:r>
          </w:p>
        </w:tc>
        <w:tc>
          <w:tcPr>
            <w:tcW w:w="164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(Instr. 5)</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restart"/>
          </w:tcPr>
          <w:p>
            <w:pPr>
              <w:ind w:left="40"/>
              <w:spacing w:after="0" w:line="143" w:lineRule="exact"/>
              <w:rPr>
                <w:sz w:val="20"/>
                <w:szCs w:val="20"/>
                <w:color w:val="auto"/>
              </w:rPr>
            </w:pPr>
            <w:r>
              <w:rPr>
                <w:rFonts w:ascii="Arial" w:cs="Arial" w:eastAsia="Arial" w:hAnsi="Arial"/>
                <w:sz w:val="13"/>
                <w:szCs w:val="13"/>
                <w:b w:val="1"/>
                <w:bCs w:val="1"/>
                <w:color w:val="auto"/>
              </w:rPr>
              <w:t>Price of</w:t>
            </w:r>
          </w:p>
        </w:tc>
        <w:tc>
          <w:tcPr>
            <w:tcW w:w="900" w:type="dxa"/>
            <w:vAlign w:val="bottom"/>
            <w:vMerge w:val="restart"/>
          </w:tcPr>
          <w:p>
            <w:pPr>
              <w:ind w:left="60"/>
              <w:spacing w:after="0" w:line="143" w:lineRule="exact"/>
              <w:rPr>
                <w:sz w:val="20"/>
                <w:szCs w:val="20"/>
                <w:color w:val="auto"/>
              </w:rPr>
            </w:pPr>
            <w:r>
              <w:rPr>
                <w:rFonts w:ascii="Arial" w:cs="Arial" w:eastAsia="Arial" w:hAnsi="Arial"/>
                <w:sz w:val="13"/>
                <w:szCs w:val="13"/>
                <w:b w:val="1"/>
                <w:bCs w:val="1"/>
                <w:color w:val="auto"/>
              </w:rPr>
              <w:t>(D) or</w:t>
            </w: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8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20" w:type="dxa"/>
            <w:vAlign w:val="bottom"/>
          </w:tcPr>
          <w:p>
            <w:pPr>
              <w:ind w:left="40"/>
              <w:spacing w:after="0" w:line="134" w:lineRule="exact"/>
              <w:rPr>
                <w:sz w:val="20"/>
                <w:szCs w:val="20"/>
                <w:color w:val="auto"/>
              </w:rPr>
            </w:pPr>
            <w:r>
              <w:rPr>
                <w:rFonts w:ascii="Arial" w:cs="Arial" w:eastAsia="Arial" w:hAnsi="Arial"/>
                <w:sz w:val="13"/>
                <w:szCs w:val="13"/>
                <w:b w:val="1"/>
                <w:bCs w:val="1"/>
                <w:color w:val="auto"/>
              </w:rPr>
              <w:t>Derivative</w:t>
            </w:r>
          </w:p>
        </w:tc>
        <w:tc>
          <w:tcPr>
            <w:tcW w:w="90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Indirect (I)</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rPr>
              <w:t>or</w:t>
            </w:r>
          </w:p>
        </w:tc>
        <w:tc>
          <w:tcPr>
            <w:tcW w:w="820" w:type="dxa"/>
            <w:vAlign w:val="bottom"/>
          </w:tcPr>
          <w:p>
            <w:pPr>
              <w:ind w:left="40"/>
              <w:spacing w:after="0" w:line="143" w:lineRule="exact"/>
              <w:rPr>
                <w:sz w:val="20"/>
                <w:szCs w:val="20"/>
                <w:color w:val="auto"/>
              </w:rPr>
            </w:pPr>
            <w:r>
              <w:rPr>
                <w:rFonts w:ascii="Arial" w:cs="Arial" w:eastAsia="Arial" w:hAnsi="Arial"/>
                <w:sz w:val="13"/>
                <w:szCs w:val="13"/>
                <w:b w:val="1"/>
                <w:bCs w:val="1"/>
                <w:color w:val="auto"/>
              </w:rPr>
              <w:t>Security</w:t>
            </w:r>
          </w:p>
        </w:tc>
        <w:tc>
          <w:tcPr>
            <w:tcW w:w="900" w:type="dxa"/>
            <w:vAlign w:val="bottom"/>
          </w:tcPr>
          <w:p>
            <w:pPr>
              <w:ind w:left="60"/>
              <w:spacing w:after="0" w:line="143" w:lineRule="exact"/>
              <w:rPr>
                <w:sz w:val="20"/>
                <w:szCs w:val="20"/>
                <w:color w:val="auto"/>
              </w:rPr>
            </w:pPr>
            <w:r>
              <w:rPr>
                <w:rFonts w:ascii="Arial" w:cs="Arial" w:eastAsia="Arial" w:hAnsi="Arial"/>
                <w:sz w:val="13"/>
                <w:szCs w:val="13"/>
                <w:b w:val="1"/>
                <w:bCs w:val="1"/>
                <w:color w:val="auto"/>
              </w:rPr>
              <w:t>(Instr. 5)</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gridSpan w:val="2"/>
          </w:tcPr>
          <w:p>
            <w:pPr>
              <w:ind w:left="40"/>
              <w:spacing w:after="0" w:line="139" w:lineRule="exact"/>
              <w:rPr>
                <w:sz w:val="20"/>
                <w:szCs w:val="20"/>
                <w:color w:val="auto"/>
              </w:rPr>
            </w:pPr>
            <w:r>
              <w:rPr>
                <w:rFonts w:ascii="Arial" w:cs="Arial" w:eastAsia="Arial" w:hAnsi="Arial"/>
                <w:sz w:val="13"/>
                <w:szCs w:val="13"/>
                <w:b w:val="1"/>
                <w:bCs w:val="1"/>
                <w:color w:val="auto"/>
              </w:rPr>
              <w:t>Number</w:t>
            </w: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ind w:left="60"/>
              <w:spacing w:after="0" w:line="143" w:lineRule="exact"/>
              <w:rPr>
                <w:sz w:val="20"/>
                <w:szCs w:val="20"/>
                <w:color w:val="auto"/>
              </w:rPr>
            </w:pPr>
            <w:r>
              <w:rPr>
                <w:rFonts w:ascii="Arial" w:cs="Arial" w:eastAsia="Arial" w:hAnsi="Arial"/>
                <w:sz w:val="13"/>
                <w:szCs w:val="13"/>
                <w:b w:val="1"/>
                <w:bCs w:val="1"/>
                <w:color w:val="auto"/>
              </w:rPr>
              <w:t>Date</w:t>
            </w:r>
          </w:p>
        </w:tc>
        <w:tc>
          <w:tcPr>
            <w:tcW w:w="760" w:type="dxa"/>
            <w:vAlign w:val="bottom"/>
          </w:tcPr>
          <w:p>
            <w:pPr>
              <w:ind w:left="60"/>
              <w:spacing w:after="0" w:line="143" w:lineRule="exact"/>
              <w:rPr>
                <w:sz w:val="20"/>
                <w:szCs w:val="20"/>
                <w:color w:val="auto"/>
              </w:rPr>
            </w:pPr>
            <w:r>
              <w:rPr>
                <w:rFonts w:ascii="Arial" w:cs="Arial" w:eastAsia="Arial" w:hAnsi="Arial"/>
                <w:sz w:val="13"/>
                <w:szCs w:val="13"/>
                <w:b w:val="1"/>
                <w:bCs w:val="1"/>
                <w:color w:val="auto"/>
              </w:rPr>
              <w:t>Expiration</w:t>
            </w:r>
          </w:p>
        </w:tc>
        <w:tc>
          <w:tcPr>
            <w:tcW w:w="2100" w:type="dxa"/>
            <w:vAlign w:val="bottom"/>
          </w:tcPr>
          <w:p>
            <w:pPr>
              <w:spacing w:after="0"/>
              <w:rPr>
                <w:sz w:val="12"/>
                <w:szCs w:val="12"/>
                <w:color w:val="auto"/>
              </w:rPr>
            </w:pPr>
          </w:p>
        </w:tc>
        <w:tc>
          <w:tcPr>
            <w:tcW w:w="68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rPr>
              <w:t>of</w:t>
            </w: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3"/>
                <w:szCs w:val="13"/>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3"/>
                <w:szCs w:val="13"/>
                <w:b w:val="1"/>
                <w:bCs w:val="1"/>
                <w:color w:val="auto"/>
              </w:rPr>
              <w:t>Date</w:t>
            </w:r>
          </w:p>
        </w:tc>
        <w:tc>
          <w:tcPr>
            <w:tcW w:w="2100" w:type="dxa"/>
            <w:vAlign w:val="bottom"/>
          </w:tcPr>
          <w:p>
            <w:pPr>
              <w:ind w:left="60"/>
              <w:spacing w:after="0"/>
              <w:rPr>
                <w:sz w:val="20"/>
                <w:szCs w:val="20"/>
                <w:color w:val="auto"/>
              </w:rPr>
            </w:pPr>
            <w:r>
              <w:rPr>
                <w:rFonts w:ascii="Arial" w:cs="Arial" w:eastAsia="Arial" w:hAnsi="Arial"/>
                <w:sz w:val="13"/>
                <w:szCs w:val="13"/>
                <w:b w:val="1"/>
                <w:bCs w:val="1"/>
                <w:color w:val="auto"/>
              </w:rPr>
              <w:t>Title</w:t>
            </w: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purpose of this filing is to report the election of the Reporting Person as an Officer. At the time of this filing, the Reporting Person does not hold Non-Derivative or Derivative Securities of EZCORP, Inc.</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Laura Jones Attorney-in-Fact</w:t>
            </w: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05/29/2015</w:t>
            </w:r>
          </w:p>
        </w:tc>
      </w:tr>
      <w:tr>
        <w:trPr>
          <w:trHeight w:val="22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5 (b)(v).</w:t>
      </w:r>
    </w:p>
    <w:p>
      <w:pPr>
        <w:spacing w:after="0" w:line="45" w:lineRule="exact"/>
        <w:rPr>
          <w:sz w:val="24"/>
          <w:szCs w:val="24"/>
          <w:color w:val="auto"/>
        </w:rPr>
      </w:pPr>
    </w:p>
    <w:p>
      <w:pPr>
        <w:jc w:val="both"/>
        <w:ind w:left="40" w:right="3900" w:firstLine="3"/>
        <w:spacing w:after="0" w:line="336" w:lineRule="auto"/>
        <w:tabs>
          <w:tab w:leader="none" w:pos="177"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2"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 REPORTING OBLIGATIONS</w:t>
      </w:r>
    </w:p>
    <w:p>
      <w:pPr>
        <w:spacing w:after="0" w:line="393" w:lineRule="exact"/>
        <w:rPr>
          <w:sz w:val="20"/>
          <w:szCs w:val="20"/>
          <w:color w:val="auto"/>
        </w:rPr>
      </w:pPr>
    </w:p>
    <w:p>
      <w:pPr>
        <w:ind w:right="2720" w:firstLine="809"/>
        <w:spacing w:after="0" w:line="241" w:lineRule="auto"/>
        <w:rPr>
          <w:sz w:val="20"/>
          <w:szCs w:val="20"/>
          <w:color w:val="auto"/>
        </w:rPr>
      </w:pPr>
      <w:r>
        <w:rPr>
          <w:rFonts w:ascii="Courier New" w:cs="Courier New" w:eastAsia="Courier New" w:hAnsi="Courier New"/>
          <w:sz w:val="17"/>
          <w:szCs w:val="17"/>
          <w:color w:val="auto"/>
        </w:rPr>
        <w:t>Known all by these presents, that the undersigned hereby makes, constitutes and appoints Laura Jones and Tom Welch,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200" w:lineRule="exact"/>
        <w:rPr>
          <w:sz w:val="20"/>
          <w:szCs w:val="20"/>
          <w:color w:val="auto"/>
        </w:rPr>
      </w:pPr>
    </w:p>
    <w:p>
      <w:pPr>
        <w:ind w:right="3320" w:firstLine="813"/>
        <w:spacing w:after="0" w:line="241" w:lineRule="auto"/>
        <w:tabs>
          <w:tab w:leader="none" w:pos="161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acknowledge, deliver and file 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01" w:lineRule="exact"/>
        <w:rPr>
          <w:rFonts w:ascii="Courier New" w:cs="Courier New" w:eastAsia="Courier New" w:hAnsi="Courier New"/>
          <w:sz w:val="17"/>
          <w:szCs w:val="17"/>
          <w:color w:val="auto"/>
        </w:rPr>
      </w:pPr>
    </w:p>
    <w:p>
      <w:pPr>
        <w:ind w:right="3620" w:firstLine="813"/>
        <w:spacing w:after="0" w:line="241" w:lineRule="auto"/>
        <w:tabs>
          <w:tab w:leader="none" w:pos="161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0" w:lineRule="exact"/>
        <w:rPr>
          <w:rFonts w:ascii="Courier New" w:cs="Courier New" w:eastAsia="Courier New" w:hAnsi="Courier New"/>
          <w:sz w:val="17"/>
          <w:szCs w:val="17"/>
          <w:color w:val="auto"/>
        </w:rPr>
      </w:pPr>
    </w:p>
    <w:p>
      <w:pPr>
        <w:ind w:right="3420" w:firstLine="813"/>
        <w:spacing w:after="0"/>
        <w:tabs>
          <w:tab w:leader="none" w:pos="161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attorney-in-fact are necessary or desirable for and on behalf of the undersigned in connection with the foregoing.</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199" w:lineRule="exact"/>
        <w:rPr>
          <w:sz w:val="20"/>
          <w:szCs w:val="20"/>
          <w:color w:val="auto"/>
        </w:rPr>
      </w:pPr>
    </w:p>
    <w:p>
      <w:pPr>
        <w:ind w:right="3740" w:firstLine="813"/>
        <w:spacing w:after="0"/>
        <w:tabs>
          <w:tab w:leader="none" w:pos="161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authorizes, but does not require, such attorney-in-fact to act in their discretion on information provided to such attorney-in-fact without independent verification of such information;</w:t>
      </w:r>
    </w:p>
    <w:p>
      <w:pPr>
        <w:spacing w:after="0" w:line="200" w:lineRule="exact"/>
        <w:rPr>
          <w:rFonts w:ascii="Courier New" w:cs="Courier New" w:eastAsia="Courier New" w:hAnsi="Courier New"/>
          <w:sz w:val="17"/>
          <w:szCs w:val="17"/>
          <w:color w:val="auto"/>
        </w:rPr>
      </w:pPr>
    </w:p>
    <w:p>
      <w:pPr>
        <w:ind w:right="2520" w:firstLine="813"/>
        <w:spacing w:after="0" w:line="239" w:lineRule="auto"/>
        <w:tabs>
          <w:tab w:leader="none" w:pos="161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and/or executed by such attorney-in-fact on behalf of the undersigned pursuant to this Power of Attorney will be in such form and</w:t>
      </w:r>
    </w:p>
    <w:p>
      <w:pPr>
        <w:spacing w:after="0" w:line="5" w:lineRule="exact"/>
        <w:rPr>
          <w:rFonts w:ascii="Courier New" w:cs="Courier New" w:eastAsia="Courier New" w:hAnsi="Courier New"/>
          <w:sz w:val="17"/>
          <w:szCs w:val="17"/>
          <w:color w:val="auto"/>
        </w:rPr>
      </w:pPr>
    </w:p>
    <w:p>
      <w:pPr>
        <w:ind w:right="3420"/>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 contain such information and disclosure as such attorney-in-fact, in his or her discretion, deems necessary or desirable;</w:t>
      </w:r>
    </w:p>
    <w:p>
      <w:pPr>
        <w:spacing w:after="0" w:line="199" w:lineRule="exact"/>
        <w:rPr>
          <w:rFonts w:ascii="Courier New" w:cs="Courier New" w:eastAsia="Courier New" w:hAnsi="Courier New"/>
          <w:sz w:val="17"/>
          <w:szCs w:val="17"/>
          <w:color w:val="auto"/>
        </w:rPr>
      </w:pPr>
    </w:p>
    <w:p>
      <w:pPr>
        <w:ind w:right="2320" w:firstLine="813"/>
        <w:spacing w:after="0" w:line="239" w:lineRule="auto"/>
        <w:tabs>
          <w:tab w:leader="none" w:pos="161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such attorney-in-fact assumes (i) any liability for the undersigned's responsibility to comply with the requirement of the Exchange</w:t>
      </w:r>
    </w:p>
    <w:p>
      <w:pPr>
        <w:spacing w:after="0" w:line="5" w:lineRule="exact"/>
        <w:rPr>
          <w:rFonts w:ascii="Courier New" w:cs="Courier New" w:eastAsia="Courier New" w:hAnsi="Courier New"/>
          <w:sz w:val="17"/>
          <w:szCs w:val="17"/>
          <w:color w:val="auto"/>
        </w:rPr>
      </w:pPr>
    </w:p>
    <w:p>
      <w:pPr>
        <w:ind w:right="3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 (ii) any liability of the undersigned for any failure to comply with such requirements, or (iii) any obligation or liability of the undersigned for profit disgorgement under Section 16(b) of the Exchange Act; and</w:t>
      </w:r>
    </w:p>
    <w:p>
      <w:pPr>
        <w:spacing w:after="0" w:line="200" w:lineRule="exact"/>
        <w:rPr>
          <w:rFonts w:ascii="Courier New" w:cs="Courier New" w:eastAsia="Courier New" w:hAnsi="Courier New"/>
          <w:sz w:val="17"/>
          <w:szCs w:val="17"/>
          <w:color w:val="auto"/>
        </w:rPr>
      </w:pPr>
    </w:p>
    <w:p>
      <w:pPr>
        <w:ind w:right="2320" w:firstLine="813"/>
        <w:spacing w:after="0" w:line="239" w:lineRule="auto"/>
        <w:tabs>
          <w:tab w:leader="none" w:pos="161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 relieve the undersigned from responsibility for compliance with the undersigned's obligations under the Exchange Act,</w:t>
      </w:r>
    </w:p>
    <w:p>
      <w:pPr>
        <w:spacing w:after="0" w:line="5" w:lineRule="exact"/>
        <w:rPr>
          <w:rFonts w:ascii="Courier New" w:cs="Courier New" w:eastAsia="Courier New" w:hAnsi="Courier New"/>
          <w:sz w:val="17"/>
          <w:szCs w:val="17"/>
          <w:color w:val="auto"/>
        </w:rPr>
      </w:pPr>
    </w:p>
    <w:p>
      <w:pPr>
        <w:ind w:right="3520"/>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including without limitation the reporting requirements under Section 16 of the Exchange Act.</w:t>
      </w:r>
    </w:p>
    <w:p>
      <w:pPr>
        <w:spacing w:after="0" w:line="200" w:lineRule="exact"/>
        <w:rPr>
          <w:sz w:val="20"/>
          <w:szCs w:val="20"/>
          <w:color w:val="auto"/>
        </w:rPr>
      </w:pPr>
    </w:p>
    <w:p>
      <w:pPr>
        <w:ind w:right="3120" w:firstLine="809"/>
        <w:spacing w:after="0"/>
        <w:rPr>
          <w:sz w:val="20"/>
          <w:szCs w:val="20"/>
          <w:color w:val="auto"/>
        </w:rPr>
      </w:pPr>
      <w:r>
        <w:rPr>
          <w:rFonts w:ascii="Courier New" w:cs="Courier New" w:eastAsia="Courier New" w:hAnsi="Courier New"/>
          <w:sz w:val="17"/>
          <w:szCs w:val="17"/>
          <w:color w:val="auto"/>
        </w:rPr>
        <w:t>The undersigned hereby gives and grants the foregoing attorney-in-fact full power and authority to do and perform all and every act and thing whatsoever requisite, necessary or appropriate to be done in and about the foregoing</w:t>
      </w:r>
    </w:p>
    <w:p>
      <w:pPr>
        <w:spacing w:after="0" w:line="6" w:lineRule="exact"/>
        <w:rPr>
          <w:sz w:val="20"/>
          <w:szCs w:val="20"/>
          <w:color w:val="auto"/>
        </w:rPr>
      </w:pPr>
    </w:p>
    <w:p>
      <w:pPr>
        <w:ind w:right="3620"/>
        <w:spacing w:after="0" w:line="241" w:lineRule="auto"/>
        <w:rPr>
          <w:sz w:val="20"/>
          <w:szCs w:val="20"/>
          <w:color w:val="auto"/>
        </w:rPr>
      </w:pPr>
      <w:r>
        <w:rPr>
          <w:rFonts w:ascii="Courier New" w:cs="Courier New" w:eastAsia="Courier New" w:hAnsi="Courier New"/>
          <w:sz w:val="17"/>
          <w:szCs w:val="17"/>
          <w:color w:val="auto"/>
        </w:rPr>
        <w:t>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199" w:lineRule="exact"/>
        <w:rPr>
          <w:sz w:val="20"/>
          <w:szCs w:val="20"/>
          <w:color w:val="auto"/>
        </w:rPr>
      </w:pPr>
    </w:p>
    <w:p>
      <w:pPr>
        <w:ind w:right="2920" w:firstLine="809"/>
        <w:spacing w:after="0" w:line="239" w:lineRule="auto"/>
        <w:rPr>
          <w:sz w:val="20"/>
          <w:szCs w:val="20"/>
          <w:color w:val="auto"/>
        </w:rPr>
      </w:pPr>
      <w:r>
        <w:rPr>
          <w:rFonts w:ascii="Courier New" w:cs="Courier New" w:eastAsia="Courier New" w:hAnsi="Courier New"/>
          <w:sz w:val="17"/>
          <w:szCs w:val="17"/>
          <w:color w:val="auto"/>
        </w:rPr>
        <w:t>This Power of Attorney shall remain in full force and effect until revoked by the undersigned in a signed writing delivered to such attorney-in-fact.</w:t>
      </w:r>
    </w:p>
    <w:p>
      <w:pPr>
        <w:spacing w:after="0" w:line="200" w:lineRule="exact"/>
        <w:rPr>
          <w:sz w:val="20"/>
          <w:szCs w:val="20"/>
          <w:color w:val="auto"/>
        </w:rPr>
      </w:pPr>
    </w:p>
    <w:p>
      <w:pPr>
        <w:ind w:right="3120" w:firstLine="809"/>
        <w:spacing w:after="0" w:line="23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27th day of May, 2015.</w:t>
      </w:r>
    </w:p>
    <w:p>
      <w:pPr>
        <w:spacing w:after="0" w:line="392" w:lineRule="exact"/>
        <w:rPr>
          <w:sz w:val="20"/>
          <w:szCs w:val="20"/>
          <w:color w:val="auto"/>
        </w:rPr>
      </w:pPr>
    </w:p>
    <w:p>
      <w:pPr>
        <w:jc w:val="both"/>
        <w:ind w:left="3440"/>
        <w:spacing w:after="0"/>
        <w:tabs>
          <w:tab w:leader="none" w:pos="1050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7"/>
          <w:szCs w:val="17"/>
          <w:color w:val="auto"/>
        </w:rPr>
        <w:t>Mark Ashby</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 OF TEXAS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COUNTY OF TRAVIS</w:t>
      </w:r>
    </w:p>
    <w:p>
      <w:pPr>
        <w:spacing w:after="0" w:line="199" w:lineRule="exact"/>
        <w:rPr>
          <w:sz w:val="20"/>
          <w:szCs w:val="20"/>
          <w:color w:val="auto"/>
        </w:rPr>
      </w:pPr>
    </w:p>
    <w:p>
      <w:pPr>
        <w:ind w:right="2920" w:firstLine="809"/>
        <w:spacing w:after="0"/>
        <w:rPr>
          <w:sz w:val="20"/>
          <w:szCs w:val="20"/>
          <w:color w:val="auto"/>
        </w:rPr>
      </w:pPr>
      <w:r>
        <w:rPr>
          <w:rFonts w:ascii="Courier New" w:cs="Courier New" w:eastAsia="Courier New" w:hAnsi="Courier New"/>
          <w:sz w:val="17"/>
          <w:szCs w:val="17"/>
          <w:color w:val="auto"/>
        </w:rPr>
        <w:t>On this 27th day of May, 2015, Mark Ashby, personally appeared before me, and acknowledged that s/he executed the foregoing instrument for the purposes therein contained.</w:t>
      </w:r>
    </w:p>
    <w:p>
      <w:pPr>
        <w:spacing w:after="0" w:line="19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IN WITNESS WHEREOF, I have hereunto set my hand and official seal.</w:t>
      </w:r>
    </w:p>
    <w:p>
      <w:pPr>
        <w:spacing w:after="0" w:line="391"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Notary Public</w:t>
      </w:r>
    </w:p>
    <w:p>
      <w:pPr>
        <w:spacing w:after="0" w:line="2"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Connie Moore</w:t>
      </w:r>
    </w:p>
    <w:p>
      <w:pPr>
        <w:sectPr>
          <w:pgSz w:w="11900" w:h="16838" w:orient="portrait"/>
          <w:cols w:equalWidth="0" w:num="1">
            <w:col w:w="11520"/>
          </w:cols>
          <w:pgMar w:left="240" w:top="140" w:right="139" w:bottom="0" w:gutter="0" w:footer="0" w:header="0"/>
        </w:sectPr>
      </w:pPr>
    </w:p>
    <w:p>
      <w:pPr>
        <w:spacing w:after="0" w:line="199"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Printed Name of Notary</w:t>
      </w:r>
    </w:p>
    <w:p>
      <w:pPr>
        <w:spacing w:after="0" w:line="11"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Commission expires: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30, 2018</w:t>
      </w:r>
    </w:p>
    <w:sectPr>
      <w:pgSz w:w="11900" w:h="16838" w:orient="portrait"/>
      <w:cols w:equalWidth="0" w:num="2">
        <w:col w:w="8380" w:space="720"/>
        <w:col w:w="2420"/>
      </w:cols>
      <w:pgMar w:left="240" w:top="140"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43683"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2020-01-22T08:50:36Z</dcterms:created>
  <dcterms:modified xsi:type="dcterms:W3CDTF">2020-01-22T08:50:36Z</dcterms:modified>
</cp:coreProperties>
</file>