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210820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113665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20" w:right="260" w:hanging="585"/>
        <w:spacing w:after="0" w:line="262" w:lineRule="auto"/>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620" w:right="260" w:hanging="585"/>
        <w:spacing w:after="0" w:line="262"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6"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409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105410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466090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EZCORP, INC.</w:t>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480" w:type="dxa"/>
        <w:tblCellMar>
          <w:top w:w="0" w:type="dxa"/>
          <w:left w:w="0" w:type="dxa"/>
          <w:bottom w:w="0" w:type="dxa"/>
          <w:right w:w="0" w:type="dxa"/>
        </w:tblCellMar>
      </w:tblPr>
      <w:tr>
        <w:trPr>
          <w:trHeight w:val="238"/>
        </w:trPr>
        <w:tc>
          <w:tcPr>
            <w:tcW w:w="5900" w:type="dxa"/>
            <w:vAlign w:val="bottom"/>
          </w:tcPr>
          <w:p>
            <w:pPr>
              <w:jc w:val="center"/>
              <w:ind w:right="10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220"/>
        </w:trPr>
        <w:tc>
          <w:tcPr>
            <w:tcW w:w="5900" w:type="dxa"/>
            <w:vAlign w:val="bottom"/>
          </w:tcPr>
          <w:p>
            <w:pPr>
              <w:jc w:val="center"/>
              <w:ind w:right="10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75"/>
        </w:trPr>
        <w:tc>
          <w:tcPr>
            <w:tcW w:w="5900" w:type="dxa"/>
            <w:vAlign w:val="bottom"/>
          </w:tcPr>
          <w:p>
            <w:pPr>
              <w:jc w:val="center"/>
              <w:ind w:right="1059"/>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w:t>
            </w:r>
          </w:p>
        </w:tc>
        <w:tc>
          <w:tcPr>
            <w:tcW w:w="32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78746</w:t>
            </w:r>
          </w:p>
        </w:tc>
      </w:tr>
      <w:tr>
        <w:trPr>
          <w:trHeight w:val="220"/>
        </w:trPr>
        <w:tc>
          <w:tcPr>
            <w:tcW w:w="5900" w:type="dxa"/>
            <w:vAlign w:val="bottom"/>
          </w:tcPr>
          <w:p>
            <w:pPr>
              <w:jc w:val="center"/>
              <w:ind w:right="105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114300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Times New Roman" w:cs="Times New Roman" w:eastAsia="Times New Roman" w:hAnsi="Times New Roman"/>
          <w:sz w:val="16"/>
          <w:szCs w:val="16"/>
          <w:color w:val="auto"/>
        </w:rPr>
        <w:t>days.</w:t>
        <w:tab/>
        <w:t>Yes x</w:t>
        <w:tab/>
        <w:t xml:space="preserve">No </w:t>
      </w:r>
      <w:r>
        <w:rPr>
          <w:rFonts w:ascii="MS PGothic" w:cs="MS PGothic" w:eastAsia="MS PGothic" w:hAnsi="MS PGothic"/>
          <w:sz w:val="16"/>
          <w:szCs w:val="16"/>
          <w:color w:val="auto"/>
        </w:rPr>
        <w:t>☐</w:t>
      </w:r>
    </w:p>
    <w:p>
      <w:pPr>
        <w:spacing w:after="0" w:line="209"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4" w:lineRule="exact"/>
        <w:rPr>
          <w:sz w:val="24"/>
          <w:szCs w:val="24"/>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sectPr>
      </w:pPr>
    </w:p>
    <w:p>
      <w:pPr>
        <w:spacing w:after="0" w:line="27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47" w:lineRule="exact"/>
        <w:rPr>
          <w:sz w:val="24"/>
          <w:szCs w:val="24"/>
          <w:color w:val="auto"/>
        </w:rPr>
      </w:pPr>
    </w:p>
    <w:p>
      <w:pPr>
        <w:sectPr>
          <w:pgSz w:w="11900" w:h="16838" w:orient="portrait"/>
          <w:cols w:equalWidth="0" w:num="4">
            <w:col w:w="1940" w:space="720"/>
            <w:col w:w="3520" w:space="720"/>
            <w:col w:w="3380" w:space="720"/>
            <w:col w:w="380"/>
          </w:cols>
          <w:pgMar w:left="240" w:top="225" w:right="27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5"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13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APPLICABLE ONLY TO CORPORATE ISSUERS:</w:t>
      </w:r>
    </w:p>
    <w:p>
      <w:pPr>
        <w:spacing w:after="0" w:line="221"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63"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As of January 30, 2017, 51,321,915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 FINANCIAL INFORMATION</w:t>
              </w:r>
            </w:hyperlink>
          </w:p>
        </w:tc>
        <w:tc>
          <w:tcPr>
            <w:tcW w:w="8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Times New Roman" w:cs="Times New Roman" w:eastAsia="Times New Roman" w:hAnsi="Times New Roman"/>
                <w:sz w:val="18"/>
                <w:szCs w:val="18"/>
                <w:i w:val="1"/>
                <w:iCs w:val="1"/>
                <w:color w:val="0000EE"/>
                <w:w w:val="99"/>
              </w:rPr>
            </w:pPr>
            <w:hyperlink w:anchor="page3">
              <w:r>
                <w:rPr>
                  <w:rFonts w:ascii="Times New Roman" w:cs="Times New Roman" w:eastAsia="Times New Roman" w:hAnsi="Times New Roman"/>
                  <w:sz w:val="18"/>
                  <w:szCs w:val="18"/>
                  <w:i w:val="1"/>
                  <w:iCs w:val="1"/>
                  <w:color w:val="0000EE"/>
                  <w:w w:val="99"/>
                </w:rPr>
                <w:t>Item 1. Financial Statements</w:t>
              </w:r>
            </w:hyperlink>
          </w:p>
        </w:tc>
        <w:tc>
          <w:tcPr>
            <w:tcW w:w="87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December 31, 2016 (Unaudited) and September 30, 2016</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Months Ended December 31, 2016 and 2015 (Unaudited)</w:t>
              </w:r>
            </w:hyperlink>
          </w:p>
        </w:tc>
        <w:tc>
          <w:tcPr>
            <w:tcW w:w="16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for the Three Months Ended December 31, 2016 and 2015</w:t>
              </w:r>
            </w:hyperlink>
          </w:p>
        </w:tc>
        <w:tc>
          <w:tcPr>
            <w:tcW w:w="11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(Unaudited)</w:t>
              </w:r>
            </w:hyperlink>
          </w:p>
        </w:tc>
        <w:tc>
          <w:tcPr>
            <w:tcW w:w="964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December 31, 2016 and 2015 (Unaudited)</w:t>
              </w:r>
            </w:hyperlink>
          </w:p>
        </w:tc>
        <w:tc>
          <w:tcPr>
            <w:tcW w:w="16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Stockholders’ Equity for the Three Months Ended December 31, 2016 and 2015 (Unaudited)</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Interim Condensed Consolidated Financial Statements (Unaudited)</w:t>
              </w:r>
            </w:hyperlink>
          </w:p>
        </w:tc>
        <w:tc>
          <w:tcPr>
            <w:tcW w:w="502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rFonts w:ascii="Times New Roman" w:cs="Times New Roman" w:eastAsia="Times New Roman" w:hAnsi="Times New Roman"/>
                <w:sz w:val="18"/>
                <w:szCs w:val="18"/>
                <w:i w:val="1"/>
                <w:iCs w:val="1"/>
                <w:color w:val="0000EE"/>
                <w:w w:val="99"/>
              </w:rPr>
            </w:pPr>
            <w:hyperlink w:anchor="page21">
              <w:r>
                <w:rPr>
                  <w:rFonts w:ascii="Times New Roman" w:cs="Times New Roman" w:eastAsia="Times New Roman" w:hAnsi="Times New Roman"/>
                  <w:sz w:val="18"/>
                  <w:szCs w:val="18"/>
                  <w:i w:val="1"/>
                  <w:iCs w:val="1"/>
                  <w:color w:val="0000EE"/>
                  <w:w w:val="99"/>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19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1"/>
          </w:tcPr>
          <w:p>
            <w:pPr>
              <w:spacing w:after="0"/>
              <w:rPr>
                <w:rFonts w:ascii="Times New Roman" w:cs="Times New Roman" w:eastAsia="Times New Roman" w:hAnsi="Times New Roman"/>
                <w:sz w:val="18"/>
                <w:szCs w:val="18"/>
                <w:i w:val="1"/>
                <w:iCs w:val="1"/>
                <w:color w:val="0000EE"/>
              </w:rPr>
            </w:pPr>
            <w:hyperlink w:anchor="page32">
              <w:r>
                <w:rPr>
                  <w:rFonts w:ascii="Times New Roman" w:cs="Times New Roman" w:eastAsia="Times New Roman" w:hAnsi="Times New Roman"/>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i w:val="1"/>
                <w:iCs w:val="1"/>
                <w:color w:val="0000EE"/>
                <w:w w:val="98"/>
              </w:rPr>
            </w:pPr>
            <w:hyperlink w:anchor="page32">
              <w:r>
                <w:rPr>
                  <w:rFonts w:ascii="Times New Roman" w:cs="Times New Roman" w:eastAsia="Times New Roman" w:hAnsi="Times New Roman"/>
                  <w:sz w:val="18"/>
                  <w:szCs w:val="18"/>
                  <w:i w:val="1"/>
                  <w:iCs w:val="1"/>
                  <w:color w:val="0000EE"/>
                  <w:w w:val="98"/>
                </w:rPr>
                <w:t>Item 4. 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30</w:t>
              </w:r>
            </w:hyperlink>
          </w:p>
        </w:tc>
      </w:tr>
      <w:tr>
        <w:trPr>
          <w:trHeight w:val="372"/>
        </w:trPr>
        <w:tc>
          <w:tcPr>
            <w:tcW w:w="40" w:type="dxa"/>
            <w:vAlign w:val="bottom"/>
          </w:tcPr>
          <w:p>
            <w:pPr>
              <w:spacing w:after="0"/>
              <w:rPr>
                <w:sz w:val="24"/>
                <w:szCs w:val="24"/>
                <w:color w:val="auto"/>
              </w:rPr>
            </w:pPr>
          </w:p>
        </w:tc>
        <w:tc>
          <w:tcPr>
            <w:tcW w:w="11180" w:type="dxa"/>
            <w:vAlign w:val="bottom"/>
            <w:gridSpan w:val="2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i w:val="1"/>
                <w:iCs w:val="1"/>
                <w:color w:val="0000EE"/>
                <w:w w:val="98"/>
              </w:rPr>
            </w:pPr>
            <w:hyperlink w:anchor="page33">
              <w:r>
                <w:rPr>
                  <w:rFonts w:ascii="Times New Roman" w:cs="Times New Roman" w:eastAsia="Times New Roman" w:hAnsi="Times New Roman"/>
                  <w:sz w:val="18"/>
                  <w:szCs w:val="18"/>
                  <w:i w:val="1"/>
                  <w:iCs w:val="1"/>
                  <w:color w:val="0000EE"/>
                  <w:w w:val="98"/>
                </w:rPr>
                <w:t>Item 1. Legal Proceedings</w:t>
              </w:r>
            </w:hyperlink>
          </w:p>
        </w:tc>
        <w:tc>
          <w:tcPr>
            <w:tcW w:w="500" w:type="dxa"/>
            <w:vAlign w:val="bottom"/>
            <w:tcBorders>
              <w:top w:val="single" w:sz="8" w:color="0000EE"/>
            </w:tcBorders>
            <w:gridSpan w:val="3"/>
          </w:tcPr>
          <w:p>
            <w:pPr>
              <w:spacing w:after="0"/>
              <w:rPr>
                <w:sz w:val="24"/>
                <w:szCs w:val="24"/>
                <w:color w:val="auto"/>
              </w:rPr>
            </w:pPr>
          </w:p>
        </w:tc>
        <w:tc>
          <w:tcPr>
            <w:tcW w:w="844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Times New Roman" w:cs="Times New Roman" w:eastAsia="Times New Roman" w:hAnsi="Times New Roman"/>
                <w:sz w:val="18"/>
                <w:szCs w:val="18"/>
                <w:i w:val="1"/>
                <w:iCs w:val="1"/>
                <w:color w:val="0000EE"/>
                <w:w w:val="99"/>
              </w:rPr>
            </w:pPr>
            <w:hyperlink w:anchor="page33">
              <w:r>
                <w:rPr>
                  <w:rFonts w:ascii="Times New Roman" w:cs="Times New Roman" w:eastAsia="Times New Roman" w:hAnsi="Times New Roman"/>
                  <w:sz w:val="18"/>
                  <w:szCs w:val="18"/>
                  <w:i w:val="1"/>
                  <w:iCs w:val="1"/>
                  <w:color w:val="0000EE"/>
                  <w:w w:val="99"/>
                </w:rPr>
                <w:t>Item 1A. Risk Factors</w:t>
              </w:r>
            </w:hyperlink>
          </w:p>
        </w:tc>
        <w:tc>
          <w:tcPr>
            <w:tcW w:w="926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Times New Roman" w:cs="Times New Roman" w:eastAsia="Times New Roman" w:hAnsi="Times New Roman"/>
                <w:sz w:val="18"/>
                <w:szCs w:val="18"/>
                <w:i w:val="1"/>
                <w:iCs w:val="1"/>
                <w:color w:val="0000EE"/>
                <w:w w:val="99"/>
              </w:rPr>
            </w:pPr>
            <w:hyperlink w:anchor="page33">
              <w:r>
                <w:rPr>
                  <w:rFonts w:ascii="Times New Roman" w:cs="Times New Roman" w:eastAsia="Times New Roman" w:hAnsi="Times New Roman"/>
                  <w:sz w:val="18"/>
                  <w:szCs w:val="18"/>
                  <w:i w:val="1"/>
                  <w:iCs w:val="1"/>
                  <w:color w:val="0000EE"/>
                  <w:w w:val="99"/>
                </w:rPr>
                <w:t>Item 5. Other Information</w:t>
              </w:r>
            </w:hyperlink>
          </w:p>
        </w:tc>
        <w:tc>
          <w:tcPr>
            <w:tcW w:w="89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1"/>
          </w:tcPr>
          <w:p>
            <w:pPr>
              <w:spacing w:after="0"/>
              <w:rPr>
                <w:rFonts w:ascii="Times New Roman" w:cs="Times New Roman" w:eastAsia="Times New Roman" w:hAnsi="Times New Roman"/>
                <w:sz w:val="18"/>
                <w:szCs w:val="18"/>
                <w:i w:val="1"/>
                <w:iCs w:val="1"/>
                <w:color w:val="0000EE"/>
              </w:rPr>
            </w:pPr>
            <w:hyperlink w:anchor="page34">
              <w:r>
                <w:rPr>
                  <w:rFonts w:ascii="Times New Roman" w:cs="Times New Roman" w:eastAsia="Times New Roman" w:hAnsi="Times New Roman"/>
                  <w:sz w:val="18"/>
                  <w:szCs w:val="18"/>
                  <w:i w:val="1"/>
                  <w:iCs w:val="1"/>
                  <w:color w:val="0000EE"/>
                </w:rPr>
                <w:t>Item 6. 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1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SIGNATURES</w:t>
              </w:r>
            </w:hyperlink>
          </w:p>
        </w:tc>
        <w:tc>
          <w:tcPr>
            <w:tcW w:w="1008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385"/>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65,737</w:t>
            </w: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Pawn loans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162,696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167,329</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31,062</w:t>
            </w: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 net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143,440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140,224</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41,946</w:t>
            </w: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2,533</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34,724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33,312</w:t>
            </w:r>
          </w:p>
        </w:tc>
      </w:tr>
      <w:tr>
        <w:trPr>
          <w:trHeight w:val="217"/>
        </w:trPr>
        <w:tc>
          <w:tcPr>
            <w:tcW w:w="9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473,232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482,143</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Investment in unconsolidated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37,128</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54,881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58,455</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253,976</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31,708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30,681</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Non-current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41,119</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tax asset, net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34,667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35,303</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37,187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44,439</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964,500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983,244</w:t>
            </w:r>
          </w:p>
        </w:tc>
      </w:tr>
      <w:tr>
        <w:trPr>
          <w:trHeight w:val="217"/>
        </w:trPr>
        <w:tc>
          <w:tcPr>
            <w:tcW w:w="9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 and equity:</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68,694</w:t>
            </w:r>
          </w:p>
        </w:tc>
        <w:tc>
          <w:tcPr>
            <w:tcW w:w="100" w:type="dxa"/>
            <w:vAlign w:val="bottom"/>
          </w:tcPr>
          <w:p>
            <w:pPr>
              <w:spacing w:after="0"/>
              <w:rPr>
                <w:sz w:val="20"/>
                <w:szCs w:val="20"/>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84,285</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10,693</w:t>
            </w:r>
          </w:p>
        </w:tc>
      </w:tr>
      <w:tr>
        <w:trPr>
          <w:trHeight w:val="217"/>
        </w:trPr>
        <w:tc>
          <w:tcPr>
            <w:tcW w:w="9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78,423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94,978</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283,611</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8,259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10,450</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365,618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389,039</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16"/>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 A Non-voting Common Stock, par value $.01 per share; shares authorized: 100 million as of December 31, 2016 and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September 30, 2016; issued and outstanding: 51,306,608 as of December 31, 2016 and 51,129,144 as of September 30, 2016</w:t>
            </w:r>
          </w:p>
        </w:tc>
        <w:tc>
          <w:tcPr>
            <w:tcW w:w="140" w:type="dxa"/>
            <w:vAlign w:val="bottom"/>
          </w:tcPr>
          <w:p>
            <w:pPr>
              <w:spacing w:after="0"/>
              <w:rPr>
                <w:sz w:val="18"/>
                <w:szCs w:val="18"/>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9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Class B Voting Common Stock, convertible, par value $.01 per share; 3 million shares authorized; issued and outstanding: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2,970,171</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319,825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318,723</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326,973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319,808</w:t>
            </w: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(44,089)</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EZCORP, Inc.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599,764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594,983</w:t>
            </w: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598,882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594,205</w:t>
            </w:r>
          </w:p>
        </w:tc>
      </w:tr>
      <w:tr>
        <w:trPr>
          <w:trHeight w:val="244"/>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964,500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983,244</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18"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80"/>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24"/>
                <w:szCs w:val="24"/>
                <w:color w:val="auto"/>
              </w:rPr>
            </w:pPr>
          </w:p>
        </w:tc>
      </w:tr>
      <w:tr>
        <w:trPr>
          <w:trHeight w:val="208"/>
        </w:trPr>
        <w:tc>
          <w:tcPr>
            <w:tcW w:w="8120" w:type="dxa"/>
            <w:vAlign w:val="bottom"/>
          </w:tcPr>
          <w:p>
            <w:pPr>
              <w:spacing w:after="0"/>
              <w:rPr>
                <w:sz w:val="18"/>
                <w:szCs w:val="18"/>
                <w:color w:val="auto"/>
              </w:rPr>
            </w:pPr>
          </w:p>
        </w:tc>
        <w:tc>
          <w:tcPr>
            <w:tcW w:w="330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Merchandise sales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111,513</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108,584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Jewelry scrapping sales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Pawn service charges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66,594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revenues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2,758</w:t>
            </w:r>
          </w:p>
        </w:tc>
      </w:tr>
      <w:tr>
        <w:trPr>
          <w:trHeight w:val="21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192,624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187,557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66,259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8,344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cost of revenues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r>
      <w:tr>
        <w:trPr>
          <w:trHeight w:val="21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revenues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111,965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112,610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Operations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77,646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76,018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19,983</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(Gain) loss on sale or disposal of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105,268</w:t>
            </w:r>
          </w:p>
        </w:tc>
      </w:tr>
      <w:tr>
        <w:trPr>
          <w:trHeight w:val="217"/>
        </w:trPr>
        <w:tc>
          <w:tcPr>
            <w:tcW w:w="8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Operating income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14,096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net income of unconsolidated affiliate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1,758</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net of tax</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(11,685)</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EZCORP, Inc.</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Basic earnings per share attributable to EZCORP,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continuing operations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Diluted earnings per share attributable to EZCORP,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continuing operations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basic shares outstanding</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54,895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diluted shares outstanding</w:t>
            </w: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54,909</w:t>
            </w:r>
          </w:p>
        </w:tc>
      </w:tr>
      <w:tr>
        <w:trPr>
          <w:trHeight w:val="33"/>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interim condensed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47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80"/>
        </w:trPr>
        <w:tc>
          <w:tcPr>
            <w:tcW w:w="47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3"/>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24"/>
                <w:szCs w:val="24"/>
                <w:color w:val="auto"/>
              </w:rPr>
            </w:pPr>
          </w:p>
        </w:tc>
      </w:tr>
      <w:tr>
        <w:trPr>
          <w:trHeight w:val="208"/>
        </w:trPr>
        <w:tc>
          <w:tcPr>
            <w:tcW w:w="47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3"/>
          </w:tcPr>
          <w:p>
            <w:pPr>
              <w:jc w:val="center"/>
              <w:ind w:left="2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8"/>
                <w:szCs w:val="18"/>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Foreign currency translation loss, net of income </w:t>
            </w:r>
            <w:r>
              <w:rPr>
                <w:rFonts w:ascii="Times New Roman" w:cs="Times New Roman" w:eastAsia="Times New Roman" w:hAnsi="Times New Roman"/>
                <w:sz w:val="16"/>
                <w:szCs w:val="16"/>
                <w:color w:val="auto"/>
                <w:shd w:val="clear" w:color="auto" w:fill="CCEEFF"/>
              </w:rPr>
              <w:t>tax (expense) benefit</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our investment in unconsolidated affiliate of</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($444) and $2,603 for the three months ended December 31, 2016 and 2015, respectively</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(9,359)</w:t>
            </w:r>
          </w:p>
        </w:tc>
      </w:tr>
      <w:tr>
        <w:trPr>
          <w:trHeight w:val="237"/>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47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(17,603)</w:t>
            </w: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100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33"/>
        </w:trPr>
        <w:tc>
          <w:tcPr>
            <w:tcW w:w="47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 attributable to EZCORP, Inc.</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(16,761)</w:t>
            </w:r>
          </w:p>
        </w:tc>
      </w:tr>
      <w:tr>
        <w:trPr>
          <w:trHeight w:val="20"/>
        </w:trPr>
        <w:tc>
          <w:tcPr>
            <w:tcW w:w="47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interim condensed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380"/>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6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Adjustments to reconcile net income (loss) to net 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8,090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Amortization of prepaid commissions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Accretion of notes receivable discount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Consumer loan loss provision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9,691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adjustments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Stock compensation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Income from investment in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Service charges and fees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and other, deferred gains and other long-term liabilities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taxes receivable and payable, current, net of excess tax benefit from stock compensation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of 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 made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repaid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91,283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106,372</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64,430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58,566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collections on notes receivable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Payout of deferred consideration</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settlement of forward currency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3,557</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restricted cash</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borrowings, net of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14,302</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borrowings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65,737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59,124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22,781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Pawn loans forfeited and transferred to inventory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65,629</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 reinvestment acquisition of additional ownership in unconsolidated affiliate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18" w:right="239" w:bottom="114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144"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80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EZCORP, Inc.</w:t>
            </w:r>
          </w:p>
        </w:tc>
        <w:tc>
          <w:tcPr>
            <w:tcW w:w="0" w:type="dxa"/>
            <w:vAlign w:val="bottom"/>
          </w:tcPr>
          <w:p>
            <w:pPr>
              <w:spacing w:after="0"/>
              <w:rPr>
                <w:sz w:val="1"/>
                <w:szCs w:val="1"/>
                <w:color w:val="auto"/>
              </w:rPr>
            </w:pPr>
          </w:p>
        </w:tc>
      </w:tr>
      <w:tr>
        <w:trPr>
          <w:trHeight w:val="165"/>
        </w:trPr>
        <w:tc>
          <w:tcPr>
            <w:tcW w:w="4920" w:type="dxa"/>
            <w:vAlign w:val="bottom"/>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7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10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80"/>
        </w:trPr>
        <w:tc>
          <w:tcPr>
            <w:tcW w:w="4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1"/>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(Unaudited, except balances as of September 30, 2016)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Balances as of September 30, 2016</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54,099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318,723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319,808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594,983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compensation</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1,808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Release of restricted stock</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attributable to EZCORP, Inc.</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7,165</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as of December 31, 2016</w:t>
            </w:r>
          </w:p>
        </w:tc>
        <w:tc>
          <w:tcPr>
            <w:tcW w:w="7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54,277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319,825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326,973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599,764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interim condensed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used in this report, the terms “we,” “us,” “our,” “EZCORP” and the “Company” mean EZCORP, Inc. and its consolidated subsidiaries, collectively.</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 leading provider of pawn loans in the United States and Mexico.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9. All intercompany accounts and transactions have been eliminated in consolidation.</w:t>
      </w:r>
    </w:p>
    <w:p>
      <w:pPr>
        <w:spacing w:after="0" w:line="13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consolidated financial statements and notes included in our Annual Report on Form 10-K for the year ended September 30, 2016. The balance sheet as of September 30, 2016 has been derived from the audited financial statements at that date but does not include all of the information and footnotes required by GAAP for complete financial statements.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seasonal variations, and operating results for the three months ended December 31, 2016 and 2015 (the "current quarter" or "current three months" and "prior-year quarter," respectively) are not necessarily indicative of the results of operations for the full fiscal year.</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have been no changes in significant accounting policies as described in our Annual Report on Form 10-K for the year ended September 30, 2016, other than those described below, and we have eliminated certain disclosures previously presented in our historical financial statements that we do not consider material to the overall financial statements presented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to Prior Period Financial Statements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Certain reclassifications of prior period amounts have been made. These reclassifications, other than those pertaining to discontinued operations discussed in Note 9 and the adoption of Financial Accounting Standards Board ("FASB") Accounting Standards Updates ("ASUs") discussed below, were made to conform to the current period presentation.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Policies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early adopted ASU 2016-09, Compensation — Stock Compensation (Topic 718): Improvements to Employee Share-Based Payment Accounting during the current quarter. This ASU simplifies several aspects of the accounting for share-based payment transactions, including income tax consequences, calculation of the dilutive impact of awards, classification of awards as either equity or liabilities and classification on the statement of cash flows. We prospectively applied the requirement to present excess tax benefits as an operating activity on the statement of cash flows. Further, we continue to estimate the number of award forfeitures in recording costs for share-based awards. The financial impact of adopting ASU 2016-09 was a $0.4 million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income tax benefit during the current quarter for excess tax benefits on vested awards which previously would have been recorded to "Additional paid-in capital" prior to adoption of ASU 2016-09.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further adopted ASU 2015-11, Inventory (Topic 330): Simplifying the Measurement of Inventory, ASU 2015-05, Intangibles — Goodwill and Other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Internal-Use Software (Subtopic 350-40): Customer's Accounting for Fees Paid in a Cloud Computing Arrangement and ASU 2014-15, Presentation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 Going Concern (Subtopic 205-40) during the current quarter. The impacts of adoption for each ASU are as follows:</w:t>
      </w:r>
    </w:p>
    <w:p>
      <w:pPr>
        <w:spacing w:after="0" w:line="153" w:lineRule="exact"/>
        <w:rPr>
          <w:sz w:val="20"/>
          <w:szCs w:val="20"/>
          <w:color w:val="auto"/>
        </w:rPr>
      </w:pPr>
    </w:p>
    <w:p>
      <w:pPr>
        <w:ind w:left="660" w:right="12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early adopted ASU 2015-11 during the current quarter on a prospective basis, and such adoption did not have a material impact on our consolidated financial position, results of operations or cash flows. We now measure our inventories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w:t>
      </w:r>
    </w:p>
    <w:p>
      <w:pPr>
        <w:spacing w:after="0" w:line="129"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adopted ASU 2015-05 during the current quarter on a prospective basis for all arrangements entered into or materially modified after adoption of the ASU, and such adoption did not have a material impact on our consolidated financial position, results of operations or cash flows. We now consider whether cloud computing arrangements include a software license. If a cloud computing arrangement includes a software license, then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29"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early adopted ASU 2014-15 during the current quarter. Upon adoption of the ASU, management has the responsibility to evaluate whether there is substantial doubt about our ability to continue as a going concern for a period of one year after the date that the financial statements are issued (or available to be issued) or to provide related footnote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and Significant Accounting Policies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This ASU eliminates Step 2 from the goodwill impairment test which previously required measurement of any goodwill impairment loss by comparing the implied fair value of a reporting unit’s goodwill with the carrying amount of that goodwill. Under the new standard, an entity should perform its annual, or interim, goodwill impairment test by comparing the fair value of a reporting unit with its carrying amount and recognize an impairment charge for the amount by which the carrying amount exceeds the reporting unit’s fair value; without exceeding the total amount of goodwill allocated to that reporting unit. The provisions of this ASU are effective for fiscal years, and any interim goodwill impairment tests within those fiscal years beginning after December 15, 2019. Early adoption is permitted for interim or annual goodwill impairment tests performed on testing dates after January 1, 2017. A reporting entity should apply the amendment on a prospective basis. We are in the process of evaluating the impact of adopting ASU 2017-04 on our consolidated financial position, results of operations and cash flows, although we anticipate such adoption in fiscal 2017 with the primary impact being the measurement of any future goodwill impairment charges.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as of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are in the process of evaluating the impact of adopting ASU 2016-13 on our consolidated financial position, results of operations and cash flows.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and interim periods within those fiscal years, beginning after December 15, 2018. Early adoption is permitted based upon guidance issued within the ASU. We are in the process of evaluating the impact of adopting ASU 2016-02 on our consolidated financial position, results of operations and cash flows and anticipate providing further disclosure of that impact in subsequent fiscal 2017 periods.</w:t>
      </w:r>
    </w:p>
    <w:p>
      <w:pPr>
        <w:spacing w:after="0" w:line="13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The FASB also permitted early adoption of the standard, but not before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original effective date of December 15, 2016. The amendments in ASU 2014-09 will be added to the Accounting Standards Codification as Topic 606, Revenue from Contracts with Customers, and will supersede the revenue recognition requirements in Topic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w:t>
      </w:r>
    </w:p>
    <w:p>
      <w:pPr>
        <w:spacing w:after="0" w:line="3" w:lineRule="exact"/>
        <w:rPr>
          <w:sz w:val="20"/>
          <w:szCs w:val="20"/>
          <w:color w:val="auto"/>
        </w:rPr>
      </w:pPr>
    </w:p>
    <w:p>
      <w:pPr>
        <w:ind w:right="4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 We are evaluating the impact that will result from adopting ASU 2014-09 on our consolidated financial position, results of operations, and cash flows and anticipate providing further disclosure of that impact in subsequent fiscal 2017 periods.</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Notes to Consolidated Financial Statements included in "Part II, Item 8 — Financial Statements and Supplementary Data" of our Annual Report on Form 10-K for the year ended September 30, 2016 for discussion of our significant accounting policies and other accounting pronouncements issued but not yet adopted.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basic and diluted earnings per share and excluded antidilutive potential common shares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18"/>
        </w:trPr>
        <w:tc>
          <w:tcPr>
            <w:tcW w:w="8120" w:type="dxa"/>
            <w:vAlign w:val="bottom"/>
          </w:tcPr>
          <w:p>
            <w:pPr>
              <w:spacing w:after="0"/>
              <w:rPr>
                <w:sz w:val="24"/>
                <w:szCs w:val="24"/>
                <w:color w:val="auto"/>
              </w:rPr>
            </w:pPr>
          </w:p>
        </w:tc>
        <w:tc>
          <w:tcPr>
            <w:tcW w:w="330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EZCORP (A)</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(B)</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EZCORP (C)</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outstanding shares of common stock (D)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54,895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restricted stock</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Weighted-average common stock and common stock equivalents (E)</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54,909</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 attributable to EZCORP:</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 (A / D)</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 (B / D)</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 earnings (loss) per share (C / D)</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109"/>
        </w:trPr>
        <w:tc>
          <w:tcPr>
            <w:tcW w:w="8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 attributable to EZCORP:</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 (A / 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 (B / E)</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 earnings (loss) per share (C / 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Potential common shares excluded from the calculation of diluted earnings (loss) per share above: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14,317</w:t>
            </w:r>
          </w:p>
        </w:tc>
      </w:tr>
      <w:tr>
        <w:trPr>
          <w:trHeight w:val="25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potential common shares excluded</w:t>
            </w:r>
          </w:p>
        </w:tc>
        <w:tc>
          <w:tcPr>
            <w:tcW w:w="9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14,497</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140" w:hanging="332"/>
        <w:spacing w:after="0" w:line="282"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0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5 for discussion of the terms and conditions of these potential common shares.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STRATEGIC INVESTMENTS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2016, we owned 156,552,484 shares, or approximately 32%, of our unconsolidated affiliate Cash Converters International Limited ("Cash Converters International"). The following tables present summary financial information for Cash Converters International’s most recently reported results as of December 31, 2016 after translation to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24"/>
                <w:szCs w:val="24"/>
                <w:color w:val="auto"/>
              </w:rPr>
            </w:pP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173,830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186,472</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141,028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151,287</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314,858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337,759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86,374</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51,873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51,044</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attributable to owners of the parent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179,709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200,340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314,858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337,759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20"/>
        </w:trPr>
        <w:tc>
          <w:tcPr>
            <w:tcW w:w="8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24"/>
                <w:szCs w:val="24"/>
                <w:color w:val="auto"/>
              </w:rPr>
            </w:pP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221,973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241,584</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158,952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174,101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attributable to:</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Owners of the parent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57"/>
        </w:trPr>
        <w:tc>
          <w:tcPr>
            <w:tcW w:w="8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for the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accordance with FASB Accounting Standards Codification ("ASC") 820-10, our assets and liabilities discussed below are classified in one of the following three categories based on the inputs used to develop their fair values: Level 1 —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our financial assets (liabilities) that were carried and measured at fair value on a recurring basis: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Assets (Liabilities)</w:t>
            </w:r>
          </w:p>
        </w:tc>
        <w:tc>
          <w:tcPr>
            <w:tcW w:w="120" w:type="dxa"/>
            <w:vAlign w:val="bottom"/>
            <w:vMerge w:val="restart"/>
          </w:tcPr>
          <w:p>
            <w:pPr>
              <w:spacing w:after="0"/>
              <w:rPr>
                <w:sz w:val="13"/>
                <w:szCs w:val="13"/>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385"/>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Guarantee asset — Level 3</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Guarantee liability — Level 3</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Convertible Notes Hedges — Level 2</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37,692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Convertible Notes Embedded Derivative — Level 2</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initially measured the guarantee asset and liability at fair value and are subsequently amortizing the guarantees based upon the principal payments received on the associated notes receivable, which approximates the fair value of the guarantees.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measured the fair value of the Cash Convertible Notes Hedges and the Cash Convertible Notes Embedded Derivative using an option pricing model based on observable Level 1 and Level 2 inputs such as conversion price of underlying shares, current share price, implied volatility, risk free interest rate and other factors. See Note 5 for additional discussion.</w:t>
      </w:r>
    </w:p>
    <w:p>
      <w:pPr>
        <w:spacing w:after="0" w:line="12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1 or Level 2 for financial assets or liabilities measured at fair value on a recurring basis during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tables below present our financial assets and liabilities that were not measured at fair value (including those discussed below the following tables) on a recurring basis: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86"/>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75,545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76,012</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76,012</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39,875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Convertible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200,728</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221,950</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221,950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48,408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49,160</w:t>
            </w:r>
          </w:p>
        </w:tc>
      </w:tr>
      <w:tr>
        <w:trPr>
          <w:trHeight w:val="400"/>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86"/>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83,065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83,065</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83,065</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Convertible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197,954</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227,332</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227,332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47,965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48,688</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the short-term nature of cash and cash equivalents, restricted cash, pawn loans, pawn service charges receivable and current consumer loans, fees and interest receivable, we estimate that their carrying value approximates fair value. We consider our cash and cash equivalents and restricted cash to be measured using Level 1 inputs and our pawn loans, pawn service charges receivable and current consumer loans, fees and interest receivable to be measured using Level 3 inputs. Significant increases or decreases in the underlying assumptions used to value pawn loans, pawn service charges receivable and current consumer loans, fees and interest receivable could significantly increase or decrease these fair value estimates.</w:t>
      </w:r>
    </w:p>
    <w:p>
      <w:pPr>
        <w:spacing w:after="0" w:line="13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We measured the fair value of the notes receivable under a discounted cash flow approach considering the synthetic credit ratings for Prestaciones Finmart, S.A.P.I. de C.V., SOFOM, E.N.R. ("Grupo Finmart") and Alpha Holding, S.A. de C.V. (“AlphaCredit”), as applicable, with discount rates ranging</w:t>
      </w:r>
    </w:p>
    <w:p>
      <w:pPr>
        <w:spacing w:after="0" w:line="1"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from 8% to 22%. Certain of the significant inputs used for the valuation were not observable in the market. Significant increases or decreases in the underlying assumptions used to value the notes receivable could significantly increase or decrease these fair value estimates.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measured the fair value of the Cash Convertible Notes using quoted price inputs from Bloomberg. The Cash Convertible Notes are not actively traded and thus the price inputs represent a Level 2 measurement. As the Cash Convertible Notes are not</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actively traded, the quoted price inputs obtained from Bloomberg are highly variable from day to day and thus the fair value estimates disclosed above could significantly increase or decrease.</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measured the fair value of the Term Loan Facility under a discounted cash flow approach considering our synthetic credit rating, including inputs that are not observable in the market, with discount rates up to 8%. A 50 basis point increase or decrease in the calculated credit spread based on our underlying synthetic credit rating would increase or decrease the fair value of our Term Loan Facility by approximately $1.4 million. The fair value of the Term Loan Facility approximated its carrying value, inclusive of issuance costs and exclusive of deferred financing costs, as of September 30, 2016. Significant increases or decreases in the underlying assumptions used to value our notes receivable could significantly increase or decrease these fair value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Grupo Finmart Divestiture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guarantee. We determined that we are not the primary beneficiary of Grupo Finmart subsequent to its disposition as we lack a controlling financial interest in Grupo Finmart. As of December 31, 2016, we had a total gross outstanding balance on our notes receivable of $81.1 million. We have collected $7.8 million in principal on these notes receivable during the current quarter.</w:t>
      </w:r>
    </w:p>
    <w:p>
      <w:pPr>
        <w:spacing w:after="0" w:line="13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 and classification of the assets and liabilities pertaining to our variable interest compared to the maximum exposure to loss for each asset and liability: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 (Liability)</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 (Liability)</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Recorded in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Recorded in</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20" w:type="dxa"/>
            <w:vAlign w:val="bottom"/>
            <w:vMerge w:val="restart"/>
          </w:tcPr>
          <w:p>
            <w:pPr>
              <w:spacing w:after="0"/>
              <w:rPr>
                <w:sz w:val="12"/>
                <w:szCs w:val="12"/>
                <w:color w:val="auto"/>
              </w:rPr>
            </w:pPr>
          </w:p>
        </w:tc>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Exposure to</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Exposure to Loss</w:t>
            </w:r>
          </w:p>
        </w:tc>
        <w:tc>
          <w:tcPr>
            <w:tcW w:w="0" w:type="dxa"/>
            <w:vAlign w:val="bottom"/>
          </w:tcPr>
          <w:p>
            <w:pPr>
              <w:spacing w:after="0"/>
              <w:rPr>
                <w:sz w:val="1"/>
                <w:szCs w:val="1"/>
                <w:color w:val="auto"/>
              </w:rPr>
            </w:pPr>
          </w:p>
        </w:tc>
      </w:tr>
      <w:tr>
        <w:trPr>
          <w:trHeight w:val="38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ind w:left="6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receivable, net (including discount of $5.6 million and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 million as of December 31, 2016 and September 30,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receivable</w:t>
            </w:r>
          </w:p>
        </w:tc>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75,545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83,065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83,065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Guarantee asset</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Guarantee liability*</w:t>
            </w:r>
          </w:p>
        </w:tc>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40" w:hanging="332"/>
        <w:spacing w:after="0" w:line="269"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exposure to loss under the guarantee liability was $18.2 million and $25.3 million as of December 31, 2016 and September 30, 2016, respectively. However such amount is included within the maximum exposure to loss for the notes receivable above, as the guarantee liability is a guarantee by us of Grupo Finmart’s repayment of our notes receivable owed by Grupo Finmart.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long-term debt instruments outstanding as well as future principal payments due: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vMerge w:val="restart"/>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Debt Discount and</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vMerge w:val="restart"/>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Debt Discount and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Recourse to EZCORP:</w:t>
            </w: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2.125% Cash convertible senior notes</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due 2019</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120" w:type="dxa"/>
            <w:vAlign w:val="bottom"/>
          </w:tcPr>
          <w:p>
            <w:pPr>
              <w:spacing w:after="0"/>
              <w:rPr>
                <w:sz w:val="20"/>
                <w:szCs w:val="20"/>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200,728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(32,046)</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197,954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convertible senior notes due 2019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embedded derivative</w:t>
            </w: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37,692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37,692</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loan facility</w:t>
            </w:r>
          </w:p>
        </w:tc>
        <w:tc>
          <w:tcPr>
            <w:tcW w:w="4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48,408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47,965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278,936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317,692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283,611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Principal Payment Schedule</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1 - 3 Years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Cash convertible senior notes due 2019 (a)</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facility (b)</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potential impact of the embedded derivative.</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discussion regarding acceleration of maturity date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Term Loan Facility up to $100 Million</w:t>
      </w:r>
    </w:p>
    <w:p>
      <w:pPr>
        <w:spacing w:after="0" w:line="3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12, 2016 (the “Closing Date”), EZCORP, Inc. (as borrower) and certain of its subsidiaries (as guarantors) entered into a “Financing Agreement” with certain lenders (the “Lenders”) and Fortress Credit Co LLC (as collateral and administrative agent for the Lenders). The Financing Agreement provides for a senior secured credit facility in an aggregate principal amount of $100 million, subject to various terms and conditions contained in the Financing Agreement. The credit facility (“Term Loan Facility”) consists of an initial Term Loan of $50 million (“Initial Term Loan”) that was drawn on the Closing Date, and one or more “Delayed Draw Term Loans” of up to $50 million in the aggregate that may be drawn in whole or in part at any time and from time to time during the first 18 months from the Closing Date.</w:t>
      </w:r>
    </w:p>
    <w:p>
      <w:pPr>
        <w:spacing w:after="0" w:line="29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Borrowings under the facility bear interest at an annual rate initially equal to the London Interbank Offered Rate (“LIBOR”) plus 7.5% or, at our election, a “Reference Rate” plus 6.5%, but will be reduced to LIBOR plus 6.5% or, at our election, the Reference Rate plus 5.5% upon the later of December 31, 2017 or the occurrence of a specified investment return event. In any case, the LIBOR is subject to a floor of 1% and the Reference Rate is subject to a floor of 3%. We pay a monthly fee of 2.75% per annum on the average daily unused portion of the Delayed Draw Term Loan facility and a quarterly loan servicing fee of $15,000. At the time of each draw under the Delayed Draw Term Loan facility, we will pay a funding fee of 0.875% of the funded Delayed Draw Term Loan.</w:t>
      </w:r>
    </w:p>
    <w:p>
      <w:pPr>
        <w:spacing w:after="0" w:line="1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new facility must be repaid on the Final Maturity Date, which will occur on September 12, 2022 (six years after the Closing Date); provided, however, that the Final Maturity Date will occur on May 15, 2019 if, on that date, more than 10% of our 2.125% Cash Convertible Senior Notes Due 2019 (“Cash Convertible Notes”) remain outstanding or there is no lender-approved plan to refinance any lesser outstanding amount of the Cash Convertible Notes. The facility is subject to mandatory prepayments upon the occurrence of certain specified events, such as asset sales, certain debt issuances, certain equity issuances, casualty and condemnation events and receipt of tax refunds or proceeds of settlements or judgments (subject to customary exceptions, materiality thresholds and reinvestment rights). We may voluntarily prepay the facility at any time subject to a prepayment premium of 2% during the first year after the Closing Date and 1% during the second year after the Closing Date.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Financing Agreement contains affirmative and negative covenants, indemnities, representations and warranties, and other terms and conditions customary for financings of this type, including limitations on certain indebtedness, liens, acquisitions and other investments, fundamental changes (including mergers, consolidations and dissolutions), asset dispositions, dividends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distributions, prepayments of other indebtedness, sale and leaseback transactions, and transactions with affiliates. The Financing Agreement also contains quarterly financial covenants consisting of a maximum Senior Leverage Ratio and a minimum Fixed Charge Coverage Ratio, as well as customary events of default. We were not in default of any of these covenants as of December 31,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2.125% Cash Convertible Senior Notes Due 2019</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52525"/>
        </w:rPr>
        <w:t xml:space="preserve">In June 2014 ("Original Issuance Date"), we issued $200 million aggregate principal amount of 2.125% Cash Convertible </w:t>
      </w:r>
      <w:r>
        <w:rPr>
          <w:rFonts w:ascii="Times New Roman" w:cs="Times New Roman" w:eastAsia="Times New Roman" w:hAnsi="Times New Roman"/>
          <w:sz w:val="18"/>
          <w:szCs w:val="18"/>
          <w:color w:val="000000"/>
        </w:rPr>
        <w:t>Notes, with an additional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million principal amount of Cash Convertible Notes issued in July 2014. All of the Cash Convertible Notes were issued </w:t>
      </w:r>
      <w:r>
        <w:rPr>
          <w:rFonts w:ascii="Times New Roman" w:cs="Times New Roman" w:eastAsia="Times New Roman" w:hAnsi="Times New Roman"/>
          <w:sz w:val="18"/>
          <w:szCs w:val="18"/>
          <w:color w:val="252525"/>
        </w:rPr>
        <w:t>pursuant to an indenture dated June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23, 2014 (the "Indenture") by and between EZCORP and Wells Fargo Bank, National Association, as the trustee. The Cash Convertible Notes were issued in a private offering </w:t>
      </w:r>
      <w:r>
        <w:rPr>
          <w:rFonts w:ascii="Times New Roman" w:cs="Times New Roman" w:eastAsia="Times New Roman" w:hAnsi="Times New Roman"/>
          <w:sz w:val="18"/>
          <w:szCs w:val="18"/>
          <w:color w:val="000000"/>
        </w:rPr>
        <w:t>and resold under Rule 144A under the Securities Act of 1933.</w:t>
      </w:r>
      <w:r>
        <w:rPr>
          <w:rFonts w:ascii="Times New Roman" w:cs="Times New Roman" w:eastAsia="Times New Roman" w:hAnsi="Times New Roman"/>
          <w:sz w:val="18"/>
          <w:szCs w:val="18"/>
          <w:color w:val="252525"/>
        </w:rPr>
        <w:t xml:space="preserve"> The Cash Convertible Notes pay interest semi-annually in arrears at a rate of 2.125% per annum on June 15 and December 15 of each year and mature on June 15, 2019 (the "Maturity Date").</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Cash Convertible Notes Embedded Derivative</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cash conversion feature of the Cash Convertible Notes as a separate derivative instrument (the “Cash Convertible Notes </w:t>
      </w:r>
      <w:r>
        <w:rPr>
          <w:rFonts w:ascii="Times New Roman" w:cs="Times New Roman" w:eastAsia="Times New Roman" w:hAnsi="Times New Roman"/>
          <w:sz w:val="18"/>
          <w:szCs w:val="18"/>
          <w:color w:val="252525"/>
        </w:rPr>
        <w:t>Embedded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Derivative</w:t>
      </w:r>
      <w:r>
        <w:rPr>
          <w:rFonts w:ascii="Times New Roman" w:cs="Times New Roman" w:eastAsia="Times New Roman" w:hAnsi="Times New Roman"/>
          <w:sz w:val="18"/>
          <w:szCs w:val="18"/>
          <w:color w:val="000000"/>
        </w:rPr>
        <w:t>”). The Cash Convertible Notes are convertible into cash, subject to satisfaction of certain conditions and during the periods described below, based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52525"/>
        </w:rPr>
        <w:t xml:space="preserve">Holders may surrender their Cash Convertible Notes for conversion into cash prior to December 15, 2018 only under the following circumstances (the “Early Conversion Conditions”): </w:t>
      </w:r>
      <w:r>
        <w:rPr>
          <w:rFonts w:ascii="Times New Roman" w:cs="Times New Roman" w:eastAsia="Times New Roman" w:hAnsi="Times New Roman"/>
          <w:sz w:val="18"/>
          <w:szCs w:val="18"/>
          <w:color w:val="000000"/>
        </w:rPr>
        <w:t>(1) during any fiscal quarter commencing after the fiscal quarter ending on September 30, 2014 (and only during such fiscal</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Times New Roman" w:cs="Times New Roman" w:eastAsia="Times New Roman" w:hAnsi="Times New Roman"/>
          <w:sz w:val="18"/>
          <w:szCs w:val="18"/>
          <w:color w:val="252525"/>
        </w:rPr>
        <w:t>On or after December 15, 2018 until the close of business on the second scheduled trading day immediately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preceding the Maturity Date, holders may convert their notes into cash at any time, regardless of the foregoing circumstances.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Times New Roman" w:cs="Times New Roman" w:eastAsia="Times New Roman" w:hAnsi="Times New Roman"/>
          <w:sz w:val="18"/>
          <w:szCs w:val="18"/>
          <w:color w:val="000000"/>
        </w:rPr>
        <w:t>(for example, certain dividend distributions or tender or exchange offer of our Class A Common Stock).</w:t>
      </w:r>
    </w:p>
    <w:p>
      <w:pPr>
        <w:spacing w:after="0" w:line="12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none of the note holders had elected to convert their Cash Convertible Notes.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Cash Convertible Notes Hedges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issuance of the Cash Convertible Notes, we purchased cash-settled call options (the “Cash Convertible Notes Hedges”) in privately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negotiated transactions with certain of the initial purchasers or their affiliates (in this capacity, the “Option Counterparties”). The Cash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Hedges provide us with the option to acquire, on a net settlement basis, approximately 14.3 million shares of our Class A Common Stock at a strike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$16.065, which is equal to the number of shares of our Class A Common Stock that notionally underlie the Cash Convertible Notes and corresponds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Conversion Price of the Cash Convertible Notes. The Cash Convertible Notes Hedges have </w:t>
      </w:r>
      <w:r>
        <w:rPr>
          <w:rFonts w:ascii="Times New Roman" w:cs="Times New Roman" w:eastAsia="Times New Roman" w:hAnsi="Times New Roman"/>
          <w:sz w:val="18"/>
          <w:szCs w:val="18"/>
          <w:color w:val="252525"/>
        </w:rPr>
        <w:t>an expiration date that is the same as the</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52525"/>
        </w:rPr>
        <w:t>Maturity Date of the Cash Convertible Notes, subject to earlier exercise</w:t>
      </w:r>
      <w:r>
        <w:rPr>
          <w:rFonts w:ascii="Times New Roman" w:cs="Times New Roman" w:eastAsia="Times New Roman" w:hAnsi="Times New Roman"/>
          <w:sz w:val="18"/>
          <w:szCs w:val="18"/>
          <w:color w:val="000000"/>
        </w:rPr>
        <w:t>. The Cash Convertible Notes Hedges have customary anti-dilution provisions similar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to the Cash Convertible Notes. </w:t>
      </w:r>
      <w:r>
        <w:rPr>
          <w:rFonts w:ascii="Times New Roman" w:cs="Times New Roman" w:eastAsia="Times New Roman" w:hAnsi="Times New Roman"/>
          <w:sz w:val="18"/>
          <w:szCs w:val="18"/>
          <w:color w:val="252525"/>
        </w:rPr>
        <w:t>If we exercise the Cash Convertible Notes</w:t>
      </w:r>
      <w:r>
        <w:rPr>
          <w:rFonts w:ascii="Times New Roman" w:cs="Times New Roman" w:eastAsia="Times New Roman" w:hAnsi="Times New Roman"/>
          <w:sz w:val="18"/>
          <w:szCs w:val="18"/>
          <w:color w:val="000000"/>
        </w:rPr>
        <w:t xml:space="preserve"> Hedges</w:t>
      </w:r>
      <w:r>
        <w:rPr>
          <w:rFonts w:ascii="Times New Roman" w:cs="Times New Roman" w:eastAsia="Times New Roman" w:hAnsi="Times New Roman"/>
          <w:sz w:val="18"/>
          <w:szCs w:val="18"/>
          <w:color w:val="252525"/>
        </w:rPr>
        <w:t>, the aggregate amount of cash we will receive from the option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counterparties to the Cash Convertible Notes </w:t>
      </w:r>
      <w:r>
        <w:rPr>
          <w:rFonts w:ascii="Times New Roman" w:cs="Times New Roman" w:eastAsia="Times New Roman" w:hAnsi="Times New Roman"/>
          <w:sz w:val="18"/>
          <w:szCs w:val="18"/>
          <w:color w:val="000000"/>
        </w:rPr>
        <w:t>Hedges</w:t>
      </w:r>
      <w:r>
        <w:rPr>
          <w:rFonts w:ascii="Times New Roman" w:cs="Times New Roman" w:eastAsia="Times New Roman" w:hAnsi="Times New Roman"/>
          <w:sz w:val="18"/>
          <w:szCs w:val="18"/>
          <w:color w:val="252525"/>
        </w:rPr>
        <w:t xml:space="preserve"> will cover the aggregate amount of cash that we would be required to pay to the holders of the converted Cash Convertible Notes, less the principal amount thereof. </w:t>
      </w:r>
      <w:r>
        <w:rPr>
          <w:rFonts w:ascii="Times New Roman" w:cs="Times New Roman" w:eastAsia="Times New Roman" w:hAnsi="Times New Roman"/>
          <w:sz w:val="18"/>
          <w:szCs w:val="18"/>
          <w:color w:val="000000"/>
        </w:rPr>
        <w:t>As of December 31, 2016, we have not purchased any shares under the Cash Convertible Notes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Hedges.</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 statements of operations. See Note 4 for discussion of fair value of the Cash Convertible Notes Embedded Derivative liability and the Cash Convertible Notes Hedges asset.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Cash Convertible Notes Warrants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December 31, 2016, there were 14.3 million warrants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 COMPENSATION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1, 2010 our Board of Directors approved the adoption of the EZCORP, Inc. 2010 Long-Term Incentive Plan (the “2010 Plan”). As of September 30, 2016, the 2010 Plan permitted grants of options, restricted stock awards and stock appreciation rights covering up to 3,485,649 shares of our Class A Common Stock. In December 2016, the Board of Directors and the voting stockholder approved the addition of 500,000 shares to the 2010 Plan.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November and December 2016, we granted 919,898 restricted stock unit awards to employees and 72,500 restricted stock awards to non-employee directors with a grant date fair value of primarily $9.60 per share. The awards granted to employees vest on September 30, 2019 subject to the achievement of certain performance targets. As of December 31, 2016, we considered the achievement of these performance targets probable. The awards granted to non-employee directors vest over two years, 50% on September 30, 2017 and 50% on September 30, 2018 and are subject only to service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CONTINGENCIES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December 31, 2016 because we do not believe at this time that any loss is probable or that the amount of any probable loss can be reasonably estimated. The following is a description of significant proceedings.</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Shareholder derivative litigation </w:t>
      </w:r>
      <w:r>
        <w:rPr>
          <w:rFonts w:ascii="Times New Roman" w:cs="Times New Roman" w:eastAsia="Times New Roman" w:hAnsi="Times New Roman"/>
          <w:sz w:val="18"/>
          <w:szCs w:val="18"/>
          <w:color w:val="auto"/>
        </w:rPr>
        <w:t>— On July 28, 2014, Lawrence Treppel, a purported holder of Class A Non-voting Common Stock, filed a derivative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Court of Chancery of the State of Delaware styled </w:t>
      </w:r>
      <w:r>
        <w:rPr>
          <w:rFonts w:ascii="Times New Roman" w:cs="Times New Roman" w:eastAsia="Times New Roman" w:hAnsi="Times New Roman"/>
          <w:sz w:val="18"/>
          <w:szCs w:val="18"/>
          <w:i w:val="1"/>
          <w:iCs w:val="1"/>
          <w:color w:val="auto"/>
        </w:rPr>
        <w:t>Treppel v. Cohen, et al.</w:t>
      </w:r>
      <w:r>
        <w:rPr>
          <w:rFonts w:ascii="Times New Roman" w:cs="Times New Roman" w:eastAsia="Times New Roman" w:hAnsi="Times New Roman"/>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3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Mr. Cohen and MS Pawn Limited Partnership for aiding and abetting the breaches of fiduciary duties relating to the advisory services agreements with Madison Park (Count III);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March 4, 2016, the plaintiff filed a Second Amended Derivative Complaint against Mr. Roberts, Mr. Cohen, Madison Park, MS Pawn Corporation and MS Pawn Limited Partnership with EZCORP, Inc., as nominal defendant. The case has now moved into the discovery stage.</w:t>
      </w:r>
    </w:p>
    <w:p>
      <w:pPr>
        <w:spacing w:after="0" w:line="1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1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Federal securities litigation (SDNY) </w:t>
      </w:r>
      <w:r>
        <w:rPr>
          <w:rFonts w:ascii="Times New Roman" w:cs="Times New Roman" w:eastAsia="Times New Roman" w:hAnsi="Times New Roman"/>
          <w:sz w:val="18"/>
          <w:szCs w:val="18"/>
          <w:color w:val="auto"/>
        </w:rPr>
        <w:t>— On August 22, 2014, Jason Close, a purported holder of Class A Non-voting Common Stock, for himself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behalf of other similarly situated holders of Class A Non-voting Common Stock, filed a lawsuit in the United States District Court for the Southern District of New York styled </w:t>
      </w:r>
      <w:r>
        <w:rPr>
          <w:rFonts w:ascii="Times New Roman" w:cs="Times New Roman" w:eastAsia="Times New Roman" w:hAnsi="Times New Roman"/>
          <w:sz w:val="18"/>
          <w:szCs w:val="18"/>
          <w:i w:val="1"/>
          <w:iCs w:val="1"/>
          <w:color w:val="auto"/>
        </w:rPr>
        <w:t>Close v. EZCORP, Inc., et al.</w:t>
      </w:r>
      <w:r>
        <w:rPr>
          <w:rFonts w:ascii="Times New Roman" w:cs="Times New Roman" w:eastAsia="Times New Roman" w:hAnsi="Times New Roman"/>
          <w:sz w:val="18"/>
          <w:szCs w:val="18"/>
          <w:color w:val="auto"/>
        </w:rPr>
        <w:t xml:space="preserve"> (Case No. 1:14-cv-06834-ALC). That lawsuit named as defendants EZCORP, Inc., Paul. E. Rothamel (the Company's former Chief Executive Officer) and Mark Kuchenrither (the Company's former Chief Financial Officer). That lawsuit was consolidated with a similar lawsuit filed in the same court on October 17, 2014 by the Automotive Machinists Pension Plan and styled </w:t>
      </w:r>
      <w:r>
        <w:rPr>
          <w:rFonts w:ascii="Times New Roman" w:cs="Times New Roman" w:eastAsia="Times New Roman" w:hAnsi="Times New Roman"/>
          <w:sz w:val="18"/>
          <w:szCs w:val="18"/>
          <w:i w:val="1"/>
          <w:iCs w:val="1"/>
          <w:color w:val="auto"/>
        </w:rPr>
        <w:t>Automotive Machinists Pension Plan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EZCORP, Inc., et al. </w:t>
      </w:r>
      <w:r>
        <w:rPr>
          <w:rFonts w:ascii="Times New Roman" w:cs="Times New Roman" w:eastAsia="Times New Roman" w:hAnsi="Times New Roman"/>
          <w:sz w:val="18"/>
          <w:szCs w:val="18"/>
          <w:color w:val="auto"/>
        </w:rPr>
        <w:t>(Case No. 1:14-cv-8349-ALC). On November 18, 2014, the court consolidated the two lawsuits under the caption</w:t>
      </w:r>
      <w:r>
        <w:rPr>
          <w:rFonts w:ascii="Times New Roman" w:cs="Times New Roman" w:eastAsia="Times New Roman" w:hAnsi="Times New Roman"/>
          <w:sz w:val="18"/>
          <w:szCs w:val="18"/>
          <w:i w:val="1"/>
          <w:iCs w:val="1"/>
          <w:color w:val="auto"/>
        </w:rPr>
        <w:t xml:space="preserve"> In Re EZCORP, Inc. Securities Litigation </w:t>
      </w:r>
      <w:r>
        <w:rPr>
          <w:rFonts w:ascii="Times New Roman" w:cs="Times New Roman" w:eastAsia="Times New Roman" w:hAnsi="Times New Roman"/>
          <w:sz w:val="18"/>
          <w:szCs w:val="18"/>
          <w:color w:val="auto"/>
        </w:rPr>
        <w:t>(Case No. 1:14-cv-06834-ALC).</w:t>
      </w:r>
    </w:p>
    <w:p>
      <w:pPr>
        <w:spacing w:after="0" w:line="13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Consolidated Amended Class Action Complaint asserted violations of Sections 10(b) and 20(a) of the Securities Exchange Act of 1934, as well as Rule 10b-5 promulgated thereunder, alleging generally that:</w:t>
      </w:r>
    </w:p>
    <w:p>
      <w:pPr>
        <w:spacing w:after="0" w:line="108" w:lineRule="exact"/>
        <w:rPr>
          <w:sz w:val="20"/>
          <w:szCs w:val="20"/>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EZCORP and the officer defendants issued false and misleading statements and omissions regarding the Company's online lending operations in the U.K. (Cash Genie) and Cash Genie's compliance history;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640" w:hanging="328"/>
        <w:spacing w:after="0" w:line="313"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EZCORP and the officer defendants issued false and misleading statements and omissions regarding the nature of the Company's consulting relationship with Madison Park LLC (as entity owned by Mr. Cohen) and the process the Board of Directors used in agreeing to it;</w:t>
      </w:r>
    </w:p>
    <w:p>
      <w:pPr>
        <w:spacing w:after="0" w:line="84" w:lineRule="exact"/>
        <w:rPr>
          <w:rFonts w:ascii="Times New Roman" w:cs="Times New Roman" w:eastAsia="Times New Roman" w:hAnsi="Times New Roman"/>
          <w:sz w:val="17"/>
          <w:szCs w:val="17"/>
          <w:color w:val="auto"/>
        </w:rPr>
      </w:pPr>
    </w:p>
    <w:p>
      <w:pPr>
        <w:ind w:left="660" w:right="4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and MS Pawn Limited Partnership, as controlling persons of EZCORP, were aware of and controlled the Company's alleged false and misleading statements and omissions.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31, 2016, the Court, in response to the defendants' motions to dismiss, dismissed the Section 10(b) and Rule 10b-5 claims insofar as they were based on (1) the alleged misstatements about the nature of and approval process related to the Company's consulting relationship with Madison Park, (2) the alleged misstatements regarding the impairment of the Company's investment in Albemarle &amp; Bond, and (3) some of the alleged misstatements about Cash Genie. The Section 10(b) and Rule 10b-5 claims survived the motions to dismiss insofar as they were based on certain alleged misstatements about Cash Genie. The Section 20(a) claims also survived the motions to dismiss.</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23, 2016, the parties agreed to a mediated settlement of all remaining claims, which settlement provides for the payment of $5.9 million by the defendants (which will be covered by applicable directors’ and officers’ liability insurance). The settlement is subject to several conditions, including court approval. The parties agreed to, and the plaintiffs filed on December 23, 2016, a Stipulation and Agreement of Settlement, and on January 4, 2017, the court issued its preliminary approval order and set the Settlement Hearing for April 25, 2017.</w:t>
      </w:r>
    </w:p>
    <w:p>
      <w:pPr>
        <w:spacing w:after="0" w:line="12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Securities Litigation (WDT) </w:t>
      </w:r>
      <w:r>
        <w:rPr>
          <w:rFonts w:ascii="Times New Roman" w:cs="Times New Roman" w:eastAsia="Times New Roman" w:hAnsi="Times New Roman"/>
          <w:sz w:val="18"/>
          <w:szCs w:val="18"/>
          <w:color w:val="auto"/>
        </w:rPr>
        <w:t>— On July 20, 2015, Wu Winfred Huang, a purported holder of Class A Non-voting Common Stock, for himself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behalf of other similarly situated holders of Class A Non-voting Common Stock, filed a lawsuit in the United States District Court for the Western District of Texas styled </w:t>
      </w:r>
      <w:r>
        <w:rPr>
          <w:rFonts w:ascii="Times New Roman" w:cs="Times New Roman" w:eastAsia="Times New Roman" w:hAnsi="Times New Roman"/>
          <w:sz w:val="18"/>
          <w:szCs w:val="18"/>
          <w:i w:val="1"/>
          <w:iCs w:val="1"/>
          <w:color w:val="auto"/>
        </w:rPr>
        <w:t>Huang v. EZCORP, Inc., et al.</w:t>
      </w:r>
      <w:r>
        <w:rPr>
          <w:rFonts w:ascii="Times New Roman" w:cs="Times New Roman" w:eastAsia="Times New Roman" w:hAnsi="Times New Roman"/>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On August 14, 2015, a substantially identical lawsuit, styled </w:t>
      </w:r>
      <w:r>
        <w:rPr>
          <w:rFonts w:ascii="Times New Roman" w:cs="Times New Roman" w:eastAsia="Times New Roman" w:hAnsi="Times New Roman"/>
          <w:sz w:val="18"/>
          <w:szCs w:val="18"/>
          <w:i w:val="1"/>
          <w:iCs w:val="1"/>
          <w:color w:val="auto"/>
        </w:rPr>
        <w:t>Rooney v. EZCORP, Inc., et al.</w:t>
      </w:r>
      <w:r>
        <w:rPr>
          <w:rFonts w:ascii="Times New Roman" w:cs="Times New Roman" w:eastAsia="Times New Roman" w:hAnsi="Times New Roman"/>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Times New Roman" w:cs="Times New Roman" w:eastAsia="Times New Roman" w:hAnsi="Times New Roman"/>
          <w:sz w:val="18"/>
          <w:szCs w:val="18"/>
          <w:i w:val="1"/>
          <w:iCs w:val="1"/>
          <w:color w:val="auto"/>
        </w:rPr>
        <w:t>In re EZCORP, Inc. Securities Litigation</w:t>
      </w:r>
      <w:r>
        <w:rPr>
          <w:rFonts w:ascii="Times New Roman" w:cs="Times New Roman" w:eastAsia="Times New Roman" w:hAnsi="Times New Roman"/>
          <w:sz w:val="18"/>
          <w:szCs w:val="18"/>
          <w:color w:val="auto"/>
        </w:rPr>
        <w:t xml:space="preserve"> (Master File No. 1:15-cv-00608-SS), and appointed the two plaintiffs as co-lead plaintiffs, with their respective counsel appointed as co-lead counsel.</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predict the outcome of the litigation, but we intend to defend vigorously against all allegations and claims.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 Investigation </w:t>
      </w:r>
      <w:r>
        <w:rPr>
          <w:rFonts w:ascii="Times New Roman" w:cs="Times New Roman" w:eastAsia="Times New Roman" w:hAnsi="Times New Roman"/>
          <w:sz w:val="18"/>
          <w:szCs w:val="18"/>
          <w:color w:val="auto"/>
        </w:rPr>
        <w:t>— On October 23, 2014, we received a notice from the Fort Worth Regional Office of the SEC that it was conducting an investigation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INFORMATION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report our segments as follows: U.S. Pawn — all pawn activities in the United States, Mexico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condensed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20" w:type="dxa"/>
            <w:vAlign w:val="bottom"/>
            <w:vMerge w:val="restart"/>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Mexico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94,861</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111,513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164,802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25,704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192,624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192,624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97,004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111,965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111,965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77,646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13,927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27,113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13,048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2015</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0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Mexico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Corporate Items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91,994</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108,584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9,621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66,594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37"/>
        </w:trPr>
        <w:tc>
          <w:tcPr>
            <w:tcW w:w="3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160,408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187,557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187,557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66,259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8,076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96,887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112,610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112,610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19,983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28,799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center"/>
              <w:ind w:right="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46"/>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SUPPLEMENTAL CONSOLIDATED FINANCIAL INFORMATION AND DISCONTINUED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Consolidated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on net amounts included in our condensed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318"/>
        </w:trPr>
        <w:tc>
          <w:tcPr>
            <w:tcW w:w="5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pawn service charges receivable</w:t>
            </w:r>
          </w:p>
        </w:tc>
        <w:tc>
          <w:tcPr>
            <w:tcW w:w="4100" w:type="dxa"/>
            <w:vAlign w:val="bottom"/>
            <w:tcBorders>
              <w:bottom w:val="single" w:sz="8" w:color="CCEEFF"/>
            </w:tcBorders>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40,229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41,458</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uncollectible pawn service charges receivable</w:t>
            </w:r>
          </w:p>
        </w:tc>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Pawn service charges receivable, net</w:t>
            </w:r>
          </w:p>
        </w:tc>
        <w:tc>
          <w:tcPr>
            <w:tcW w:w="4100" w:type="dxa"/>
            <w:vAlign w:val="bottom"/>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31,062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inventory</w:t>
            </w:r>
          </w:p>
        </w:tc>
        <w:tc>
          <w:tcPr>
            <w:tcW w:w="4100" w:type="dxa"/>
            <w:vAlign w:val="bottom"/>
            <w:tcBorders>
              <w:bottom w:val="single" w:sz="8" w:color="CCEEFF"/>
            </w:tcBorders>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149,587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146,367</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reserves</w:t>
            </w:r>
          </w:p>
        </w:tc>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net</w:t>
            </w:r>
          </w:p>
        </w:tc>
        <w:tc>
          <w:tcPr>
            <w:tcW w:w="4100" w:type="dxa"/>
            <w:vAlign w:val="bottom"/>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143,440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140,224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100" w:type="dxa"/>
            <w:vAlign w:val="bottom"/>
            <w:tcBorders>
              <w:bottom w:val="single" w:sz="8" w:color="CCEEFF"/>
            </w:tcBorders>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210,913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210,309</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(151,854)</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100" w:type="dxa"/>
            <w:vAlign w:val="bottom"/>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54,881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58,455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September 2016 we completed the previously announced sale of all of our interests in Grupo Finmart to AlphaCredit. The information presented below includes the assets, liabilities, revenues and expenses of variable interest entities which were deconsolidated as a result of the sale of Grupo Finmart. All historical assets and liabilities of Grupo Finmart have been presented as current or non-current based on their historical presentation.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reconciliation of the major line items constituting "Loss from discontinued operations, net of tax" of Grupo Finmart and other operations discontinued prior to the adoption of ASU 2014-08 that are presented in the condensed consolidated statements of operations for the three months ended December 31, 2015,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10,897</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Operations expense</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other expenses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7"/>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before income taxes of Grupo Finmart</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of operations discontinued prior to the adoption of ASU 2014-08*</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10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of Grupo Finmart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of Grupo Finmart attributable to noncontrolling interest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of Grupo Finmart attributable to EZCORP,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of $2.1 million.</w:t>
      </w:r>
    </w:p>
    <w:p>
      <w:pPr>
        <w:spacing w:after="0" w:line="1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Cash flows from Grupo Finmart operating and investing activities for the three months ended December 31, 2015 were $6.5 million and $(5.7) million, respectively, with immaterial cash flows from Grupo Finmart operating and investing activities for the three months ended December 31,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Times New Roman" w:cs="Times New Roman" w:eastAsia="Times New Roman" w:hAnsi="Times New Roman"/>
          <w:sz w:val="18"/>
          <w:szCs w:val="18"/>
          <w:color w:val="auto"/>
        </w:rPr>
        <w:t>— Risk Factors" of our Annual Report on Form 10-K for the year ended September 30, 2016, as supplemented by the information set forth in “Part I, Item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Quantitative and Qualitative Disclosures about Market Risk” and "Part II, Item 1 — Legal Proceedings" of this Quarterly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EZCORP is a Delaware corporation headquartered in Austin, Texas. We are a leading provider of pawn loans in the United States and Mexico.</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Leading Customer Satisfaction;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Exceptional Staff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Shareholder Returns;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Efficient Provider of Cash.</w:t>
      </w:r>
    </w:p>
    <w:p>
      <w:pPr>
        <w:spacing w:after="0" w:line="171"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charts present sources of net revenues including merchandise sales and jewelry scrapping gross profit ("GP") and pawn service charges ("PSC"):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848985" cy="237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 Activities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our pawn stores, we offer secured loans, which are typically small, non-recourse loans collateralized by tangible personal property. We earn pawn service charge revenue on our pawn loans, which varies by state and loan size. Collateral for our pawn loans consists of tangible personal property, generally jewelry, consumer electronics, power tools, sporting goods and musical instruments. Security for our pawn loans is provided via the estimated resale value of the collateral and the perceived probability of the loan’s redemption.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 the U.S. involve gold and jewelry, our results can be heavily influenced by the market price of gold.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Expansion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plan to expand the number of locations we operate through opening new (“de novo”) locations and through acquisitions. We believe there are growth opportunities with de novo stores in Mexico and pawn store acquisitions in both Mexico and in the U.S. Our ability to add new stores is dependent on several variables, such as the availability of acceptable sites or acquisition candidates, the regulatory environment, local zoning ordinances, access to capital, availability of qualified personnel and the attainment of internal return on investment hurdles.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Quarterly Results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availability of tax refunds in the United States.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Data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Three Months Ended December 31, 2016</w:t>
            </w:r>
          </w:p>
        </w:tc>
        <w:tc>
          <w:tcPr>
            <w:tcW w:w="124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24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 International</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20"/>
        </w:trPr>
        <w:tc>
          <w:tcPr>
            <w:tcW w:w="60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September 30,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December 31, 2016</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783</w:t>
            </w:r>
          </w:p>
        </w:tc>
      </w:tr>
      <w:tr>
        <w:trPr>
          <w:trHeight w:val="27"/>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 December 31, 2015</w:t>
            </w:r>
          </w:p>
        </w:tc>
        <w:tc>
          <w:tcPr>
            <w:tcW w:w="10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Mexico Pawn</w:t>
            </w:r>
          </w:p>
        </w:tc>
        <w:tc>
          <w:tcPr>
            <w:tcW w:w="360" w:type="dxa"/>
            <w:vAlign w:val="bottom"/>
          </w:tcPr>
          <w:p>
            <w:pPr>
              <w:spacing w:after="0"/>
              <w:rPr>
                <w:sz w:val="22"/>
                <w:szCs w:val="22"/>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Franchises</w:t>
            </w:r>
          </w:p>
        </w:tc>
      </w:tr>
      <w:tr>
        <w:trPr>
          <w:trHeight w:val="120"/>
        </w:trPr>
        <w:tc>
          <w:tcPr>
            <w:tcW w:w="4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September 30,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December 31, 2015</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five buy/sell stores which were converted to Mexico Pawn stores during the three-months ended March 31, 2016.</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December 31, 2016 vs. Three Months Ended December 31, 2015</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Pawn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summary financial data from continuing operations for the U.S. Pawn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8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61,045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58,621</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94,861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91,994</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34,613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36,533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margin on merchandise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9,600</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1,540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r>
      <w:tr>
        <w:trPr>
          <w:trHeight w:val="243"/>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margin on jewelry scrapping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193</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(74)%</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97,004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96,887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324"/>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67,350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63,545</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3,560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(26)%</w:t>
            </w:r>
          </w:p>
        </w:tc>
      </w:tr>
      <w:tr>
        <w:trPr>
          <w:trHeight w:val="237"/>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27,037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29,782</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segment (income) expenses</w:t>
            </w:r>
          </w:p>
        </w:tc>
        <w:tc>
          <w:tcPr>
            <w:tcW w:w="32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983</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Segment contribution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27,113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28,799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earning assets — continuing operations (a)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274,616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258,798</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turnover — general merchandise (b)</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 turnover — jewelry (c)</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Average monthly ending pawn loan balance per store (d)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Monthly average yield on pawn loans outstanding</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Pawn loan redemption rate (e)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620" w:hanging="585"/>
        <w:spacing w:after="0"/>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or decrease in excess of 100% or not meaningful.</w:t>
      </w:r>
    </w:p>
    <w:p>
      <w:pPr>
        <w:spacing w:after="0" w:line="42" w:lineRule="exact"/>
        <w:rPr>
          <w:sz w:val="20"/>
          <w:szCs w:val="20"/>
          <w:color w:val="auto"/>
        </w:rPr>
      </w:pPr>
    </w:p>
    <w:p>
      <w:pPr>
        <w:ind w:left="620" w:hanging="58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pawn loans and inventory.</w:t>
      </w:r>
    </w:p>
    <w:p>
      <w:pPr>
        <w:spacing w:after="0" w:line="41" w:lineRule="exact"/>
        <w:rPr>
          <w:rFonts w:ascii="Times New Roman" w:cs="Times New Roman" w:eastAsia="Times New Roman" w:hAnsi="Times New Roman"/>
          <w:sz w:val="14"/>
          <w:szCs w:val="14"/>
          <w:color w:val="auto"/>
        </w:rPr>
      </w:pPr>
    </w:p>
    <w:p>
      <w:pPr>
        <w:ind w:left="620" w:hanging="58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Calculation of inventory turnover excludes the effects of scrapping.</w:t>
      </w:r>
    </w:p>
    <w:p>
      <w:pPr>
        <w:spacing w:after="0" w:line="41" w:lineRule="exact"/>
        <w:rPr>
          <w:rFonts w:ascii="Times New Roman" w:cs="Times New Roman" w:eastAsia="Times New Roman" w:hAnsi="Times New Roman"/>
          <w:sz w:val="14"/>
          <w:szCs w:val="14"/>
          <w:color w:val="auto"/>
        </w:rPr>
      </w:pPr>
    </w:p>
    <w:p>
      <w:pPr>
        <w:ind w:left="620" w:hanging="58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calculated based upon the average of the monthly ending balance averages during the applicable period.</w:t>
      </w:r>
    </w:p>
    <w:p>
      <w:pPr>
        <w:spacing w:after="0" w:line="41" w:lineRule="exact"/>
        <w:rPr>
          <w:rFonts w:ascii="Times New Roman" w:cs="Times New Roman" w:eastAsia="Times New Roman" w:hAnsi="Times New Roman"/>
          <w:sz w:val="14"/>
          <w:szCs w:val="14"/>
          <w:color w:val="auto"/>
        </w:rPr>
      </w:pPr>
    </w:p>
    <w:p>
      <w:pPr>
        <w:ind w:left="620" w:hanging="58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pawn loan redemption rate represents the percentage of loans made that are repaid, renewed or extended at a point in time as opposed to the life of the loan.</w:t>
      </w:r>
    </w:p>
    <w:p>
      <w:pPr>
        <w:sectPr>
          <w:pgSz w:w="11900" w:h="16838" w:orient="portrait"/>
          <w:cols w:equalWidth="0" w:num="1">
            <w:col w:w="11420"/>
          </w:cols>
          <w:pgMar w:left="240" w:top="118"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Core pawn revenue increased $5.3 million, or 4%. The increase in core pawn revenue attributable to same stores and new stores added since the prior-year quarter is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Change in Core Pawn Revenue</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Pawn Service Charges</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Merchandise Sales</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stores and other</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Pawn service charges increased 4% primarily due to an increase in average monthly ending pawn loan balances outstanding of 3%, driven by continued intense focus on market leadership in meeting our customers' desire for cash.</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Gross margin on merchandise sales was 36%, consistent with recent prior quarters and within our target range of 35-38%, but 400bps lower than the prior-year quarter. As a result, merchandise sales gross profit decreased 5% to $34.6 million.</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Jewelry scrapping sales gross profit remained flat at 1% of net revenues, in-line with our strategy to sell rather than scrap merchandise. Jewelry margins were broadly stable.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segment expenses increased to $69.9 million (42% of revenues) from $68.1 million (42% of revenues) primarily due to:</w:t>
      </w:r>
    </w:p>
    <w:p>
      <w:pPr>
        <w:spacing w:after="0" w:line="171" w:lineRule="exact"/>
        <w:rPr>
          <w:sz w:val="20"/>
          <w:szCs w:val="20"/>
          <w:color w:val="auto"/>
        </w:rPr>
      </w:pPr>
    </w:p>
    <w:p>
      <w:pPr>
        <w:ind w:left="660" w:right="2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increase in labor costs as a result of significant investment in field leadership and customer-facing team members, adding 224 store team members, nine field human resources managers, six district managers and two divisional vice presidents to improve customer experience, particularly during peak sales season; offset impacts of staff turnover; and better coach and mentor store managers; and</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increase in repairs and maintenance mainly driven by our st</w:t>
      </w:r>
      <w:r>
        <w:rPr>
          <w:rFonts w:ascii="Times New Roman" w:cs="Times New Roman" w:eastAsia="Times New Roman" w:hAnsi="Times New Roman"/>
          <w:sz w:val="18"/>
          <w:szCs w:val="18"/>
          <w:color w:val="0A0A0A"/>
        </w:rPr>
        <w:t>ore preventative maintenance programs</w:t>
      </w:r>
      <w:r>
        <w:rPr>
          <w:rFonts w:ascii="Times New Roman" w:cs="Times New Roman" w:eastAsia="Times New Roman" w:hAnsi="Times New Roman"/>
          <w:sz w:val="18"/>
          <w:szCs w:val="18"/>
          <w:color w:val="auto"/>
        </w:rPr>
        <w:t>; partially offset by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or 26%, decrease in depreciation and amortization as a result of ongoing savings realized from a lower depreciable fixed asset base as a result of our strategic review completed in fiscal 2015;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or 100%, decrease in restructuring charges as we have substantially completed all prior restructuring actions.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December 31, 2016 and 2015 was 20.7 to 1</w:t>
      </w:r>
    </w:p>
    <w:p>
      <w:pPr>
        <w:spacing w:after="0" w:line="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and 17.3 to 1, respectively. The approximate average exchange rate for the three months ended December 31, 2016 and 2015 was 19.8 to 1 and 16.8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 We have experienced a prolonged weakening of the Mexican peso to the U.S. dollar and may continue to experience further weakening in future reporting periods, which may adversely impact our future operating results when stated on a GAAP basis.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Mexico Pawn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2016 (GAAP)</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2015 (GAAP)</w:t>
            </w:r>
          </w:p>
        </w:tc>
        <w:tc>
          <w:tcPr>
            <w:tcW w:w="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(GAAP)</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2016 (Constant</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(Constant</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Currency)</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9,427</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16,586</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19,767</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5,788</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6,134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margin on merchandise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1,128</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margin on jewelry scrapping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13,952</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15,903</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11,193</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10,223</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801</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746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1,958</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4,934</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segment (income) expenses (a)</w:t>
            </w:r>
          </w:p>
        </w:tc>
        <w:tc>
          <w:tcPr>
            <w:tcW w:w="1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522</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1,436</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5,015</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earning assets — continuing operations (b)</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31,496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32,056</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37,534</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turnover (c)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monthly ending pawn loan balance per store (d)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Monthly average yield on pawn loans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loan redemption rate (e)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45"/>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or decrease in excess of 100% or not meaningful.</w:t>
      </w:r>
    </w:p>
    <w:p>
      <w:pPr>
        <w:spacing w:after="0" w:line="42" w:lineRule="exact"/>
        <w:rPr>
          <w:sz w:val="20"/>
          <w:szCs w:val="20"/>
          <w:color w:val="auto"/>
        </w:rPr>
      </w:pPr>
    </w:p>
    <w:p>
      <w:pPr>
        <w:ind w:left="380" w:right="40" w:hanging="345"/>
        <w:spacing w:after="0" w:line="261"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months ended December 31, 2016 constant currency balance excludes nominal net foreign currency transaction losses resulting from movement in exchange rates. The three months ended December 31, 2015 includes net foreign currency transaction losses totaling $0.1 million that are not excluded from the above results.</w:t>
      </w:r>
    </w:p>
    <w:p>
      <w:pPr>
        <w:ind w:left="380" w:hanging="345"/>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pawn loans and inventory.</w:t>
      </w:r>
    </w:p>
    <w:p>
      <w:pPr>
        <w:spacing w:after="0" w:line="41" w:lineRule="exact"/>
        <w:rPr>
          <w:rFonts w:ascii="Times New Roman" w:cs="Times New Roman" w:eastAsia="Times New Roman" w:hAnsi="Times New Roman"/>
          <w:sz w:val="14"/>
          <w:szCs w:val="14"/>
          <w:color w:val="auto"/>
        </w:rPr>
      </w:pPr>
    </w:p>
    <w:p>
      <w:pPr>
        <w:ind w:left="380" w:hanging="345"/>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Calculation of inventory turnover excludes the effects of scrapping.</w:t>
      </w:r>
    </w:p>
    <w:p>
      <w:pPr>
        <w:spacing w:after="0" w:line="41" w:lineRule="exact"/>
        <w:rPr>
          <w:rFonts w:ascii="Times New Roman" w:cs="Times New Roman" w:eastAsia="Times New Roman" w:hAnsi="Times New Roman"/>
          <w:sz w:val="14"/>
          <w:szCs w:val="14"/>
          <w:color w:val="auto"/>
        </w:rPr>
      </w:pPr>
    </w:p>
    <w:p>
      <w:pPr>
        <w:ind w:left="380" w:hanging="345"/>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calculated based upon the average of the monthly ending balance averages during the applicable period.</w:t>
      </w:r>
    </w:p>
    <w:p>
      <w:pPr>
        <w:spacing w:after="0" w:line="41" w:lineRule="exact"/>
        <w:rPr>
          <w:rFonts w:ascii="Times New Roman" w:cs="Times New Roman" w:eastAsia="Times New Roman" w:hAnsi="Times New Roman"/>
          <w:sz w:val="14"/>
          <w:szCs w:val="14"/>
          <w:color w:val="auto"/>
        </w:rPr>
      </w:pPr>
    </w:p>
    <w:p>
      <w:pPr>
        <w:ind w:left="380" w:hanging="345"/>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Mexico market continues to be fast-growing and we have plans to open about ten de novo stores during the remainder of fiscal 2017. Core pawn revenue was up $0.1 million (up $4.6 million, or 19%, on a constant currency basis). The change in core pawn revenue attributable to same stores and new stores added since the prior-year quarter is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Change in Core Pawn Revenue (GAAP)</w:t>
            </w:r>
          </w:p>
        </w:tc>
        <w:tc>
          <w:tcPr>
            <w:tcW w:w="10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Merchandise Sales</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87"/>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7"/>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Change in Core Pawn Revenue (Constant Currency)</w:t>
            </w:r>
          </w:p>
        </w:tc>
      </w:tr>
      <w:tr>
        <w:trPr>
          <w:trHeight w:val="264"/>
        </w:trPr>
        <w:tc>
          <w:tcPr>
            <w:tcW w:w="6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Merchandise Sales</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Pawn service charges were flat (up 18% on a constant currency basis) primarily as a result of same store growth, offset by foreign currency impacts. The average monthly ending pawn loan balances outstanding were down 3% (up 14% on a constant currency basis), driven by continued intense focus on market leadership in meeting our customers' desire for cash, offset by foreign currency impacts.</w:t>
      </w:r>
    </w:p>
    <w:p>
      <w:pPr>
        <w:spacing w:after="0" w:line="12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Gross margin on merchandise sales was 31%, consistent with recent prior quarters, but 400bps lower than the prior-year quarter. As a result of the combination of these effects, offset by foreign currency impacts, merchandise sales gross profit decreased 11% to $5.2 million (up 6% to $6.1 million in constant currency).</w:t>
      </w:r>
    </w:p>
    <w:p>
      <w:pPr>
        <w:spacing w:after="0" w:line="12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Segment operating expenses decreased to $9.2 million, or 36%, of revenues ($10.9 million on a constant currency basis, or 36%, of revenues) from $12.5 million (51% of revenues) primarily due to a $2.6 million, or 23%, decrease in operations expense ($1.0 million, or 9%, decrease on a constant currency basis), primarily as a result of a reduction in labor costs as well as costs recorded in the prior-year quarter associated with our buy/sell stores.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International</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98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bad debt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 net</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expenses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Segment operating contribution</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2,495</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segment (income) expenses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Segment contribution</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60" w:hanging="22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or decrease in excess of 100% or not meaningful.</w:t>
      </w:r>
    </w:p>
    <w:p>
      <w:pPr>
        <w:spacing w:after="0" w:line="1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Segment contribution decreased $1.0 million, or 43%, primarily due to a decrease in earnings from Cash Converters International as the business continues to advance the implementation of the three year corporate strategy and associated restructure previously announced.</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our investment in Cash Converters International was $1.5 million below its carrying value as of December 31, 2016. We have taken impairment charges on such investment in prior periods and continue to monitor the fair value of our investment for other-than-temporary impairments in future reporting periods. We may record an impairment charge should the fair value of our investment remain below its carrying value for an extended period of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7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expenses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19,983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5,177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1,758</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EZCORP,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60" w:hanging="22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decreased $6.1 million, or 30%, due to:</w:t>
      </w:r>
    </w:p>
    <w:p>
      <w:pPr>
        <w:spacing w:after="0" w:line="171" w:lineRule="exact"/>
        <w:rPr>
          <w:sz w:val="20"/>
          <w:szCs w:val="20"/>
          <w:color w:val="auto"/>
        </w:rPr>
      </w:pPr>
    </w:p>
    <w:p>
      <w:pPr>
        <w:ind w:left="660" w:right="4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decrease in business and professional fees due to restatement related costs in the prior-year quarter in addition to fees paid in the current quarter related to process and structure improvement initiatives;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reduction in variable compensation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on track to realize corporate cost savings in reducing our annual administrative expenses to $50.0 million in fiscal 2018.</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expense increased $1.6 million, or 39%, primarily as a result of our Term Loan Facility obtained in September 2016, including ordinary accruals of interest in addition to amortization of associated discounts and deferred financings costs. Interest income increased $2.5 million as a result of our notes receivable from the sale of Grupo Finmart, including ordinary accruals of interest in addition to accretion of associated discounts. Other income increased $0.4 million primarily as a result of movements in foreign currency, including associated immaterial hedges.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increased to 37% from 34% primarily due to changes in profitability by jurisdictions.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substantially eliminated activities associated with our discontinued operations except for certain remaining immaterial charges associated primarily with ongoing employee service requirements which have not yet been recorded.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and discussion below presents a summary of the selected sources and uses of our cash: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(36,343)</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80" w:hanging="345"/>
        <w:spacing w:after="0"/>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or decrease in excess of 100% or not meaningful.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Cash and Cash Equivalents for the Three Months Ended December 31, 2016 vs. Three Months Ended December 31, 2015</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cash flows from operating activities year over year was due to a $14.0 million decrease from changes in operating assets and liabilities, including $15.6 million paid out during the current quarter for accrued fiscal 2016 incentive compensation, offset by a $8.3 million increase in net income exclusive of non-cash items due to improved operational results and a $4.9 million decrease in restructuring payments as we have substantially completed all prior restructuring actions.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increase in cash flows from investing activities year over year was primarily due to $7.8 million in principal collections on notes receivable and a $7.5 million net increase in proceeds related to loan activities (net loans repaid and recovery of pawn loan principal through sale of forfeited collateral) primarily as a result of the discontinuance of Grupo Finmart, offset by a $1.2 million increase in additions to property and equipment.</w:t>
      </w:r>
    </w:p>
    <w:p>
      <w:pPr>
        <w:spacing w:after="0" w:line="12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increase in cash flows from financing activities year over year was primarily due to the discontinuance of Grupo Finmart, in addition to an $8.9 million decrease in payout of deferred consideration pertaining to prior acquisitions.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net effect of these and other smaller items was a $2.0 million decrease in cash on hand during the current quarter resulting in a $63.7 million ending cash balance, $9.2 million of which was not available to fund domestic operations as we intend to permanently reinvest those earnings in our foreign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"Part II, Item 7 — Management's Discussion and Analysis of Financial Condition and Results of Operations" of our Annual Report on Form 10-K for the year ended September 30, 2016, we reported that we had $592.8 million in total contractual obligations as of September 30, 2016. There have been no material changes to this total obligation during the current three-month period ended December 31, 2016, other than ordinary fulfillment of obligations.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responsible for the maintenance, property taxes and insurance at most of our locations. In the fiscal year ended September 30, 2016, these collectively amounted to $21.3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anticipate that cash flow from operations, cash on hand and available credit facilities will be adequate to fund our contractual obligations, planned store growth, capital expenditures and working capital requirements during fiscal 2017. Our ability to repay our longer-term debt obligations (including the Cash Convertible Notes) will likely require us to refinance those obligations through the issuance of new debt securities or through new credit facilities.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Grupo Finmart Divestiture</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2016, we had a total gross outstanding balance on our notes receivable of $81.1 million. We have collected $7.8 million in principal on these notes receivable during the current quarter and anticipate an additional principal collection of $37.4 million of these notes receivable during the remainder of fiscal 2017, based on the exchange rate as of December 31, 2016, with the balance to be collected through fiscal 2019. Further, the notes receivable are subject to certain foreign currency impacts as a result of changes in the value of the Mexican dollar relative to the U.S. dollar.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118" w:right="29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Convertible Notes and Term Loan Facility</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a description of the Cash Convertible Notes, the conversion terms thereof and the hedges and warrants transactions as well as our Term Loan Facility, see Note 5 of Notes to Interim Condensed Consolidated Financial Statements included in "Part I, Item 1 —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2016, supplemented by those described in "Part II, Item 1A — Risk Factors" of this Quarterly Report.</w:t>
      </w:r>
    </w:p>
    <w:p>
      <w:pPr>
        <w:spacing w:after="0" w:line="13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2016. There have been no material changes to our exposure to market risks since September 30,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2016. Based on that evaluation, our Chief Executive Officer and Chief Financial Officer concluded that our disclosure controls and procedures were effective as of December 31, 2016.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2016 that have materially affected or are reasonably likely to materially affect our internal control over financial reporting.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Internal Controls</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22" w:lineRule="exact"/>
        <w:rPr>
          <w:sz w:val="20"/>
          <w:szCs w:val="20"/>
          <w:color w:val="auto"/>
        </w:rPr>
      </w:pPr>
    </w:p>
    <w:p>
      <w:pPr>
        <w:ind w:left="360" w:hanging="325"/>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171"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others, or by management override.</w:t>
      </w:r>
    </w:p>
    <w:p>
      <w:pPr>
        <w:spacing w:after="0" w:line="171" w:lineRule="exact"/>
        <w:rPr>
          <w:rFonts w:ascii="Times New Roman" w:cs="Times New Roman" w:eastAsia="Times New Roman" w:hAnsi="Times New Roman"/>
          <w:sz w:val="18"/>
          <w:szCs w:val="18"/>
          <w:color w:val="auto"/>
        </w:rPr>
      </w:pPr>
    </w:p>
    <w:p>
      <w:pPr>
        <w:ind w:left="360" w:hanging="325"/>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7" w:lineRule="exact"/>
        <w:rPr>
          <w:rFonts w:ascii="Times New Roman" w:cs="Times New Roman" w:eastAsia="Times New Roman" w:hAnsi="Times New Roman"/>
          <w:sz w:val="18"/>
          <w:szCs w:val="18"/>
          <w:color w:val="auto"/>
        </w:rPr>
      </w:pPr>
    </w:p>
    <w:p>
      <w:pPr>
        <w:ind w:left="360" w:right="260" w:hanging="325"/>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associated policies or procedures.</w:t>
      </w:r>
    </w:p>
    <w:p>
      <w:pPr>
        <w:spacing w:after="0" w:line="107"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 control system must reflect the fact that resources are constrained, and the benefits of controls must be considered relative to their costs.</w:t>
      </w:r>
    </w:p>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have been detected.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Effective November 21, 2016, Timothy Jugmans joined the Company as Vice President, Treasury, Mergers &amp; Acquisitions. Since February 2015, Mr. Jugmans, through Selene Partners Inc., had been providing financial consulting services to the Company pursuant to a consulting agreement between the Company and Selene Partners. As previously disclosed, Selene Partners also provides consulting services to Phillip E. Cohen, the beneficial owner of all of our Class B Voting Common Stock, and several of his associated companies, and Mr. Jugmans served as an officer of those companies. As a condition to his employment with the Company, Mr. Jugmans has resigned all positions with the Cohen companies. He continues to perform limited, non-EZCORP-related consulting services to Mr. Cohen and his companies and is compensated for such services separately by Mr. Cohen. The Audit Committee of the Board of Directors, at management's request, reviewed and approved the terms of Mr. Jugmans' employment, including his continuing limited services to Mr. Cohen, prior to the extension of the offer to Mr. Jugmans.</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report.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Borders>
              <w:bottom w:val="single" w:sz="8" w:color="CCEEFF"/>
            </w:tcBorders>
          </w:tcPr>
          <w:p>
            <w:pPr>
              <w:spacing w:after="0"/>
              <w:rPr>
                <w:sz w:val="16"/>
                <w:szCs w:val="16"/>
                <w:color w:val="auto"/>
              </w:rPr>
            </w:pPr>
          </w:p>
        </w:tc>
        <w:tc>
          <w:tcPr>
            <w:tcW w:w="10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3"/>
        </w:trPr>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Certification of Stuart I. Grimshaw, Chief Executive Officer, pursuant to Rule 13a-14(a) under the Securities Exchange Act of 1934, as</w:t>
            </w:r>
          </w:p>
        </w:tc>
      </w:tr>
      <w:tr>
        <w:trPr>
          <w:trHeight w:val="241"/>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25"/>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Mark S. Ashby, Chief Financial Officer, pursuant to Rule 13a-14(a) under the Securities Exchange Act of 1934, as</w:t>
            </w: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5"/>
        </w:trPr>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Certifications of Stuart I. Grimshaw, Chief Executive Officer, and Mark S. Ashby, Chief Financial Officer, pursuant to 18 U.S.C. Section</w:t>
            </w:r>
          </w:p>
        </w:tc>
      </w:tr>
      <w:tr>
        <w:trPr>
          <w:trHeight w:val="241"/>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w:t>
            </w:r>
          </w:p>
        </w:tc>
      </w:tr>
      <w:tr>
        <w:trPr>
          <w:trHeight w:val="243"/>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101.INS†††</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101.CAL†††</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101.LAB†††</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43"/>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43"/>
        </w:trPr>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101.PRE†††</w:t>
            </w:r>
          </w:p>
        </w:tc>
        <w:tc>
          <w:tcPr>
            <w:tcW w:w="10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500" w:hanging="465"/>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Furnished herewith.</w:t>
      </w:r>
    </w:p>
    <w:p>
      <w:pPr>
        <w:spacing w:after="0" w:line="63" w:lineRule="exact"/>
        <w:rPr>
          <w:sz w:val="20"/>
          <w:szCs w:val="20"/>
          <w:color w:val="auto"/>
        </w:rPr>
      </w:pPr>
    </w:p>
    <w:p>
      <w:pPr>
        <w:ind w:left="500" w:right="240" w:hanging="465"/>
        <w:spacing w:after="0" w:line="258"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herewith as Exhibit 101 to this report are the following formatted in XBRL (Extensible Business Reporting Language): (i) Condensed Consolidated Balance Sheets as of December 31, 2016 and September 30, 2016; (ii) Condensed Consolidated Statements of Operations for the three months ended December 31, 2016 and December 31, 2015; (iii) Condensed Consolidated Statements of Comprehensive Income (Loss) for the three months ended December 31, 2016 and December 31, 2015 (iv) Condensed Consolidated Statements of Cash Flows for the three months ended December 31, 2016 and December 31, 2015; and (v) Notes to Interim Condensed Consolidated Financial Statements.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Times New Roman" w:cs="Times New Roman" w:eastAsia="Times New Roman" w:hAnsi="Times New Roman"/>
          <w:sz w:val="18"/>
          <w:szCs w:val="18"/>
          <w:color w:val="auto"/>
        </w:rPr>
        <w:t>Date: February 2, 2017</w:t>
      </w:r>
      <w:r>
        <w:rPr>
          <w:sz w:val="20"/>
          <w:szCs w:val="20"/>
          <w:color w:val="auto"/>
        </w:rPr>
        <w:tab/>
      </w:r>
      <w:r>
        <w:rPr>
          <w:rFonts w:ascii="Times New Roman" w:cs="Times New Roman" w:eastAsia="Times New Roman" w:hAnsi="Times New Roman"/>
          <w:sz w:val="17"/>
          <w:szCs w:val="17"/>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34290</wp:posOffset>
            </wp:positionV>
            <wp:extent cx="339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McGuire,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118"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right="40" w:hanging="655"/>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60" w:hanging="655"/>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7"/>
          <w:szCs w:val="17"/>
          <w:color w:val="auto"/>
        </w:rPr>
      </w:pPr>
    </w:p>
    <w:p>
      <w:pPr>
        <w:ind w:left="1960" w:right="100" w:hanging="655"/>
        <w:spacing w:after="0" w:line="313" w:lineRule="auto"/>
        <w:tabs>
          <w:tab w:leader="none" w:pos="19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80" w:hanging="655"/>
        <w:spacing w:after="0" w:line="282"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 2017</w:t>
      </w:r>
    </w:p>
    <w:p>
      <w:pPr>
        <w:spacing w:after="0" w:line="19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right="4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6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7"/>
          <w:szCs w:val="17"/>
          <w:color w:val="auto"/>
        </w:rPr>
      </w:pPr>
    </w:p>
    <w:p>
      <w:pPr>
        <w:ind w:left="1960" w:right="100" w:hanging="655"/>
        <w:spacing w:after="0" w:line="313" w:lineRule="auto"/>
        <w:tabs>
          <w:tab w:leader="none" w:pos="19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80" w:hanging="655"/>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 2017</w:t>
      </w:r>
    </w:p>
    <w:p>
      <w:pPr>
        <w:spacing w:after="0" w:line="19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34290</wp:posOffset>
            </wp:positionV>
            <wp:extent cx="2881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Certifications of Stuart I. Grimshaw, Chief Executive Officer, and Mark S. Ashby, Chief Financial Officer, pursuant to 18 U.S.C.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15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undersigned officers of EZCORP, Inc. hereby certify that (a) EZCORP's Quarterly Report on Form 10-Q for the quarter ended December 31, 2016,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90" w:lineRule="exact"/>
        <w:rPr>
          <w:sz w:val="20"/>
          <w:szCs w:val="20"/>
          <w:color w:val="auto"/>
        </w:rPr>
      </w:pPr>
    </w:p>
    <w:p>
      <w:pPr>
        <w:ind w:left="280"/>
        <w:spacing w:after="0"/>
        <w:tabs>
          <w:tab w:leader="none" w:pos="7780" w:val="left"/>
        </w:tabs>
        <w:rPr>
          <w:sz w:val="20"/>
          <w:szCs w:val="20"/>
          <w:color w:val="auto"/>
        </w:rPr>
      </w:pPr>
      <w:r>
        <w:rPr>
          <w:rFonts w:ascii="Times New Roman" w:cs="Times New Roman" w:eastAsia="Times New Roman" w:hAnsi="Times New Roman"/>
          <w:sz w:val="18"/>
          <w:szCs w:val="18"/>
          <w:color w:val="auto"/>
        </w:rPr>
        <w:t>Date: February 2, 2017</w:t>
      </w:r>
      <w:r>
        <w:rPr>
          <w:sz w:val="20"/>
          <w:szCs w:val="20"/>
          <w:color w:val="auto"/>
        </w:rPr>
        <w:tab/>
      </w:r>
      <w:r>
        <w:rPr>
          <w:rFonts w:ascii="Times New Roman" w:cs="Times New Roman" w:eastAsia="Times New Roman" w:hAnsi="Times New Roman"/>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Times New Roman" w:cs="Times New Roman" w:eastAsia="Times New Roman" w:hAnsi="Times New Roman"/>
          <w:sz w:val="18"/>
          <w:szCs w:val="18"/>
          <w:color w:val="auto"/>
        </w:rPr>
        <w:t>Date: February 2, 2017</w:t>
      </w:r>
      <w:r>
        <w:rPr>
          <w:sz w:val="20"/>
          <w:szCs w:val="20"/>
          <w:color w:val="auto"/>
        </w:rPr>
        <w:tab/>
      </w:r>
      <w:r>
        <w:rPr>
          <w:rFonts w:ascii="Times New Roman" w:cs="Times New Roman" w:eastAsia="Times New Roman" w:hAnsi="Times New Roman"/>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emdash "/>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2020-01-16T03:45:29Z</dcterms:created>
  <dcterms:modified xsi:type="dcterms:W3CDTF">2020-01-16T03:45:29Z</dcterms:modified>
</cp:coreProperties>
</file>