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649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492875"/>
                    </a:xfrm>
                    <a:prstGeom prst="rect">
                      <a:avLst/>
                    </a:prstGeom>
                    <a:noFill/>
                  </pic:spPr>
                </pic:pic>
              </a:graphicData>
            </a:graphic>
          </wp:anchor>
        </w:drawing>
      </w:r>
    </w:p>
    <w:p>
      <w:pPr>
        <w:spacing w:after="0" w:line="1165" w:lineRule="exact"/>
        <w:rPr>
          <w:sz w:val="24"/>
          <w:szCs w:val="24"/>
          <w:color w:val="auto"/>
        </w:rPr>
      </w:pPr>
    </w:p>
    <w:p>
      <w:pPr>
        <w:sectPr>
          <w:pgSz w:w="11900" w:h="16902" w:orient="portrait"/>
          <w:cols w:equalWidth="0" w:num="2">
            <w:col w:w="2300" w:space="300"/>
            <w:col w:w="848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Hicks Robert J</w:t>
              </w:r>
            </w:hyperlink>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EZCORP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Borders>
              <w:bottom w:val="single" w:sz="8" w:color="0000EE"/>
            </w:tcBorders>
            <w:vMerge w:val="continue"/>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12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4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11/12/2024</w:t>
            </w: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2500 BEE CAVE ROAD, BLDG. 1, STE. 200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05" w:lineRule="exact"/>
        <w:rPr>
          <w:sz w:val="20"/>
          <w:szCs w:val="20"/>
          <w:color w:val="auto"/>
        </w:rPr>
      </w:pPr>
    </w:p>
    <w:p>
      <w:pPr>
        <w:sectPr>
          <w:pgSz w:w="11900" w:h="16902" w:orient="portrait"/>
          <w:cols w:equalWidth="0" w:num="2">
            <w:col w:w="7680" w:space="56"/>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7"/>
            <w:vMerge w:val="restart"/>
          </w:tcPr>
          <w:p>
            <w:pPr>
              <w:jc w:val="center"/>
              <w:ind w:right="137"/>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78746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14,198</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27,828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3,458</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24,370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4,392</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4,392</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37,234</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2,588</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2,588</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39,822</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2,417</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2,417</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42,239</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14,198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14,198</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11.77</w:t>
            </w:r>
          </w:p>
        </w:tc>
        <w:tc>
          <w:tcPr>
            <w:tcW w:w="60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28,041</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-3585845</wp:posOffset>
            </wp:positionV>
            <wp:extent cx="29210" cy="3591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9156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2024 and vest on September 30, 2024,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November 12, 2024. However, no consideration was paid for the award other than services rendered and to be rendered by the Reporting Person.</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2023 Restricted Stock Unit award. These units were earned with achievement of the specified performance goal for fiscal 2024 and vest on September 30, 2025, subject to continued employment.</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2024 Restricted Stock Unit award. These units were earned with achievement of the specified performance goal for fiscal 2024 and vest on September 30, 2026, subject to continued employment.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11/14/2024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902"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1526"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2024-11-14T16:16:59Z</dcterms:created>
  <dcterms:modified xsi:type="dcterms:W3CDTF">2024-11-14T16:16:59Z</dcterms:modified>
</cp:coreProperties>
</file>