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965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9658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Robertson Keith John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RD., BLD 1 STE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11/16/2022</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24"/>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302"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6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78746</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6"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11/16/2022</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41,486</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51,440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11/16/2022</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10,101</w:t>
            </w:r>
            <w:r>
              <w:rPr>
                <w:rFonts w:ascii="Times New Roman" w:cs="Times New Roman" w:eastAsia="Times New Roman" w:hAnsi="Times New Roman"/>
                <w:sz w:val="21"/>
                <w:szCs w:val="21"/>
                <w:color w:val="008000"/>
                <w:vertAlign w:val="superscript"/>
              </w:rPr>
              <w:t>(2)</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9.85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41,339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41,486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41,486</w:t>
            </w: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135,434</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0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8,880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8,880</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144,314</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5,901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5,901</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150,215</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-3059430</wp:posOffset>
            </wp:positionV>
            <wp:extent cx="29210" cy="3064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645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16, 2022 after specified performance goals were attained.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 liability associated with the vesting of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2022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2022 and vest on September 30, 2024, subject to continued employment.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11/17/2022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5477"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2022-11-17T14:05:30Z</dcterms:created>
  <dcterms:modified xsi:type="dcterms:W3CDTF">2022-11-17T14:05:30Z</dcterms:modified>
</cp:coreProperties>
</file>