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93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939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Byal Jeff</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1901 CAPITAL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EZCORP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EZPW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02/18/2014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6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6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40" w:type="dxa"/>
            <w:vAlign w:val="bottom"/>
          </w:tcPr>
          <w:p>
            <w:pPr>
              <w:spacing w:after="0"/>
              <w:rPr>
                <w:sz w:val="22"/>
                <w:szCs w:val="22"/>
                <w:color w:val="auto"/>
              </w:rPr>
            </w:pPr>
          </w:p>
        </w:tc>
        <w:tc>
          <w:tcPr>
            <w:tcW w:w="1660" w:type="dxa"/>
            <w:vAlign w:val="bottom"/>
          </w:tcPr>
          <w:p>
            <w:pPr>
              <w:ind w:left="840"/>
              <w:spacing w:after="0"/>
              <w:rPr>
                <w:sz w:val="20"/>
                <w:szCs w:val="20"/>
                <w:color w:val="auto"/>
              </w:rPr>
            </w:pPr>
            <w:r>
              <w:rPr>
                <w:rFonts w:ascii="Arial" w:cs="Arial" w:eastAsia="Arial" w:hAnsi="Arial"/>
                <w:sz w:val="17"/>
                <w:szCs w:val="17"/>
                <w:color w:val="0000FF"/>
                <w:w w:val="99"/>
              </w:rPr>
              <w:t>SVP, CAO</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8"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AUSTIN</w:t>
            </w:r>
          </w:p>
        </w:tc>
        <w:tc>
          <w:tcPr>
            <w:tcW w:w="1140" w:type="dxa"/>
            <w:vAlign w:val="bottom"/>
          </w:tcPr>
          <w:p>
            <w:pPr>
              <w:ind w:left="3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78746</w:t>
            </w:r>
          </w:p>
        </w:tc>
      </w:tr>
      <w:tr>
        <w:trPr>
          <w:trHeight w:val="156"/>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0000FF"/>
                <w:w w:val="99"/>
              </w:rPr>
              <w:t>Non-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27,500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40" w:type="dxa"/>
            <w:vAlign w:val="bottom"/>
          </w:tcPr>
          <w:p>
            <w:pPr>
              <w:jc w:val="right"/>
              <w:ind w:right="198"/>
              <w:spacing w:after="0" w:line="148" w:lineRule="exact"/>
              <w:rPr>
                <w:sz w:val="20"/>
                <w:szCs w:val="20"/>
                <w:color w:val="auto"/>
              </w:rPr>
            </w:pPr>
            <w:r>
              <w:rPr>
                <w:rFonts w:ascii="Arial" w:cs="Arial" w:eastAsia="Arial" w:hAnsi="Arial"/>
                <w:sz w:val="13"/>
                <w:szCs w:val="13"/>
                <w:color w:val="0000FF"/>
              </w:rPr>
              <w:t>02/18/2014</w:t>
            </w:r>
          </w:p>
        </w:tc>
        <w:tc>
          <w:tcPr>
            <w:tcW w:w="1120" w:type="dxa"/>
            <w:vAlign w:val="bottom"/>
          </w:tcPr>
          <w:p>
            <w:pPr>
              <w:spacing w:after="0"/>
              <w:rPr>
                <w:sz w:val="12"/>
                <w:szCs w:val="12"/>
                <w:color w:val="auto"/>
              </w:rPr>
            </w:pPr>
          </w:p>
        </w:tc>
        <w:tc>
          <w:tcPr>
            <w:tcW w:w="8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48" w:lineRule="exact"/>
              <w:rPr>
                <w:sz w:val="20"/>
                <w:szCs w:val="20"/>
                <w:color w:val="auto"/>
              </w:rPr>
            </w:pPr>
            <w:r>
              <w:rPr>
                <w:rFonts w:ascii="Arial" w:cs="Arial" w:eastAsia="Arial" w:hAnsi="Arial"/>
                <w:sz w:val="13"/>
                <w:szCs w:val="13"/>
                <w:color w:val="0000FF"/>
              </w:rPr>
              <w:t>27,500</w:t>
            </w: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0000FF"/>
                <w:w w:val="97"/>
              </w:rPr>
              <w:t>Voting</w:t>
            </w:r>
          </w:p>
        </w:tc>
        <w:tc>
          <w:tcPr>
            <w:tcW w:w="560" w:type="dxa"/>
            <w:vAlign w:val="bottom"/>
            <w:vMerge w:val="continue"/>
          </w:tcPr>
          <w:p>
            <w:pPr>
              <w:spacing w:after="0"/>
              <w:rPr>
                <w:sz w:val="12"/>
                <w:szCs w:val="12"/>
                <w:color w:val="auto"/>
              </w:rPr>
            </w:pPr>
          </w:p>
        </w:tc>
        <w:tc>
          <w:tcPr>
            <w:tcW w:w="720" w:type="dxa"/>
            <w:vAlign w:val="bottom"/>
          </w:tcPr>
          <w:p>
            <w:pPr>
              <w:ind w:left="2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300"/>
              <w:spacing w:after="0" w:line="148" w:lineRule="exact"/>
              <w:rPr>
                <w:sz w:val="20"/>
                <w:szCs w:val="20"/>
                <w:color w:val="auto"/>
              </w:rPr>
            </w:pPr>
            <w:r>
              <w:rPr>
                <w:rFonts w:ascii="Arial" w:cs="Arial" w:eastAsia="Arial" w:hAnsi="Arial"/>
                <w:sz w:val="13"/>
                <w:szCs w:val="13"/>
                <w:color w:val="0000FF"/>
              </w:rPr>
              <w:t>27,500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unit represents a contingent right to receive one share of EZCORP Class A Non-Voting Common Stock or the equivalent value in cash. The Compensation Committee of the Board of Directors, in its sole and absolute discretion, will determine whether to settle vested units in stock or in cash.</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One-third of the units will vest on each October 1 of 2014, 2015, and 2016, subject to the attainment of specified performance goals.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Laura Jones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02/20/2014</w:t>
            </w:r>
          </w:p>
        </w:tc>
        <w:tc>
          <w:tcPr>
            <w:tcW w:w="0" w:type="dxa"/>
            <w:vAlign w:val="bottom"/>
          </w:tcPr>
          <w:p>
            <w:pPr>
              <w:spacing w:after="0"/>
              <w:rPr>
                <w:sz w:val="1"/>
                <w:szCs w:val="1"/>
                <w:color w:val="auto"/>
              </w:rPr>
            </w:pPr>
          </w:p>
        </w:tc>
      </w:tr>
      <w:tr>
        <w:trPr>
          <w:trHeight w:val="92"/>
        </w:trPr>
        <w:tc>
          <w:tcPr>
            <w:tcW w:w="19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3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2574"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2020-01-26T01:51:55Z</dcterms:created>
  <dcterms:modified xsi:type="dcterms:W3CDTF">2020-01-26T01:51:55Z</dcterms:modified>
</cp:coreProperties>
</file>