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25, 2025 (March 24, 2025)</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24, 2025, EZCORP, Inc. (the “Company”) issued a press release announcing that it has priced the private offering by the Company of $300,000,000 aggregate principal amount of senior notes due 2032 (the “Notes Offering”), which Notes Offering is exempt from the registration requirements of the Securities Act of 1933, as amended (the “Securities Act”). The notes are being offered and sold only to persons reasonably believed to be qualified institutional buyers pursuant to Rule 144A under the Securities Act or outside the United States to certain non-U.S. persons in reliance on Regulation S of the Securities Act. A copy of the press release is attached as Exhibit 99.1 to this Report and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March 24, 2025, announcing the pricing of senior notes due 2032</w:t>
      </w:r>
    </w:p>
    <w:p>
      <w:pPr>
        <w:spacing w:after="0" w:line="2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2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2025</w:t>
            </w: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Bryant</w:t>
            </w:r>
          </w:p>
        </w:tc>
      </w:tr>
      <w:tr>
        <w:trPr>
          <w:trHeight w:val="218"/>
        </w:trPr>
        <w:tc>
          <w:tcPr>
            <w:tcW w:w="3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Bryant</w:t>
            </w:r>
          </w:p>
        </w:tc>
      </w:tr>
      <w:tr>
        <w:trPr>
          <w:trHeight w:val="234"/>
        </w:trPr>
        <w:tc>
          <w:tcPr>
            <w:tcW w:w="3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00"/>
          </w:cols>
          <w:pgMar w:left="320" w:top="1049"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911860</wp:posOffset>
            </wp:positionV>
            <wp:extent cx="2005965"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003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EZCORP Announces Pricing of Private Offering of $300,000,000 of Senior Notes Due 2032</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Austin, Texas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2025</w:t>
      </w:r>
      <w:r>
        <w:rPr>
          <w:rFonts w:ascii="Times New Roman" w:cs="Times New Roman" w:eastAsia="Times New Roman" w:hAnsi="Times New Roman"/>
          <w:sz w:val="18"/>
          <w:szCs w:val="18"/>
          <w:color w:val="auto"/>
        </w:rPr>
        <w:t>) - EZCORP, Inc. (NASDAQ: EZPW) (the “Company”), a leading provider of pawn transactions in the United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Latin America, announced today the pricing of its private offering of $300,000,000 aggregate principal amount of its senior notes due 2032 (the “Notes”). The Notes were offered in a private offering to persons reasonably believed to be qualified institutional buyers pursuant to Rule 144A under the Securities Act of 1933 (the “Securities Act”) or outside the United States to certain non-U.S. persons in reliance on Regulation S under the Securities Act. The Notes will be senior unsecured obligations of the Company and will be fully and unconditionally guaranteed by certain of the Company’s wholly owned domestic subsidiaries (the “Guarantors”) and may be guaranteed in the future by certain other existing and future subsidiaries that guarantee certain indebtedness of the Company or any Guarantor. The sale of the Notes is expected to close on March 28, 2025, subject to customary closing conditions.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Notes will bear interest at a rate of 7.375% per annum, payable semiannually in arrears on April 1 and October 1 of each year, beginning on October 1, 2025. The Notes will mature on April 1, 2032, unless earlier redeemed or repurchased in accordance with their terms prior to such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$292.5 million, after deducting the initial purchasers’ discounts and estimated offering expenses payable by us. The Company expects to use approximately $103.4 million of the net proceeds from the offering of the Notes to repay its outstanding 2.375% Convertible Senior Notes Due 2025 at maturity. The Company intends to use any excess proceeds for general corporate purposes.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being offered in a private placement, solely to persons reasonably believed to be qualified institutional buyers pursuant to Rule 144A under the Securities Act, or outside the United States to certain non-U.S. persons in reliance on Regulation S under the Securities Act. The offer and sale of the Notes and related guarantees have not been registered under the Securities Act, or the securities laws of any state or other jurisdiction, and may not be offered or sold in the United States absent registration or an applicable exemption from the registration requirements of the Securities Act and other applicable securities laws.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securities, nor will there be any sale of these securities in any state or jurisdiction in which such an offer, solicitation or sale would be unlawful prior to the registration or qualification under the securities laws of any such state or jurisdiction.</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certain forward-looking statements. Forward-looking statements include, but are not limited to, statements that refer to projections, forecasts, or other characterizations of future events or circumstances, including any underlying assumptions. The words “anticipate,” “believe,” “continue,” “could,” “estimate,” “expect,” “intends,” “may,” “might,” “plan,” “seeks,” “possible,” “potential,” “predict,” “project,” “prospects,” “guidance,” “outlook,” “should,” “would,” “will,” and similar expressions may identify forward-looking statements, but the absence of these words does not mean that a statement is not forward-looking. These statements are based on the Company’s current expectations as to the outcome and timing of future events. All statements, other than statements of historical facts, including all statements regarding the offering of the Notes or intended use of proceeds thereof, that address activities or results that the Company plans, expects, believes, projects, estimates or anticipates will, should or may occur in the future, including future capital expenditures and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and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EZCORP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(512) 314-2220</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2025-03-25T05:12:30Z</dcterms:created>
  <dcterms:modified xsi:type="dcterms:W3CDTF">2025-03-25T05:12:30Z</dcterms:modified>
</cp:coreProperties>
</file>