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29, 2016 (September 27,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 Completion of the Acquisition or Disposition of Assets</w:t>
      </w:r>
    </w:p>
    <w:p>
      <w:pPr>
        <w:spacing w:after="0" w:line="17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On September 27, 2016, EZCORP, Inc. ("EZCORP") completed the previously announced sale of all of its issued and outstanding equity interests in Prestaciones Finmart, S.A.P.I. de C.V., SOFOM, E.N.R. ("Grupo Finmart"), a provider of consumer loans to government agency employees in Mexico, to Alpha Holding, S.A. de C.V. (“AlphaCredit”). The sale was completed substantially in accordance with the terms set forth in a Purchase Agreement dated July 1, 2016 (the “Purchase Agreement”), which was filed as Exhibit 2.1 to the Current Report on the Form 8-K filed by EZCORP with the U.S. Securities and Exchange Commission on July 6, 2016. The Purchase Agreement is incorporated herein by reference.</w:t>
      </w:r>
    </w:p>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Pursuant to the Purchase Agreement, AlphaCredit purchased all of EZCORP's equity interests in Grupo Finmart, representing 93.78% of the issued and outstanding equity interests of Grupo Finmart, as well as a portion of the remaining interests held by the minority shareholders. The aggregate base price for 100% of Grupo Finmart was $50.0 million, subject to certain adjustments specified in the Purchase Agreement. Certain of the minority shareholders retained their equity interests in Grupo Finmart by entering into a shareholder agreement negotiated with AlphaCredit, and the portion of the purchase price attributable to such equity interests has been retained by AlphaCredit. Taking into consideration the $2.7 million attributable to the interests of the minority shareholders and following application of the purchase price adjustments (principally, working capital and non-operating debt adjustments), the purchase price payable to EZCORP was $40.9 million and, subject to the escrow amount described below, was paid in cash at closing. The purchase price is subject to final balance sheet adjustments within 90 days of closing.</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 amount equal to 10% of the adjusted purchase price ($4.1 million) will be subject to indemnification claims and held in escrow for up to 18 months. AlphaCredit may also elect to withdraw funds from the escrow account to recover any amounts owed to it by reason of any post-closing purchase price adjustment. An additional $11.5 million was placed in a separate escrow account for tax purposes, and was released to EZCORP on September 29, 2016 upon the filing and delivery of certain required tax documentation.</w:t>
      </w:r>
    </w:p>
    <w:p>
      <w:pPr>
        <w:spacing w:after="0" w:line="13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 of intercompany indebtedness owed by Grupo Finmart to EZCORP at the time of closing ($60.2 million) was restructured into two notes issued by Grupo Finmart and guaranteed by AlphaCredit. Each note provides for quarterly interest payments and principal repayment in annual installments over three years on the anniversary dates of the closing (30% on the first anniversary, 40% on the second anniversary and 30% on the third anniversary). The note governing the Mexican Peso denominated intercompany debt (principal amount of approximately $8.2 million) is payable in Mexican Pesos at a 7.5% per annum interest rate, and the note governing the U.S. Dollar denominated intercompany debt (principal amount of approximately $52.0 million) is payable in U.S. Dollars at a 4% per annum interest rate.</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in connection with the closing, EZCORP paid a total of $30.7 million to existing Grupo Finmart lenders and stepped into the position of those lenders, including related collateral, and assumed the receivable from Grupo Finmart with no change in terms. This debt includes $25.3 million in consolidated VIE debt supported by certain foreign currency hedge obligations of Grupo Finmart that have been guaranteed by EZCORP. The underlying VIE debt is now owed to EZCORP, and AlphaCredit, subject to certain exceptions, has agreed to reimburse EZCORP for any amounts EZCORP is required to pay under the guarantee. All of this debt is scheduled to be repaid to EZCORP in installments between closing and December 2017.</w:t>
      </w:r>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Purchase Agreement provides for certain indemnification obligations of both EZCORP and AlphaCredit, subject to certain limitations. Generally, the maximum amount of EZCORP's indemnification obligations is (1) 15% of the adjusted purchase price for general representations and warranties, (2) 25% of the adjusted purchase price for Special Representations (as defined in the Purchase Agreement) and (3) 100% of the proceeds received from AlphaCredit for all other indemnification obligations, including Fundamental Representations (as defined in the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foregoing description of the Purchase Agreement is not complete and is qualified in its entirety by reference to the Purchase Agreement itself.</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28, 2016, EZCORP issued a press release announcing completion of the disposition described in Item 2.01 above. The full text of the press release is attached hereto as Exhibit 99.1.</w:t>
      </w:r>
    </w:p>
    <w:p>
      <w:pPr>
        <w:spacing w:after="0" w:line="11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information set forth, or referred to, in this Item 7.01 shall not be deemed to be incorporated by reference into any registration statement or other document pursuant to the Securities Act of 1933, unless such subsequent filing specifically references this Item 7.01 of this Current Report on Form 8-K.</w:t>
      </w:r>
    </w:p>
    <w:p>
      <w:pPr>
        <w:sectPr>
          <w:pgSz w:w="11900" w:h="16838" w:orient="portrait"/>
          <w:cols w:equalWidth="0" w:num="1">
            <w:col w:w="11400"/>
          </w:cols>
          <w:pgMar w:left="240" w:top="742"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Exhibit 99.2 to this Current Report contains unaudited pro forma condensed consolidated financial information of EZCORP related to the disposition described in Item 2.01 above, which is incorporated herein by reference. The unaudited pro forma condensed consolidated financial information of EZCORP was derived from EZCORP's historical consolidated financial statements and is presented to give effect to the disposition of Grupo Finmart. The information presented is not necessarily indicative of what EZCORP's financial position or results of operations actually would have been had EZCORP completed the sale of Grupo Finmart as of the dates indicated. In addition, the unaudited pro forma financial information does not purport to project the future financial position or operating results of EZCORP.</w:t>
      </w:r>
    </w:p>
    <w:p>
      <w:pPr>
        <w:spacing w:after="0" w:line="139" w:lineRule="exact"/>
        <w:rPr>
          <w:sz w:val="20"/>
          <w:szCs w:val="20"/>
          <w:color w:val="auto"/>
        </w:rPr>
      </w:pPr>
    </w:p>
    <w:p>
      <w:pPr>
        <w:ind w:left="580" w:hanging="54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240"/>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EZCORP, Inc. dated September 28, 2016</w:t>
      </w:r>
    </w:p>
    <w:p>
      <w:pPr>
        <w:spacing w:after="0" w:line="63" w:lineRule="exact"/>
        <w:rPr>
          <w:sz w:val="20"/>
          <w:szCs w:val="20"/>
          <w:color w:val="auto"/>
        </w:rPr>
      </w:pPr>
    </w:p>
    <w:p>
      <w:pPr>
        <w:ind w:left="820" w:right="560" w:hanging="575"/>
        <w:spacing w:after="0" w:line="277" w:lineRule="auto"/>
        <w:tabs>
          <w:tab w:leader="none" w:pos="800" w:val="left"/>
        </w:tabs>
        <w:rPr>
          <w:sz w:val="20"/>
          <w:szCs w:val="20"/>
          <w:color w:val="auto"/>
        </w:rPr>
      </w:pPr>
      <w:r>
        <w:rPr>
          <w:rFonts w:ascii="Arial" w:cs="Arial" w:eastAsia="Arial" w:hAnsi="Arial"/>
          <w:sz w:val="18"/>
          <w:szCs w:val="18"/>
          <w:color w:val="auto"/>
        </w:rPr>
        <w:t>99.2</w:t>
        <w:tab/>
        <w:t>Pro forma Condensed Consolidated Financial Statements of EZCORP, Inc. for the fiscal years ended September 30, 2015, 2014 and 2013, and for the nine-months ended June 30, 2016, and as of June 30, 2016 (unaudited)</w:t>
      </w:r>
    </w:p>
    <w:p>
      <w:pPr>
        <w:sectPr>
          <w:pgSz w:w="11900" w:h="16838" w:orient="portrait"/>
          <w:cols w:equalWidth="0" w:num="1">
            <w:col w:w="11320"/>
          </w:cols>
          <w:pgMar w:left="240" w:top="904"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September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Senior Vice President, General Counsel and Secretary</w:t>
      </w:r>
    </w:p>
    <w:p>
      <w:pPr>
        <w:sectPr>
          <w:pgSz w:w="11900" w:h="16838" w:orient="portrait"/>
          <w:cols w:equalWidth="0" w:num="1">
            <w:col w:w="11220"/>
          </w:cols>
          <w:pgMar w:left="240" w:top="1013"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of EZCORP, Inc. dated September 28, 2016</w:t>
            </w:r>
          </w:p>
        </w:tc>
        <w:tc>
          <w:tcPr>
            <w:tcW w:w="0" w:type="dxa"/>
            <w:vAlign w:val="bottom"/>
          </w:tcPr>
          <w:p>
            <w:pPr>
              <w:spacing w:after="0"/>
              <w:rPr>
                <w:sz w:val="1"/>
                <w:szCs w:val="1"/>
                <w:color w:val="auto"/>
              </w:rPr>
            </w:pPr>
          </w:p>
        </w:tc>
      </w:tr>
      <w:tr>
        <w:trPr>
          <w:trHeight w:val="25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4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Pro forma Condensed Consolidated Financial Statements of EZCorp, Inc. for the fiscal years ended September 30, 2015, 2014 and 2013,</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and for the nine-months ended June 30, 2016, and as of June 30, 2016 (unaudited)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 w:name="page6"/>
    <w:bookmarkEnd w:id="5"/>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2576195</wp:posOffset>
            </wp:positionH>
            <wp:positionV relativeFrom="page">
              <wp:posOffset>380365</wp:posOffset>
            </wp:positionV>
            <wp:extent cx="241808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18080"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7"/>
          <w:szCs w:val="27"/>
          <w:b w:val="1"/>
          <w:bCs w:val="1"/>
          <w:color w:val="auto"/>
        </w:rPr>
        <w:t>EZCORP COMPLETES SALE OF GRUPO FINMART</w:t>
      </w:r>
    </w:p>
    <w:p>
      <w:pPr>
        <w:spacing w:after="0" w:line="200" w:lineRule="exact"/>
        <w:rPr>
          <w:sz w:val="20"/>
          <w:szCs w:val="20"/>
          <w:color w:val="auto"/>
        </w:rPr>
      </w:pP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Austin, Texas (September 28, 2016) </w:t>
      </w:r>
      <w:r>
        <w:rPr>
          <w:rFonts w:ascii="Arial" w:cs="Arial" w:eastAsia="Arial" w:hAnsi="Arial"/>
          <w:sz w:val="18"/>
          <w:szCs w:val="18"/>
          <w:color w:val="auto"/>
        </w:rPr>
        <w:t>- EZCORP, Inc. (NASDAQ: EZPW) today announced that it has completed the sale of Prestaciones</w:t>
      </w:r>
      <w:r>
        <w:rPr>
          <w:rFonts w:ascii="Arial" w:cs="Arial" w:eastAsia="Arial" w:hAnsi="Arial"/>
          <w:sz w:val="18"/>
          <w:szCs w:val="18"/>
          <w:b w:val="1"/>
          <w:bCs w:val="1"/>
          <w:color w:val="auto"/>
        </w:rPr>
        <w:t xml:space="preserve"> </w:t>
      </w:r>
      <w:r>
        <w:rPr>
          <w:rFonts w:ascii="Arial" w:cs="Arial" w:eastAsia="Arial" w:hAnsi="Arial"/>
          <w:sz w:val="18"/>
          <w:szCs w:val="18"/>
          <w:color w:val="auto"/>
        </w:rPr>
        <w:t>Finmart, S.A.P.I. de C.V., SOFOM, E.N.R. (“Grupo Finmart”) to Alpha Holding, S.A. de C.V. (“AlphaCredit”), a leader in consumer lending in Mexico and Colombia. EZCORP owned 94% of Grupo Finmart, a provider of consumer loans to government agency employees in Mexico.</w:t>
      </w:r>
    </w:p>
    <w:p>
      <w:pPr>
        <w:spacing w:after="0" w:line="12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EZCORP Chief Executive Officer Stuart Grimshaw said: “The divestiture of Grupo Finmart frees up capital and other resources that we can deploy to grow and expand our pawn businesses in the U.S. and Mexico, which now account for 99% of our total revenue. Our intense focus on market leadership in meeting our customers’ desire for access to cash when they want it continues to build the platform for growth in our pawn businesses.”</w:t>
      </w:r>
    </w:p>
    <w:p>
      <w:pPr>
        <w:spacing w:after="0" w:line="192" w:lineRule="exact"/>
        <w:rPr>
          <w:sz w:val="20"/>
          <w:szCs w:val="20"/>
          <w:color w:val="auto"/>
        </w:rPr>
      </w:pPr>
    </w:p>
    <w:p>
      <w:pPr>
        <w:ind w:right="640"/>
        <w:spacing w:after="0" w:line="243" w:lineRule="auto"/>
        <w:rPr>
          <w:sz w:val="20"/>
          <w:szCs w:val="20"/>
          <w:color w:val="auto"/>
        </w:rPr>
      </w:pPr>
      <w:r>
        <w:rPr>
          <w:rFonts w:ascii="Arial" w:cs="Arial" w:eastAsia="Arial" w:hAnsi="Arial"/>
          <w:sz w:val="20"/>
          <w:szCs w:val="20"/>
          <w:color w:val="auto"/>
        </w:rPr>
        <w:t>The base purchase price for the sale of 100% of Grupo Finmart was $50 million, which AlphaCredit elected to pay in full at the closing. EZCORP received $25.3 million in cash at closing with an additional $11.5 million in cash to be received within five business days, as described below. The $25.3 million in cash that EZCORP received at closing reflects the base purchase price of $50 million less these approximate amounts:</w:t>
      </w:r>
    </w:p>
    <w:p>
      <w:pPr>
        <w:spacing w:after="0" w:line="3"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20"/>
          <w:szCs w:val="20"/>
          <w:color w:val="auto"/>
        </w:rPr>
        <w:t>$6.4 million for working capital, cash and non-operating debt adjustments;</w:t>
      </w: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20"/>
          <w:szCs w:val="20"/>
          <w:color w:val="auto"/>
        </w:rPr>
        <w:t>$2.7 million to the minority interest holders who held 6% of Grupo Finmart;</w:t>
      </w:r>
    </w:p>
    <w:p>
      <w:pPr>
        <w:ind w:left="680" w:right="40" w:hanging="321"/>
        <w:spacing w:after="0" w:line="239"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20"/>
          <w:szCs w:val="20"/>
          <w:color w:val="auto"/>
        </w:rPr>
        <w:t>$11.5 million that has been placed in a separate escrow account and is expected to be released to EZCORP within five business days of closing upon filing and delivery of certain required tax documentation; and</w:t>
      </w:r>
    </w:p>
    <w:p>
      <w:pPr>
        <w:spacing w:after="0" w:line="1" w:lineRule="exact"/>
        <w:rPr>
          <w:rFonts w:ascii="Arial" w:cs="Arial" w:eastAsia="Arial" w:hAnsi="Arial"/>
          <w:sz w:val="18"/>
          <w:szCs w:val="18"/>
          <w:color w:val="auto"/>
        </w:rPr>
      </w:pPr>
    </w:p>
    <w:p>
      <w:pPr>
        <w:ind w:left="680" w:right="380" w:hanging="321"/>
        <w:spacing w:after="0" w:line="24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20"/>
          <w:szCs w:val="20"/>
          <w:color w:val="auto"/>
        </w:rPr>
        <w:t>$4.1 million that will be held in escrow subject to finalization of completion financial performance and indemnification claims and held for up to 18 months.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EZCORP also received promissory notes with an approximate total principal amount of $91 million as follows:</w:t>
      </w:r>
    </w:p>
    <w:p>
      <w:pPr>
        <w:spacing w:after="0" w:line="16" w:lineRule="exact"/>
        <w:rPr>
          <w:sz w:val="20"/>
          <w:szCs w:val="20"/>
          <w:color w:val="auto"/>
        </w:rPr>
      </w:pPr>
    </w:p>
    <w:p>
      <w:pPr>
        <w:ind w:left="680" w:right="20" w:hanging="321"/>
        <w:spacing w:after="0" w:line="23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20"/>
          <w:szCs w:val="20"/>
          <w:color w:val="auto"/>
        </w:rPr>
        <w:t>$60 million representing the amount of intercompany debt owed to EZCORP at the time of closing. These notes are guaranteed by AlphaCredit and are payable to EZCORP in annual installments over three years. The principal amount of $52 million is payable in U.S. dollars and bears interest at a rate of 4% per annum; and the principal amount of $8 million is payable in Mexican pesos and bears interest at a rate of 7.5% per annum.</w:t>
      </w:r>
    </w:p>
    <w:p>
      <w:pPr>
        <w:spacing w:after="0" w:line="2" w:lineRule="exact"/>
        <w:rPr>
          <w:rFonts w:ascii="Arial" w:cs="Arial" w:eastAsia="Arial" w:hAnsi="Arial"/>
          <w:sz w:val="18"/>
          <w:szCs w:val="18"/>
          <w:color w:val="auto"/>
        </w:rPr>
      </w:pPr>
    </w:p>
    <w:p>
      <w:pPr>
        <w:ind w:left="680" w:right="120" w:hanging="321"/>
        <w:spacing w:after="0" w:line="241"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20"/>
          <w:szCs w:val="20"/>
          <w:color w:val="auto"/>
        </w:rPr>
        <w:t>$31 million representing existing Grupo Finmart third party debt that EZCORP paid off at closing. EZCORP stepped into the position of those lenders, including related collateral, and assumed the receivable from Grupo Finmart with no change in terms. This debt is scheduled to be repaid to EZCORP in installments between closing and December 2017.</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As a result of the sale, EZCORP has no further ownership interest in Grupo Finmart and no further obligations to fund Grupo Finmart.</w:t>
      </w:r>
    </w:p>
    <w:p>
      <w:pPr>
        <w:spacing w:after="0" w:line="20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Mr. Grimshaw said: “We are pleased to complete the sale of Grupo Finmart to AlphaCredit following a competitive bidding process and we believe the new owner is well positioned to maximize the value of Grupo Finmart over the long term, which will serve to maximize the value of our continuing investment as a creditor.”</w:t>
      </w:r>
    </w:p>
    <w:p>
      <w:pPr>
        <w:spacing w:after="0" w:line="159"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UBS Investment Bank acted as financial advisor to EZCORP in connection with the transaction. Vinson &amp; Elkins LLP; Cadwalader, Wickersham &amp; Taft LLP; and Mijares Angoitia Cortés y Fuentes, S.C. served as legal counsel to EZCORP. Goodwin Procter LLP and Creel, García-Cuéllar, Aiza y Enríquez, S.C. served as legal counsel to AlphaCredit.</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Additional information about the transaction, including pro forma financial statements for EZCORP giving effect to the completion of the sale, will be contained in a Current Report on Form 8-K that EZCORP will file with the U.S. Securities and Exchange Commission on or before October 3, 2016.</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EZCORP</w:t>
      </w:r>
    </w:p>
    <w:p>
      <w:pPr>
        <w:spacing w:after="0" w:line="181" w:lineRule="exact"/>
        <w:rPr>
          <w:sz w:val="20"/>
          <w:szCs w:val="20"/>
          <w:color w:val="auto"/>
        </w:rPr>
      </w:pPr>
    </w:p>
    <w:p>
      <w:pPr>
        <w:ind w:right="70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At our pawn stores, we also sell merchandise, primarily collateral forfeited from pawn lending operations and used merchandise purchased from customers.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This announcement contains certain forward-looking statements regarding Grupo Finmart’s performance and the expected repayment of Grupo Finmart obligations held by EZCORP.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are forward-looking statements. Actual results for future periods may differ materially from those expressed or implied by these forward-looking statements due to a number of uncertainties and other factors, including operating risks, liquidity risks and Grupo Finmart performance and credit risks. For a discussion of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Email: jeff_christensen@ezcorp.com</w:t>
      </w:r>
    </w:p>
    <w:p>
      <w:pPr>
        <w:spacing w:after="0"/>
        <w:rPr>
          <w:sz w:val="20"/>
          <w:szCs w:val="20"/>
          <w:color w:val="auto"/>
        </w:rPr>
      </w:pPr>
      <w:r>
        <w:rPr>
          <w:rFonts w:ascii="Arial" w:cs="Arial" w:eastAsia="Arial" w:hAnsi="Arial"/>
          <w:sz w:val="20"/>
          <w:szCs w:val="20"/>
          <w:color w:val="auto"/>
        </w:rPr>
        <w:t>Phone: (512) 437-3545</w:t>
      </w:r>
    </w:p>
    <w:p>
      <w:pPr>
        <w:sectPr>
          <w:pgSz w:w="11900" w:h="16838" w:orient="portrait"/>
          <w:cols w:equalWidth="0" w:num="1">
            <w:col w:w="11400"/>
          </w:cols>
          <w:pgMar w:left="240" w:top="792"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unaudited pro forma condensed consolidated financial statements are based on the historical financial statements of EZCORP, Inc. and its consolidated subsidiaries ("we" or the "Company"), adjusted to give effect to (1) the sale of Prestaciones Finmart, S.A.P.I. de C.V., SOFOM, E.N.R. ("Grupo Finmart") for an aggregate purchase price of $50.0 million, subject to adjustments, (2) restructured intercompany debt payable by Grupo Finmart to the Company totaling $60.2 million, of which the principal balance will generally be repaid on the anniversary of closing, on a schedule approximating 30% on the first anniversary, 40% on the second anniversary and 30% on the third anniversary and (3) an additional $30.7 million payable by Grupo Finmart to the Company on a periodic schedule through December 2017, representing former Grupo Finmart third party debt that the Company paid and assumed the creditor position, including related collateral.</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unaudited pro forma condensed consolidated statements of operations for the nine-months ended June 30, 2016 and the fiscal year ended September 30, 2015 give effect to the sale as if it had occurred on October 1, 2014. The unaudited pro forma condensed consolidated statements of operations for the fiscal years ended September 30, 2014 and 2013 include no pro forma adjustments, but are presented for purposes of recasting our results of operations for the discontinuance of our Grupo Finmart operations. The unaudited pro forma condensed consolidated balance sheet as of June 30, 2016 gives effect to the sale as if it had occurred at that date, when Grupo Finmart's assets and liabilities were presented as held for sale. We expect material revisions to these amounts primarily as a result of the changes in balances recorded on our condensed consolidated balance sheet from June 30, 2016 to the date of closing.</w:t>
      </w:r>
    </w:p>
    <w:p>
      <w:pPr>
        <w:spacing w:after="0" w:line="11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accordance with SEC regulations, these unaudited pro forma condensed consolidated financial statements reflect adjustments to the extent they are directly attributable to the sale, are factually supportable and, for statement of operations purposes, are</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expected to have a continuing impact on the Company’s results of operations. The “As Filed” column in the unaudited pro forma condensed consolidated financial statements reflects the Company’s historical condensed consolidated financial statements for the periods presented and does not reflect any adjustments related to the sale and related events.</w:t>
      </w:r>
    </w:p>
    <w:p>
      <w:pPr>
        <w:spacing w:after="0" w:line="13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unaudited pro forma condensed consolidated financial statements have been prepared in accordance with Article 11 of Regulation S-X and are for informational purposes only. The unaudited pro forma condensed consolidated financial statements do not purport to indicate the results that would actually have been obtained had the sale been completed on the assumed date or for the periods presented, or which may be realized in the future. The unaudited pro forma condensed consolidated financial statements, including the notes thereto, should be read in conjunction with the historical financial statements of the Company included in our Annual Report on Form 10-K for the year ended September 30, 2015 and our quarterly report on Form 10-Q for the quarter ended June 30, 2016.</w:t>
      </w:r>
    </w:p>
    <w:p>
      <w:pPr>
        <w:spacing w:after="0" w:line="13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refer the reader's attention to our previously filed Form 10-Q for the quarter ended June 30, 2016, which included certain adjustments of tax related accounts. The "As Filed" column in the unaudited pro forma condensed consolidated financial statements presented herein does not give effect to those adjustments, which we consider immaterial. We further expect our consolidated statements of operations for the years ended September 30, 2015 and 2014 to reflect these adjustments when filed in our Form 10-K for the year ended September 30, 2016. The unaudited pro forma condensed consolidated financial statements have been prepared using the estimates upon which the payments at closing were based, which are subject to material adjustment.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42"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JUNE 30, 2016</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Filed</w:t>
            </w:r>
          </w:p>
        </w:tc>
        <w:tc>
          <w:tcPr>
            <w:tcW w:w="140" w:type="dxa"/>
            <w:vAlign w:val="bottom"/>
          </w:tcPr>
          <w:p>
            <w:pPr>
              <w:spacing w:after="0"/>
              <w:rPr>
                <w:sz w:val="14"/>
                <w:szCs w:val="14"/>
                <w:color w:val="auto"/>
              </w:rPr>
            </w:pPr>
          </w:p>
        </w:tc>
        <w:tc>
          <w:tcPr>
            <w:tcW w:w="1000" w:type="dxa"/>
            <w:vAlign w:val="bottom"/>
          </w:tcPr>
          <w:p>
            <w:pPr>
              <w:jc w:val="right"/>
              <w:ind w:right="139"/>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69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21,678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11,448</w:t>
            </w:r>
          </w:p>
        </w:tc>
        <w:tc>
          <w:tcPr>
            <w:tcW w:w="12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rPr>
              <w:t>(f)</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16,448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160,269</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Pawn service charges receivable,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29,643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29,643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130,368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Current assets held for sale</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156,587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(156,587)</w:t>
            </w: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(b)</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46,048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(c) (d)</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46,048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20,734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(106,793)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425,188</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57,656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61,201</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254,273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254,273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30,569</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Non-current notes receivable, net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35,436</w:t>
            </w: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(c) (d)</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35,436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33,386</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18,950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4,089</w:t>
            </w:r>
          </w:p>
        </w:tc>
        <w:tc>
          <w:tcPr>
            <w:tcW w:w="12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rPr>
              <w:t>(f)</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23,039</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988,016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(67,268)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920,748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temporary equity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64,627</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Current liabilities held for sale</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130,627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(130,627)</w:t>
            </w: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(b)</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11,201</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205,909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(125,239)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80,670</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211,421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211,421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3,321</w:t>
            </w:r>
          </w:p>
        </w:tc>
        <w:tc>
          <w:tcPr>
            <w:tcW w:w="0" w:type="dxa"/>
            <w:vAlign w:val="bottom"/>
          </w:tcPr>
          <w:p>
            <w:pPr>
              <w:spacing w:after="0"/>
              <w:rPr>
                <w:sz w:val="1"/>
                <w:szCs w:val="1"/>
                <w:color w:val="auto"/>
              </w:rPr>
            </w:pPr>
          </w:p>
        </w:tc>
      </w:tr>
      <w:tr>
        <w:trPr>
          <w:trHeight w:val="217"/>
        </w:trPr>
        <w:tc>
          <w:tcPr>
            <w:tcW w:w="698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420,651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(125,239)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295,412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Temporary equity:</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(b)</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980" w:type="dxa"/>
            <w:vAlign w:val="bottom"/>
          </w:tcPr>
          <w:p>
            <w:pPr>
              <w:ind w:left="720"/>
              <w:spacing w:after="0"/>
              <w:rPr>
                <w:sz w:val="20"/>
                <w:szCs w:val="20"/>
                <w:color w:val="auto"/>
              </w:rPr>
            </w:pPr>
            <w:r>
              <w:rPr>
                <w:rFonts w:ascii="Arial" w:cs="Arial" w:eastAsia="Arial" w:hAnsi="Arial"/>
                <w:sz w:val="16"/>
                <w:szCs w:val="16"/>
                <w:color w:val="auto"/>
              </w:rPr>
              <w:t>Total temporary equity</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980" w:type="dxa"/>
            <w:vAlign w:val="bottom"/>
          </w:tcPr>
          <w:p>
            <w:pPr>
              <w:ind w:left="500"/>
              <w:spacing w:after="0"/>
              <w:rPr>
                <w:sz w:val="20"/>
                <w:szCs w:val="20"/>
                <w:color w:val="auto"/>
              </w:rPr>
            </w:pPr>
            <w:r>
              <w:rPr>
                <w:rFonts w:ascii="Arial" w:cs="Arial" w:eastAsia="Arial" w:hAnsi="Arial"/>
                <w:sz w:val="16"/>
                <w:szCs w:val="16"/>
                <w:color w:val="auto"/>
                <w:w w:val="93"/>
              </w:rPr>
              <w:t>Class A Non-voting Common Stock, par value $.01 per share; shares authorized: 100 million as of</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500"/>
              <w:spacing w:after="0"/>
              <w:rPr>
                <w:sz w:val="20"/>
                <w:szCs w:val="20"/>
                <w:color w:val="auto"/>
              </w:rPr>
            </w:pPr>
            <w:r>
              <w:rPr>
                <w:rFonts w:ascii="Arial" w:cs="Arial" w:eastAsia="Arial" w:hAnsi="Arial"/>
                <w:sz w:val="16"/>
                <w:szCs w:val="16"/>
                <w:color w:val="auto"/>
              </w:rPr>
              <w:t>June 30, 2016; issued and outstanding: 51,019,332 as of June 30, 2016</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9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issued and outstanding: 2,970,171</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313,607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313,607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(g)</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350,718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(64,703)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25,380</w:t>
            </w: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(b)</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(39,323)</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569,981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55,561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625,542</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Noncontrolling interest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55,561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625,336</w:t>
            </w:r>
          </w:p>
        </w:tc>
        <w:tc>
          <w:tcPr>
            <w:tcW w:w="0" w:type="dxa"/>
            <w:vAlign w:val="bottom"/>
          </w:tcPr>
          <w:p>
            <w:pPr>
              <w:spacing w:after="0"/>
              <w:rPr>
                <w:sz w:val="1"/>
                <w:szCs w:val="1"/>
                <w:color w:val="auto"/>
              </w:rPr>
            </w:pPr>
          </w:p>
        </w:tc>
      </w:tr>
      <w:tr>
        <w:trPr>
          <w:trHeight w:val="244"/>
        </w:trPr>
        <w:tc>
          <w:tcPr>
            <w:tcW w:w="6980" w:type="dxa"/>
            <w:vAlign w:val="bottom"/>
          </w:tcPr>
          <w:p>
            <w:pPr>
              <w:ind w:left="40"/>
              <w:spacing w:after="0"/>
              <w:rPr>
                <w:sz w:val="20"/>
                <w:szCs w:val="20"/>
                <w:color w:val="auto"/>
              </w:rPr>
            </w:pPr>
            <w:r>
              <w:rPr>
                <w:rFonts w:ascii="Arial" w:cs="Arial" w:eastAsia="Arial" w:hAnsi="Arial"/>
                <w:sz w:val="16"/>
                <w:szCs w:val="16"/>
                <w:color w:val="auto"/>
              </w:rPr>
              <w:t>Total liabilities, temporary equity and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988,016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(67,268)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920,748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4" w:right="239" w:bottom="948"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74" w:right="239" w:bottom="948"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JUNE 30, 2016</w:t>
      </w:r>
    </w:p>
    <w:p>
      <w:pPr>
        <w:jc w:val="center"/>
        <w:spacing w:after="0"/>
        <w:rPr>
          <w:sz w:val="20"/>
          <w:szCs w:val="20"/>
          <w:color w:val="auto"/>
        </w:rPr>
      </w:pPr>
      <w:r>
        <w:rPr>
          <w:rFonts w:ascii="Arial" w:cs="Arial" w:eastAsia="Arial" w:hAnsi="Arial"/>
          <w:sz w:val="16"/>
          <w:szCs w:val="16"/>
          <w:b w:val="1"/>
          <w:bCs w:val="1"/>
          <w:color w:val="auto"/>
        </w:rPr>
        <w:t>(UNAUDITED)</w:t>
      </w:r>
    </w:p>
    <w:p>
      <w:pPr>
        <w:jc w:val="center"/>
        <w:spacing w:after="0"/>
        <w:rPr>
          <w:sz w:val="20"/>
          <w:szCs w:val="20"/>
          <w:color w:val="auto"/>
        </w:rPr>
      </w:pPr>
      <w:r>
        <w:rPr>
          <w:rFonts w:ascii="Arial" w:cs="Arial" w:eastAsia="Arial" w:hAnsi="Arial"/>
          <w:sz w:val="14"/>
          <w:szCs w:val="14"/>
          <w:i w:val="1"/>
          <w:iCs w:val="1"/>
          <w:color w:val="auto"/>
        </w:rPr>
        <w:t>(in thousands, except per share amount)</w:t>
      </w:r>
    </w:p>
    <w:p>
      <w:pPr>
        <w:spacing w:after="0" w:line="54" w:lineRule="exact"/>
        <w:rPr>
          <w:sz w:val="20"/>
          <w:szCs w:val="20"/>
          <w:color w:val="auto"/>
        </w:rPr>
      </w:pPr>
    </w:p>
    <w:tbl>
      <w:tblPr>
        <w:tblLayout w:type="fixed"/>
        <w:tblInd w:w="72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As Filed</w:t>
            </w:r>
          </w:p>
        </w:tc>
        <w:tc>
          <w:tcPr>
            <w:tcW w:w="138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Pro Forma</w:t>
            </w:r>
          </w:p>
        </w:tc>
        <w:tc>
          <w:tcPr>
            <w:tcW w:w="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Notes</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86"/>
        </w:trPr>
        <w:tc>
          <w:tcPr>
            <w:tcW w:w="880" w:type="dxa"/>
            <w:vAlign w:val="bottom"/>
            <w:vMerge w:val="continue"/>
          </w:tcPr>
          <w:p>
            <w:pPr>
              <w:spacing w:after="0"/>
              <w:rPr>
                <w:sz w:val="16"/>
                <w:szCs w:val="16"/>
                <w:color w:val="auto"/>
              </w:rPr>
            </w:pPr>
          </w:p>
        </w:tc>
        <w:tc>
          <w:tcPr>
            <w:tcW w:w="138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Adjustments</w:t>
            </w:r>
          </w:p>
        </w:tc>
        <w:tc>
          <w:tcPr>
            <w:tcW w:w="7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7620</wp:posOffset>
            </wp:positionV>
            <wp:extent cx="2889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7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311,941</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311,941</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33,631</w:t>
            </w:r>
          </w:p>
        </w:tc>
      </w:tr>
      <w:tr>
        <w:trPr>
          <w:trHeight w:val="237"/>
        </w:trPr>
        <w:tc>
          <w:tcPr>
            <w:tcW w:w="54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193,197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193,197</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6,603</w:t>
            </w:r>
          </w:p>
        </w:tc>
      </w:tr>
      <w:tr>
        <w:trPr>
          <w:trHeight w:val="237"/>
        </w:trPr>
        <w:tc>
          <w:tcPr>
            <w:tcW w:w="548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548</w:t>
            </w:r>
          </w:p>
        </w:tc>
      </w:tr>
      <w:tr>
        <w:trPr>
          <w:trHeight w:val="33"/>
        </w:trPr>
        <w:tc>
          <w:tcPr>
            <w:tcW w:w="54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3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545,920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545,920</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194,731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194,731</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28,271</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1,549</w:t>
            </w:r>
          </w:p>
        </w:tc>
      </w:tr>
      <w:tr>
        <w:trPr>
          <w:trHeight w:val="33"/>
        </w:trPr>
        <w:tc>
          <w:tcPr>
            <w:tcW w:w="54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321,369</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221,446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221,446</w:t>
            </w:r>
          </w:p>
        </w:tc>
      </w:tr>
      <w:tr>
        <w:trPr>
          <w:trHeight w:val="237"/>
        </w:trPr>
        <w:tc>
          <w:tcPr>
            <w:tcW w:w="548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50,085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50,085</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20,422</w:t>
            </w:r>
          </w:p>
        </w:tc>
      </w:tr>
      <w:tr>
        <w:trPr>
          <w:trHeight w:val="237"/>
        </w:trPr>
        <w:tc>
          <w:tcPr>
            <w:tcW w:w="548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641</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3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r>
      <w:tr>
        <w:trPr>
          <w:trHeight w:val="217"/>
        </w:trPr>
        <w:tc>
          <w:tcPr>
            <w:tcW w:w="548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1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294,504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294,504</w:t>
            </w:r>
          </w:p>
        </w:tc>
      </w:tr>
      <w:tr>
        <w:trPr>
          <w:trHeight w:val="33"/>
        </w:trPr>
        <w:tc>
          <w:tcPr>
            <w:tcW w:w="54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13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26,865</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12,014</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(4,187)</w:t>
            </w:r>
          </w:p>
        </w:tc>
        <w:tc>
          <w:tcPr>
            <w:tcW w:w="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(h)</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(4,253)</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(5,626)</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3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r>
      <w:tr>
        <w:trPr>
          <w:trHeight w:val="217"/>
        </w:trPr>
        <w:tc>
          <w:tcPr>
            <w:tcW w:w="548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19,728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4,187</w:t>
            </w:r>
          </w:p>
        </w:tc>
        <w:tc>
          <w:tcPr>
            <w:tcW w:w="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23,915</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3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1,465</w:t>
            </w:r>
          </w:p>
        </w:tc>
        <w:tc>
          <w:tcPr>
            <w:tcW w:w="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12,689</w:t>
            </w:r>
          </w:p>
        </w:tc>
      </w:tr>
      <w:tr>
        <w:trPr>
          <w:trHeight w:val="217"/>
        </w:trPr>
        <w:tc>
          <w:tcPr>
            <w:tcW w:w="548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1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8,504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2,722</w:t>
            </w:r>
          </w:p>
        </w:tc>
        <w:tc>
          <w:tcPr>
            <w:tcW w:w="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11,226</w:t>
            </w:r>
          </w:p>
        </w:tc>
      </w:tr>
      <w:tr>
        <w:trPr>
          <w:trHeight w:val="33"/>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noncontrolling interest</w:t>
            </w:r>
          </w:p>
        </w:tc>
        <w:tc>
          <w:tcPr>
            <w:tcW w:w="13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8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13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8,954</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2,722</w:t>
            </w:r>
          </w:p>
        </w:tc>
        <w:tc>
          <w:tcPr>
            <w:tcW w:w="7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11,676</w:t>
            </w:r>
          </w:p>
        </w:tc>
      </w:tr>
      <w:tr>
        <w:trPr>
          <w:trHeight w:val="257"/>
        </w:trPr>
        <w:tc>
          <w:tcPr>
            <w:tcW w:w="54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6"/>
                <w:szCs w:val="16"/>
                <w:color w:val="auto"/>
                <w:w w:val="96"/>
              </w:rPr>
              <w:t xml:space="preserve">Basic earnings per share attributable to EZCORP, Inc. </w:t>
            </w:r>
            <w:r>
              <w:rPr>
                <w:rFonts w:ascii="Arial" w:cs="Arial" w:eastAsia="Arial" w:hAnsi="Arial"/>
                <w:sz w:val="18"/>
                <w:szCs w:val="18"/>
                <w:color w:val="auto"/>
                <w:w w:val="96"/>
              </w:rPr>
              <w:t>—</w:t>
            </w:r>
            <w:r>
              <w:rPr>
                <w:rFonts w:ascii="Arial" w:cs="Arial" w:eastAsia="Arial" w:hAnsi="Arial"/>
                <w:sz w:val="16"/>
                <w:szCs w:val="16"/>
                <w:color w:val="auto"/>
                <w:w w:val="96"/>
              </w:rPr>
              <w:t xml:space="preserve"> continuing operations</w:t>
            </w:r>
          </w:p>
        </w:tc>
        <w:tc>
          <w:tcPr>
            <w:tcW w:w="17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1"/>
                <w:szCs w:val="21"/>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7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0.21</w:t>
            </w:r>
          </w:p>
        </w:tc>
      </w:tr>
      <w:tr>
        <w:trPr>
          <w:trHeight w:val="27"/>
        </w:trPr>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Diluted earnings per share attributable to EZCORP, Inc. — continuing operations</w:t>
            </w:r>
          </w:p>
        </w:tc>
        <w:tc>
          <w:tcPr>
            <w:tcW w:w="17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r>
      <w:tr>
        <w:trPr>
          <w:trHeight w:val="270"/>
        </w:trPr>
        <w:tc>
          <w:tcPr>
            <w:tcW w:w="54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54,574</w:t>
            </w: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54,690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54,690</w:t>
            </w:r>
          </w:p>
        </w:tc>
      </w:tr>
      <w:tr>
        <w:trPr>
          <w:trHeight w:val="708"/>
        </w:trPr>
        <w:tc>
          <w:tcPr>
            <w:tcW w:w="5480" w:type="dxa"/>
            <w:vAlign w:val="bottom"/>
          </w:tcPr>
          <w:p>
            <w:pPr>
              <w:spacing w:after="0"/>
              <w:rPr>
                <w:sz w:val="24"/>
                <w:szCs w:val="24"/>
                <w:color w:val="auto"/>
              </w:rPr>
            </w:pPr>
          </w:p>
        </w:tc>
        <w:tc>
          <w:tcPr>
            <w:tcW w:w="1380" w:type="dxa"/>
            <w:vAlign w:val="bottom"/>
          </w:tcPr>
          <w:p>
            <w:pPr>
              <w:jc w:val="right"/>
              <w:ind w:right="1017"/>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7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SEPTEMBER 30, 2015</w:t>
      </w:r>
    </w:p>
    <w:p>
      <w:pPr>
        <w:jc w:val="center"/>
        <w:spacing w:after="0"/>
        <w:rPr>
          <w:sz w:val="20"/>
          <w:szCs w:val="20"/>
          <w:color w:val="auto"/>
        </w:rPr>
      </w:pPr>
      <w:r>
        <w:rPr>
          <w:rFonts w:ascii="Arial" w:cs="Arial" w:eastAsia="Arial" w:hAnsi="Arial"/>
          <w:sz w:val="16"/>
          <w:szCs w:val="16"/>
          <w:b w:val="1"/>
          <w:bCs w:val="1"/>
          <w:color w:val="auto"/>
        </w:rPr>
        <w:t>(UNAUDITED)</w:t>
      </w:r>
    </w:p>
    <w:p>
      <w:pPr>
        <w:jc w:val="center"/>
        <w:spacing w:after="0"/>
        <w:rPr>
          <w:sz w:val="20"/>
          <w:szCs w:val="20"/>
          <w:color w:val="auto"/>
        </w:rPr>
      </w:pPr>
      <w:r>
        <w:rPr>
          <w:rFonts w:ascii="Arial" w:cs="Arial" w:eastAsia="Arial" w:hAnsi="Arial"/>
          <w:sz w:val="14"/>
          <w:szCs w:val="14"/>
          <w:i w:val="1"/>
          <w:iCs w:val="1"/>
          <w:color w:val="auto"/>
        </w:rPr>
        <w:t>(in thousands, except per share amount)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Filed</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Discontinued</w:t>
            </w:r>
          </w:p>
        </w:tc>
        <w:tc>
          <w:tcPr>
            <w:tcW w:w="160" w:type="dxa"/>
            <w:vAlign w:val="bottom"/>
          </w:tcPr>
          <w:p>
            <w:pPr>
              <w:spacing w:after="0"/>
              <w:rPr>
                <w:sz w:val="14"/>
                <w:szCs w:val="14"/>
                <w:color w:val="auto"/>
              </w:rPr>
            </w:pPr>
          </w:p>
        </w:tc>
        <w:tc>
          <w:tcPr>
            <w:tcW w:w="1080" w:type="dxa"/>
            <w:vAlign w:val="bottom"/>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Operations (j)</w:t>
            </w:r>
          </w:p>
        </w:tc>
        <w:tc>
          <w:tcPr>
            <w:tcW w:w="160" w:type="dxa"/>
            <w:vAlign w:val="bottom"/>
          </w:tcPr>
          <w:p>
            <w:pPr>
              <w:spacing w:after="0"/>
              <w:rPr>
                <w:sz w:val="16"/>
                <w:szCs w:val="16"/>
                <w:color w:val="auto"/>
              </w:rPr>
            </w:pPr>
          </w:p>
        </w:tc>
        <w:tc>
          <w:tcPr>
            <w:tcW w:w="10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0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402,118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402,118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57,973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247,204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247,204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9,952</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2,753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788,369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720,000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267,789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267,789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46,066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29,571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444,943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403,020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327,603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294,939</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72,986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72,986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30,959</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2,659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217"/>
        </w:trPr>
        <w:tc>
          <w:tcPr>
            <w:tcW w:w="606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453,871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(35,248)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418,623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loss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42,202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(25,817)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16,385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(h)</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5,473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6,611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7,783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(60,824)</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(26,695)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7,507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2,724</w:t>
            </w:r>
          </w:p>
        </w:tc>
        <w:tc>
          <w:tcPr>
            <w:tcW w:w="10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rPr>
              <w:t>(i)</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(16,464)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(44,360)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w w:val="99"/>
              </w:rPr>
              <w:t>Net loss from continuing operations attributable to redeemable noncontrolling interest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4,131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EZCORP,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5,059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(43,476)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loss per share attributable to EZCORP, Inc. —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Diluted loss per share attributable to EZCORP, Inc.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54,369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54,369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54,369</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2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SEPTEMBER 30, 2014</w:t>
      </w:r>
    </w:p>
    <w:p>
      <w:pPr>
        <w:jc w:val="center"/>
        <w:spacing w:after="0"/>
        <w:rPr>
          <w:sz w:val="20"/>
          <w:szCs w:val="20"/>
          <w:color w:val="auto"/>
        </w:rPr>
      </w:pPr>
      <w:r>
        <w:rPr>
          <w:rFonts w:ascii="Arial" w:cs="Arial" w:eastAsia="Arial" w:hAnsi="Arial"/>
          <w:sz w:val="16"/>
          <w:szCs w:val="16"/>
          <w:b w:val="1"/>
          <w:bCs w:val="1"/>
          <w:color w:val="auto"/>
        </w:rPr>
        <w:t>(UNAUDITED)</w:t>
      </w:r>
    </w:p>
    <w:p>
      <w:pPr>
        <w:jc w:val="center"/>
        <w:spacing w:after="0"/>
        <w:rPr>
          <w:sz w:val="20"/>
          <w:szCs w:val="20"/>
          <w:color w:val="auto"/>
        </w:rPr>
      </w:pPr>
      <w:r>
        <w:rPr>
          <w:rFonts w:ascii="Arial" w:cs="Arial" w:eastAsia="Arial" w:hAnsi="Arial"/>
          <w:sz w:val="14"/>
          <w:szCs w:val="14"/>
          <w:i w:val="1"/>
          <w:iCs w:val="1"/>
          <w:color w:val="auto"/>
        </w:rPr>
        <w:t>(in thousands, except per share amount)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Filed</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Discontinued</w:t>
            </w:r>
          </w:p>
        </w:tc>
        <w:tc>
          <w:tcPr>
            <w:tcW w:w="12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Operations (j)</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9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388,022</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388,022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96,241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248,378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248,378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10,325</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800,292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745,770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248,637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248,637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72,830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22,051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(19,605)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456,774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421,857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325,921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293,737</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79,944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79,944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29,259</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Gain on sale or disposal of assets</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(5,841)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(5,841)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6,664</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438,450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(34,687)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403,763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28,389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7,911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affiliates</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of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6,349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54,148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54,148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54,292</w:t>
            </w:r>
          </w:p>
        </w:tc>
        <w:tc>
          <w:tcPr>
            <w:tcW w:w="0" w:type="dxa"/>
            <w:vAlign w:val="bottom"/>
          </w:tcPr>
          <w:p>
            <w:pPr>
              <w:spacing w:after="0"/>
              <w:rPr>
                <w:sz w:val="1"/>
                <w:szCs w:val="1"/>
                <w:color w:val="auto"/>
              </w:rPr>
            </w:pPr>
          </w:p>
        </w:tc>
      </w:tr>
      <w:tr>
        <w:trPr>
          <w:trHeight w:val="33"/>
        </w:trPr>
        <w:tc>
          <w:tcPr>
            <w:tcW w:w="7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2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SEPTEMBER 30, 2013</w:t>
      </w:r>
    </w:p>
    <w:p>
      <w:pPr>
        <w:jc w:val="center"/>
        <w:spacing w:after="0"/>
        <w:rPr>
          <w:sz w:val="20"/>
          <w:szCs w:val="20"/>
          <w:color w:val="auto"/>
        </w:rPr>
      </w:pPr>
      <w:r>
        <w:rPr>
          <w:rFonts w:ascii="Arial" w:cs="Arial" w:eastAsia="Arial" w:hAnsi="Arial"/>
          <w:sz w:val="16"/>
          <w:szCs w:val="16"/>
          <w:b w:val="1"/>
          <w:bCs w:val="1"/>
          <w:color w:val="auto"/>
        </w:rPr>
        <w:t>(UNAUDITED)</w:t>
      </w:r>
    </w:p>
    <w:p>
      <w:pPr>
        <w:jc w:val="center"/>
        <w:spacing w:after="0"/>
        <w:rPr>
          <w:sz w:val="20"/>
          <w:szCs w:val="20"/>
          <w:color w:val="auto"/>
        </w:rPr>
      </w:pPr>
      <w:r>
        <w:rPr>
          <w:rFonts w:ascii="Arial" w:cs="Arial" w:eastAsia="Arial" w:hAnsi="Arial"/>
          <w:sz w:val="14"/>
          <w:szCs w:val="14"/>
          <w:i w:val="1"/>
          <w:iCs w:val="1"/>
          <w:color w:val="auto"/>
        </w:rPr>
        <w:t>(in thousands, except per share amount)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Filed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Discontinued</w:t>
            </w:r>
          </w:p>
        </w:tc>
        <w:tc>
          <w:tcPr>
            <w:tcW w:w="12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Operations (j)</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368,085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368,085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131,675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251,354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251,354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6,550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4,591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809,525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765,039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218,617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218,617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96,115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14,360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480,433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447,661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284,095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70,493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70,493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25,869</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Loss on sale or disposal of assets</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381,757</w:t>
            </w:r>
          </w:p>
        </w:tc>
        <w:tc>
          <w:tcPr>
            <w:tcW w:w="0" w:type="dxa"/>
            <w:vAlign w:val="bottom"/>
          </w:tcPr>
          <w:p>
            <w:pPr>
              <w:spacing w:after="0"/>
              <w:rPr>
                <w:sz w:val="1"/>
                <w:szCs w:val="1"/>
                <w:color w:val="auto"/>
              </w:rPr>
            </w:pP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78,856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(12,952)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65,904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investments</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43,198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43,198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31,624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29,681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9,413</w:t>
            </w: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20,268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23,749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21,195</w:t>
            </w:r>
          </w:p>
        </w:tc>
        <w:tc>
          <w:tcPr>
            <w:tcW w:w="0" w:type="dxa"/>
            <w:vAlign w:val="bottom"/>
          </w:tcPr>
          <w:p>
            <w:pPr>
              <w:spacing w:after="0"/>
              <w:rPr>
                <w:sz w:val="1"/>
                <w:szCs w:val="1"/>
                <w:color w:val="auto"/>
              </w:rPr>
            </w:pPr>
          </w:p>
        </w:tc>
      </w:tr>
      <w:tr>
        <w:trPr>
          <w:trHeight w:val="311"/>
        </w:trPr>
        <w:tc>
          <w:tcPr>
            <w:tcW w:w="8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97"/>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53,737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53,737</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28" w:right="239" w:bottom="1440" w:gutter="0" w:footer="0" w:header="0"/>
        </w:sectPr>
      </w:pPr>
    </w:p>
    <w:bookmarkStart w:id="13" w:name="page14"/>
    <w:bookmarkEnd w:id="13"/>
    <w:p>
      <w:pPr>
        <w:jc w:val="center"/>
        <w:ind w:right="-11"/>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175" w:lineRule="exact"/>
        <w:rPr>
          <w:sz w:val="20"/>
          <w:szCs w:val="20"/>
          <w:color w:val="auto"/>
        </w:rPr>
      </w:pPr>
    </w:p>
    <w:p>
      <w:pPr>
        <w:ind w:left="492" w:right="160" w:hanging="492"/>
        <w:spacing w:after="0" w:line="257" w:lineRule="auto"/>
        <w:tabs>
          <w:tab w:leader="none" w:pos="49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 forma adjustment represents gross proceeds of $50.0 million for the sale of Grupo Finmart, adjusted by Grupo Finmart minimum cash requirements, working capital adjustments, escrow funds, repayment of non-operating debt, prepayment of loans for change in control requirements and other events, disbursement of proceeds attributable to noncontrolling interest holders and transaction costs. These adjustments are estimated and are subject to final balance sheet adjustments within 90 days of closing. The reconciliation of the gross proceeds of $50.0 million to the net cash used of $7.7 million is as follows (in millions):</w:t>
      </w:r>
    </w:p>
    <w:p>
      <w:pPr>
        <w:spacing w:after="0" w:line="176" w:lineRule="exact"/>
        <w:rPr>
          <w:sz w:val="20"/>
          <w:szCs w:val="20"/>
          <w:color w:val="auto"/>
        </w:rPr>
      </w:pPr>
    </w:p>
    <w:tbl>
      <w:tblPr>
        <w:tblLayout w:type="fixed"/>
        <w:tblInd w:w="2392" w:type="dxa"/>
        <w:tblCellMar>
          <w:top w:w="0" w:type="dxa"/>
          <w:left w:w="0" w:type="dxa"/>
          <w:bottom w:w="0" w:type="dxa"/>
          <w:right w:w="0" w:type="dxa"/>
        </w:tblCellMar>
      </w:tblP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cash proceeds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Working capital, non-operating debt and Grupo Finmart cash</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Escrow funds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Prepayment of loans and associated costs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noncontrolling interest holders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used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5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412" w:right="2400" w:hanging="1"/>
        <w:spacing w:after="0" w:line="264" w:lineRule="auto"/>
        <w:tabs>
          <w:tab w:leader="none" w:pos="2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transaction costs recognized subsequent to June 30, 2016 through closing. Amounts do not include $1.6 million in costs paid or accrued prior to June 30, 2016 or estimated accrued costs totaling $5.4 million shown in note (e) below. Transaction costs are a preliminary estimate and subject to final adjustments.</w:t>
      </w:r>
    </w:p>
    <w:p>
      <w:pPr>
        <w:spacing w:after="0" w:line="146" w:lineRule="exact"/>
        <w:rPr>
          <w:sz w:val="20"/>
          <w:szCs w:val="20"/>
          <w:color w:val="auto"/>
        </w:rPr>
      </w:pPr>
    </w:p>
    <w:p>
      <w:pPr>
        <w:ind w:left="492" w:right="60"/>
        <w:spacing w:after="0" w:line="264" w:lineRule="auto"/>
        <w:rPr>
          <w:sz w:val="20"/>
          <w:szCs w:val="20"/>
          <w:color w:val="auto"/>
        </w:rPr>
      </w:pPr>
      <w:r>
        <w:rPr>
          <w:rFonts w:ascii="Arial" w:cs="Arial" w:eastAsia="Arial" w:hAnsi="Arial"/>
          <w:sz w:val="18"/>
          <w:szCs w:val="18"/>
          <w:color w:val="auto"/>
        </w:rPr>
        <w:t>In September 2016 prior to closing of the sale of Grupo Finmart, we received net proceeds of $48.5 million from an initial term loan on a senior secured credit facility. Those proceeds and the associated debt and interest have not been reflected as a pro forma adjustment as we do not consider the funding of our initial term loan to be directly attributable to the transaction.</w:t>
      </w:r>
    </w:p>
    <w:p>
      <w:pPr>
        <w:spacing w:after="0" w:line="127" w:lineRule="exact"/>
        <w:rPr>
          <w:sz w:val="20"/>
          <w:szCs w:val="20"/>
          <w:color w:val="auto"/>
        </w:rPr>
      </w:pPr>
    </w:p>
    <w:p>
      <w:pPr>
        <w:ind w:left="492" w:right="380" w:hanging="492"/>
        <w:spacing w:after="0" w:line="279" w:lineRule="auto"/>
        <w:tabs>
          <w:tab w:leader="none" w:pos="49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 forma adjustment represents the elimination of the assets and liabilities of Grupo Finmart, as well as the elimination of the noncontrolling interest in Grupo Finmart and accumulated other comprehensive loss pertaining to foreign currency translation impacts. The assets, liabilities, noncontrolling interest and accumulated other comprehensive loss eliminated herein are as of June 30, 2016 and are not reflective of the actual amounts as of the date of closing, which may cause a material revision to the actual gain recognized on sale.</w:t>
      </w:r>
    </w:p>
    <w:p>
      <w:pPr>
        <w:spacing w:after="0" w:line="117" w:lineRule="exact"/>
        <w:rPr>
          <w:rFonts w:ascii="Arial" w:cs="Arial" w:eastAsia="Arial" w:hAnsi="Arial"/>
          <w:sz w:val="17"/>
          <w:szCs w:val="17"/>
          <w:color w:val="auto"/>
        </w:rPr>
      </w:pPr>
    </w:p>
    <w:p>
      <w:pPr>
        <w:ind w:left="492" w:hanging="492"/>
        <w:spacing w:after="0" w:line="290" w:lineRule="auto"/>
        <w:tabs>
          <w:tab w:leader="none" w:pos="49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pro forma adjustment, aggregated with note (d) below, represents intercompany notes receivable retained by the Company owed by Grupo Finmart as of the day of sale. These notes are presented net of discount of $7.9 million, calculated using a synthetic credit rating for Grupo Finmart, with inclusion of a credit rating differential as a result of the guarantee of repayment of the notes receivable by AlphaCredit, based upon the expected timing of repayment of principal and interest of the notes receivable. The calculation of the discount value is a preliminary estimate subject to material revision. The note receivable governing the gross amount of the Mexican Peso denominated intercompany debt of $8.2 million is payable in Mexican Pesos at a 7.5% per annum interest rate, and the note receivable governing the U.S. Dollar denominated intercompany debt of $52.0 million is payable in U.S. Dollars at a 4% per annum interest rate. The principal balance of these notes will generally be repaid on the anniversary of closing, on a schedule approximating 30% on the first anniversary, 40% on the second anniversary and 30% on the third anniversary.</w:t>
      </w:r>
    </w:p>
    <w:p>
      <w:pPr>
        <w:spacing w:after="0" w:line="112" w:lineRule="exact"/>
        <w:rPr>
          <w:rFonts w:ascii="Arial" w:cs="Arial" w:eastAsia="Arial" w:hAnsi="Arial"/>
          <w:sz w:val="16"/>
          <w:szCs w:val="16"/>
          <w:color w:val="auto"/>
        </w:rPr>
      </w:pPr>
    </w:p>
    <w:p>
      <w:pPr>
        <w:ind w:left="492" w:right="20" w:hanging="492"/>
        <w:spacing w:after="0" w:line="271" w:lineRule="auto"/>
        <w:tabs>
          <w:tab w:leader="none" w:pos="49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 forma adjustment, aggregated with note (c) above, represents a gross total of $30.7 million representing former Grupo Finmart third party debt that the Company paid and assumed the creditor position, including related collateral. This debt is receivable from Grupo Finmart through December 2017 and net of discount of $1.5 million, calculated using a synthetic credit rating for Grupo Finmart based upon the expected timing of repayment of the debt, including nominal amounts of interest. The calculation of the discount value is a preliminary estimate subject to material revision. The Company prepaid such amounts in conjunction with the closing of the sale and was assigned all associated rights and privileges of the previous creditors. The Company guarantees the future cash flows of Grupo Finmart with regard to certain foreign currency forward contracts, and AlphaCredit, subject to certain exceptions, has agreed to reimburse EZCORP for any amounts EZCORP is required to pay under the guarantee. Such guarantees are not reflected as pro forma adjustments as we currently do not expect them to be material.</w:t>
      </w:r>
    </w:p>
    <w:p>
      <w:pPr>
        <w:spacing w:after="0" w:line="124" w:lineRule="exact"/>
        <w:rPr>
          <w:rFonts w:ascii="Arial" w:cs="Arial" w:eastAsia="Arial" w:hAnsi="Arial"/>
          <w:sz w:val="17"/>
          <w:szCs w:val="17"/>
          <w:color w:val="auto"/>
        </w:rPr>
      </w:pPr>
    </w:p>
    <w:p>
      <w:pPr>
        <w:ind w:left="492" w:right="140" w:hanging="492"/>
        <w:spacing w:after="0" w:line="277"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 forma adjustment represents total estimated unpaid transaction costs of $5.4 million, subject to final adjustments, which are accrued as of the date of sale of Grupo Finmart.</w:t>
      </w:r>
    </w:p>
    <w:p>
      <w:pPr>
        <w:spacing w:after="0" w:line="116" w:lineRule="exact"/>
        <w:rPr>
          <w:rFonts w:ascii="Arial" w:cs="Arial" w:eastAsia="Arial" w:hAnsi="Arial"/>
          <w:sz w:val="18"/>
          <w:szCs w:val="18"/>
          <w:color w:val="auto"/>
        </w:rPr>
      </w:pPr>
    </w:p>
    <w:p>
      <w:pPr>
        <w:ind w:left="492" w:right="180" w:hanging="492"/>
        <w:spacing w:after="0" w:line="264"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 forma adjustment represents (1) $11.5 million of escrow funds classified as short-term representing 25% of EZCORP’s share of the base purchase price plus an additional 3% statutory late payment surcharge for funds placed in a separate escrow account to be released to EZCORP upon delivery of required tax documentation to AlphaCredit within</w:t>
      </w: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742" w:right="259" w:bottom="1440" w:gutter="0" w:footer="0" w:header="0"/>
        </w:sectPr>
      </w:pPr>
    </w:p>
    <w:bookmarkStart w:id="14" w:name="page15"/>
    <w:bookmarkEnd w:id="14"/>
    <w:p>
      <w:pPr>
        <w:ind w:left="492" w:right="260"/>
        <w:spacing w:after="0" w:line="311" w:lineRule="auto"/>
        <w:rPr>
          <w:sz w:val="20"/>
          <w:szCs w:val="20"/>
          <w:color w:val="auto"/>
        </w:rPr>
      </w:pPr>
      <w:r>
        <w:rPr>
          <w:rFonts w:ascii="Arial" w:cs="Arial" w:eastAsia="Arial" w:hAnsi="Arial"/>
          <w:sz w:val="18"/>
          <w:szCs w:val="18"/>
          <w:color w:val="auto"/>
        </w:rPr>
        <w:t>45 days of closing and (2) $4.1 million of escrow finds classified as long-term subject to indemnification claims and held in escrow for up to 18 months. The amount described in (1) above was released from escrow on September 29, 2016, but remains reflected herein as restricted cash due to restrictions as of the date of the sale of Grupo Finmart.</w:t>
      </w:r>
    </w:p>
    <w:p>
      <w:pPr>
        <w:spacing w:after="0" w:line="100" w:lineRule="exact"/>
        <w:rPr>
          <w:sz w:val="20"/>
          <w:szCs w:val="20"/>
          <w:color w:val="auto"/>
        </w:rPr>
      </w:pPr>
    </w:p>
    <w:p>
      <w:pPr>
        <w:ind w:left="492" w:right="20" w:hanging="492"/>
        <w:spacing w:after="0" w:line="272" w:lineRule="auto"/>
        <w:tabs>
          <w:tab w:leader="none" w:pos="49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pro forma adjustment represents (1) an estimated gain of approximately $39.5 million related to the sale of Grupo Finmart, (2) $1.5 million in discount on notes receivable discussed in note (d) above, (3) $0.3 million in prepayment costs associated with notes receivable discussed in note (d) above and (4) $7.5 million in transaction costs, which amounts have not been included in the pro forma adjustments on the condensed consolidated statements of operations as they are considered to be nonrecurring in nature. This pro forma adjustment further excludes $1.6 million in transaction costs paid or accrued prior to June 30, 2016. We currently expect to recognize no federal income taxes on this gain. In addition, this estimated gain is a preliminary unaudited estimate based upon carrying values as of June 30, 2016 that is subject to further material adjustment in connection with the Company’s fiscal year end closing process.</w:t>
      </w:r>
    </w:p>
    <w:p>
      <w:pPr>
        <w:spacing w:after="0" w:line="123" w:lineRule="exact"/>
        <w:rPr>
          <w:rFonts w:ascii="Arial" w:cs="Arial" w:eastAsia="Arial" w:hAnsi="Arial"/>
          <w:sz w:val="17"/>
          <w:szCs w:val="17"/>
          <w:color w:val="auto"/>
        </w:rPr>
      </w:pPr>
    </w:p>
    <w:p>
      <w:pPr>
        <w:ind w:left="492" w:hanging="492"/>
        <w:spacing w:after="0"/>
        <w:tabs>
          <w:tab w:leader="none" w:pos="49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pro forma adjustment represents estimated interest income on (1) the intercompany notes receivable owed to the Company by Grupo Finmart and</w:t>
      </w:r>
    </w:p>
    <w:p>
      <w:pPr>
        <w:spacing w:after="0" w:line="46" w:lineRule="exact"/>
        <w:rPr>
          <w:rFonts w:ascii="Arial" w:cs="Arial" w:eastAsia="Arial" w:hAnsi="Arial"/>
          <w:sz w:val="16"/>
          <w:szCs w:val="16"/>
          <w:color w:val="auto"/>
        </w:rPr>
      </w:pPr>
    </w:p>
    <w:p>
      <w:pPr>
        <w:jc w:val="both"/>
        <w:ind w:left="492"/>
        <w:spacing w:after="0" w:line="277" w:lineRule="auto"/>
        <w:rPr>
          <w:rFonts w:ascii="Arial" w:cs="Arial" w:eastAsia="Arial" w:hAnsi="Arial"/>
          <w:sz w:val="16"/>
          <w:szCs w:val="16"/>
          <w:color w:val="auto"/>
        </w:rPr>
      </w:pPr>
      <w:r>
        <w:rPr>
          <w:rFonts w:ascii="Arial" w:cs="Arial" w:eastAsia="Arial" w:hAnsi="Arial"/>
          <w:sz w:val="17"/>
          <w:szCs w:val="17"/>
          <w:color w:val="auto"/>
        </w:rPr>
        <w:t>(2) certain former Grupo Finmart third party debt that the Company paid and assumed the creditor position, including related collateral, as indicated in pro forma adjustments (c) and (d) above, assuming no prepayment of principal. The adjustment further includes the amortization of the net discount on the notes receivable of $7.9 million and $1.5 million as indicated in pro forma adjustments (c) and (d) above.</w:t>
      </w:r>
    </w:p>
    <w:p>
      <w:pPr>
        <w:spacing w:after="0" w:line="119" w:lineRule="exact"/>
        <w:rPr>
          <w:rFonts w:ascii="Arial" w:cs="Arial" w:eastAsia="Arial" w:hAnsi="Arial"/>
          <w:sz w:val="16"/>
          <w:szCs w:val="16"/>
          <w:color w:val="auto"/>
        </w:rPr>
      </w:pPr>
    </w:p>
    <w:p>
      <w:pPr>
        <w:ind w:left="492" w:hanging="492"/>
        <w:spacing w:after="0"/>
        <w:tabs>
          <w:tab w:leader="none" w:pos="49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pro forma adjustment represents the estimated tax effect for the periods presented at our estimated blended statutory rates approximating 35%.</w:t>
      </w:r>
    </w:p>
    <w:p>
      <w:pPr>
        <w:spacing w:after="0" w:line="194" w:lineRule="exact"/>
        <w:rPr>
          <w:rFonts w:ascii="Arial" w:cs="Arial" w:eastAsia="Arial" w:hAnsi="Arial"/>
          <w:sz w:val="16"/>
          <w:szCs w:val="16"/>
          <w:color w:val="auto"/>
        </w:rPr>
      </w:pPr>
    </w:p>
    <w:p>
      <w:pPr>
        <w:ind w:left="492" w:right="200" w:hanging="492"/>
        <w:spacing w:after="0" w:line="286" w:lineRule="auto"/>
        <w:tabs>
          <w:tab w:leader="none" w:pos="49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adjustment represents the reclassification of Grupo Finmart operations to discontinued operations for periods in which the operations of Grupo Finmart have not yet been recast. This adjustment was not included in the condensed consolidated income statement for the nine-months ended June 30, 2016 as the operations of Grupo Finmart were reported as discontinued operations for that period.</w:t>
      </w:r>
    </w:p>
    <w:p>
      <w:pPr>
        <w:spacing w:after="0" w:line="1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sectPr>
      <w:pgSz w:w="11900" w:h="16838" w:orient="portrait"/>
      <w:cols w:equalWidth="0" w:num="1">
        <w:col w:w="11372"/>
      </w:cols>
      <w:pgMar w:left="248" w:top="77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2020-01-21T12:04:49Z</dcterms:created>
  <dcterms:modified xsi:type="dcterms:W3CDTF">2020-01-21T12:04:49Z</dcterms:modified>
</cp:coreProperties>
</file>