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BRINKLEY STERLING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108 FORREST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LOCUST VALLEY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11560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9"/>
        <w:gridCol w:w="899"/>
        <w:gridCol w:w="772"/>
        <w:gridCol w:w="597"/>
        <w:gridCol w:w="333"/>
        <w:gridCol w:w="985"/>
        <w:gridCol w:w="412"/>
        <w:gridCol w:w="923"/>
        <w:gridCol w:w="1271"/>
        <w:gridCol w:w="944"/>
        <w:gridCol w:w="9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452,122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3.3333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1,358,870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13.69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1,358,370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13.68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1,357,870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13.67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1,356,770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13.6675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1,355,970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13.66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1,351,870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1,348,870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13.64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1,348,570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13.62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1,348,470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13.61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1,347,770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19,400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13.6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1,328,370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1,600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13.575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1,326,770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1,900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13.5675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1,324,870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13.565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1,324,370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13.56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1,323,270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13.555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1,322,270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5,905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1,316,365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13.52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1,315,765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13.515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1,315,565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1,072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13.51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1,314,493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13.5075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1,314,093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25,723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1,288,370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13.47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1,287,570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1,282,570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13.43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1,282,370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197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13.425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1,282,173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13.42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1,282,073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1,400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13.41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1,280,673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6,803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13.4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1,273,870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10/16/2008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13.35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1,273,470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8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1116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Incentive Stock Option 1998 plan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3.3333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10/16/2008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452,122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10/05/2008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11/05/2008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452,122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the provisions of a Rule 10b(5)-1 Plan established in August 2008.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 2 of 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Laura Jones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10/17/2008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29632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917</Words>
  <CharactersWithSpaces>5440</CharactersWithSpaces>
  <Paragraphs>340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