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1849e8vk.txt"/>
      <w:bookmarkStart w:id="1" w:name="ksd21849e8vk"/>
      <w:bookmarkStart w:id="2" w:name="d21849e8vk.txt"/>
      <w:bookmarkStart w:id="3" w:name="ksd21849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JANUARY 20,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0-19424                74-2540145</w:t>
      </w:r>
    </w:p>
    <w:p>
      <w:pPr>
        <w:pStyle w:val="PreformattedText"/>
        <w:rPr/>
      </w:pPr>
      <w:r>
        <w:rPr/>
        <w:t>(State or other jurisdiction of  (Commission File Number)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</w:t>
      </w:r>
      <w:r>
        <w:rPr/>
        <w:t>AUSTIN, TEXAS                              78746</w:t>
      </w:r>
    </w:p>
    <w:p>
      <w:pPr>
        <w:pStyle w:val="PreformattedText"/>
        <w:rPr/>
      </w:pPr>
      <w:r>
        <w:rPr/>
        <w:t xml:space="preserve">   </w:t>
      </w:r>
      <w:r>
        <w:rPr/>
        <w:t>(Address of principal executive offices)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2.02.  RESULTS OF OPERATIONS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information set forth under "Item 2.02. Results Of Operations And Financial</w:t>
      </w:r>
    </w:p>
    <w:p>
      <w:pPr>
        <w:pStyle w:val="PreformattedText"/>
        <w:rPr/>
      </w:pPr>
      <w:r>
        <w:rPr/>
        <w:t>Condition," including the Exhibit attached hereto, shall not be deemed "filed"</w:t>
      </w:r>
    </w:p>
    <w:p>
      <w:pPr>
        <w:pStyle w:val="PreformattedText"/>
        <w:rPr/>
      </w:pPr>
      <w:r>
        <w:rPr/>
        <w:t>for purposes of Section 18 of the Securities and Exchange Act of 1934 (the</w:t>
      </w:r>
    </w:p>
    <w:p>
      <w:pPr>
        <w:pStyle w:val="PreformattedText"/>
        <w:rPr/>
      </w:pPr>
      <w:r>
        <w:rPr/>
        <w:t>"Exchange Act") or otherwise subject to the liabilities of that section, nor</w:t>
      </w:r>
    </w:p>
    <w:p>
      <w:pPr>
        <w:pStyle w:val="PreformattedText"/>
        <w:rPr/>
      </w:pPr>
      <w:r>
        <w:rPr/>
        <w:t>shall it be deemed incorporated by reference in any filing under the Securities</w:t>
      </w:r>
    </w:p>
    <w:p>
      <w:pPr>
        <w:pStyle w:val="PreformattedText"/>
        <w:rPr/>
      </w:pPr>
      <w:r>
        <w:rPr/>
        <w:t>Act of 1933 or the Exchange Act, regardless of any general incorporation</w:t>
      </w:r>
    </w:p>
    <w:p>
      <w:pPr>
        <w:pStyle w:val="PreformattedText"/>
        <w:rPr/>
      </w:pPr>
      <w:r>
        <w:rPr/>
        <w:t>language in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20, 2005, EZCORP, Inc. issued a press release announcing its revised</w:t>
      </w:r>
    </w:p>
    <w:p>
      <w:pPr>
        <w:pStyle w:val="PreformattedText"/>
        <w:rPr/>
      </w:pPr>
      <w:r>
        <w:rPr/>
        <w:t>results of operations and financial condition for the quarter ended December 31,</w:t>
      </w:r>
    </w:p>
    <w:p>
      <w:pPr>
        <w:pStyle w:val="PreformattedText"/>
        <w:rPr/>
      </w:pPr>
      <w:r>
        <w:rPr/>
        <w:t>2004. A copy of the press release is attached hereto as Exhibit 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>99       Press release dated January 20,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January 20, 2005        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Senior Vice President, Chief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Financial Officer, and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>99       Press release dated January 20, 2005,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21849exv99.txt"/>
      <w:bookmarkStart w:id="5" w:name="ksd21849exv99"/>
      <w:bookmarkStart w:id="6" w:name="d21849exv99.txt"/>
      <w:bookmarkStart w:id="7" w:name="ksd21849exv99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EXHIBIT 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EZCORP ANNOUNCES 66% EARNINGS GROWTH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FOR FIRST QUARTER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(JANUARY 20, 2005) -- EZCORP, Inc. (Nasdaq/NM: EZPW) announced</w:t>
      </w:r>
    </w:p>
    <w:p>
      <w:pPr>
        <w:pStyle w:val="PreformattedText"/>
        <w:rPr/>
      </w:pPr>
      <w:r>
        <w:rPr/>
        <w:t>today results for its fiscal first quarter, which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 ended December 31, 2004, EZCORP's net income improved sixty-six</w:t>
      </w:r>
    </w:p>
    <w:p>
      <w:pPr>
        <w:pStyle w:val="PreformattedText"/>
        <w:rPr/>
      </w:pPr>
      <w:r>
        <w:rPr/>
        <w:t>percent to $4,949,000 (thirty-seven cents per share) compared to $2,990,000</w:t>
      </w:r>
    </w:p>
    <w:p>
      <w:pPr>
        <w:pStyle w:val="PreformattedText"/>
        <w:rPr/>
      </w:pPr>
      <w:r>
        <w:rPr/>
        <w:t>(twenty-three cents per share) for the 2004 first fiscal quarter. Total revenues</w:t>
      </w:r>
    </w:p>
    <w:p>
      <w:pPr>
        <w:pStyle w:val="PreformattedText"/>
        <w:rPr/>
      </w:pPr>
      <w:r>
        <w:rPr/>
        <w:t>for the quarter increased thirteen percent over the prior year period to</w:t>
      </w:r>
    </w:p>
    <w:p>
      <w:pPr>
        <w:pStyle w:val="PreformattedText"/>
        <w:rPr/>
      </w:pPr>
      <w:r>
        <w:rPr/>
        <w:t>$61,628,000 with sales, pawn loan and payday loan revenues up eight, seven and</w:t>
      </w:r>
    </w:p>
    <w:p>
      <w:pPr>
        <w:pStyle w:val="PreformattedText"/>
        <w:rPr/>
      </w:pPr>
      <w:r>
        <w:rPr/>
        <w:t>seventy-one percent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quarter, the Company sold a portfolio of old payday loan bad debt for</w:t>
      </w:r>
    </w:p>
    <w:p>
      <w:pPr>
        <w:pStyle w:val="PreformattedText"/>
        <w:rPr/>
      </w:pPr>
      <w:r>
        <w:rPr/>
        <w:t>approximately $905,000. Excluding the benefit of this sale, net income for the</w:t>
      </w:r>
    </w:p>
    <w:p>
      <w:pPr>
        <w:pStyle w:val="PreformattedText"/>
        <w:rPr/>
      </w:pPr>
      <w:r>
        <w:rPr/>
        <w:t>quarter would have increased forty-six percent to $4,370,000 (thirty-three cents</w:t>
      </w:r>
    </w:p>
    <w:p>
      <w:pPr>
        <w:pStyle w:val="PreformattedText"/>
        <w:rPr/>
      </w:pPr>
      <w:r>
        <w:rPr/>
        <w:t>per share).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Commenting on these results, President and Chief Executive Officer, Joe Rotunda,</w:t>
      </w:r>
    </w:p>
    <w:p>
      <w:pPr>
        <w:pStyle w:val="PreformattedText"/>
        <w:rPr/>
      </w:pPr>
      <w:r>
        <w:rPr/>
        <w:t>stated, "The quarter was an excellent start to our 2005 fiscal year. Earnings</w:t>
      </w:r>
    </w:p>
    <w:p>
      <w:pPr>
        <w:pStyle w:val="PreformattedText"/>
        <w:rPr/>
      </w:pPr>
      <w:r>
        <w:rPr/>
        <w:t>were strong and exceeded our previously announced guidance. The earnings growth</w:t>
      </w:r>
    </w:p>
    <w:p>
      <w:pPr>
        <w:pStyle w:val="PreformattedText"/>
        <w:rPr/>
      </w:pPr>
      <w:r>
        <w:rPr/>
        <w:t>was driven by year over year increases in sales and lending revenues and</w:t>
      </w:r>
    </w:p>
    <w:p>
      <w:pPr>
        <w:pStyle w:val="PreformattedText"/>
        <w:rPr/>
      </w:pPr>
      <w:r>
        <w:rPr/>
        <w:t>improvements in our payday loan collections. For the quarter, our net defaults</w:t>
      </w:r>
    </w:p>
    <w:p>
      <w:pPr>
        <w:pStyle w:val="PreformattedText"/>
        <w:rPr/>
      </w:pPr>
      <w:r>
        <w:rPr/>
        <w:t>measured as a percent of loans made during the quarter improved to 4.9%,</w:t>
      </w:r>
    </w:p>
    <w:p>
      <w:pPr>
        <w:pStyle w:val="PreformattedText"/>
        <w:rPr/>
      </w:pPr>
      <w:r>
        <w:rPr/>
        <w:t>excluding the sale of old bad debt, compared to 5.6% for the same period a year</w:t>
      </w:r>
    </w:p>
    <w:p>
      <w:pPr>
        <w:pStyle w:val="PreformattedText"/>
        <w:rPr/>
      </w:pPr>
      <w:r>
        <w:rPr/>
        <w:t>ago.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continued, "During the quarter, we opened forty EZMoney Payday Loans</w:t>
      </w:r>
    </w:p>
    <w:p>
      <w:pPr>
        <w:pStyle w:val="PreformattedText"/>
        <w:rPr/>
      </w:pPr>
      <w:r>
        <w:rPr/>
        <w:t>locations bringing our total store fronts, including our 280 EZPawns, to 445. We</w:t>
      </w:r>
    </w:p>
    <w:p>
      <w:pPr>
        <w:pStyle w:val="PreformattedText"/>
        <w:rPr/>
      </w:pPr>
      <w:r>
        <w:rPr/>
        <w:t>are on track with our expectation to open 120 to 140 EZMoney locations this</w:t>
      </w:r>
    </w:p>
    <w:p>
      <w:pPr>
        <w:pStyle w:val="PreformattedText"/>
        <w:rPr/>
      </w:pPr>
      <w:r>
        <w:rPr/>
        <w:t>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concluded, "We expect our second quarter earnings to be in the range of</w:t>
      </w:r>
    </w:p>
    <w:p>
      <w:pPr>
        <w:pStyle w:val="PreformattedText"/>
        <w:rPr/>
      </w:pPr>
      <w:r>
        <w:rPr/>
        <w:t>twenty-seven to thirty cents per share compared to twenty-three cents for the</w:t>
      </w:r>
    </w:p>
    <w:p>
      <w:pPr>
        <w:pStyle w:val="PreformattedText"/>
        <w:rPr/>
      </w:pPr>
      <w:r>
        <w:rPr/>
        <w:t>fiscal 2004 second quarter. For our 2005 fiscal year, we are raising our</w:t>
      </w:r>
    </w:p>
    <w:p>
      <w:pPr>
        <w:pStyle w:val="PreformattedText"/>
        <w:rPr/>
      </w:pPr>
      <w:r>
        <w:rPr/>
        <w:t>guidance to $1.00 to $1.05 per share compared to earlier guidance of ninety to</w:t>
      </w:r>
    </w:p>
    <w:p>
      <w:pPr>
        <w:pStyle w:val="PreformattedText"/>
        <w:rPr/>
      </w:pPr>
      <w:r>
        <w:rPr/>
        <w:t>ninety-five cents and fiscal 2004's seventy cents per share."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meets the short-term cash needs of the cash and credit constrained</w:t>
      </w:r>
    </w:p>
    <w:p>
      <w:pPr>
        <w:pStyle w:val="PreformattedText"/>
        <w:rPr/>
      </w:pPr>
      <w:r>
        <w:rPr/>
        <w:t>consumer by offering convenient, non-recourse loans collateralized by tangible</w:t>
      </w:r>
    </w:p>
    <w:p>
      <w:pPr>
        <w:pStyle w:val="PreformattedText"/>
        <w:rPr/>
      </w:pPr>
      <w:r>
        <w:rPr/>
        <w:t>personal property, commonly known as pawn loans, and short-term</w:t>
      </w:r>
    </w:p>
    <w:p>
      <w:pPr>
        <w:pStyle w:val="PreformattedText"/>
        <w:rPr/>
      </w:pPr>
      <w:r>
        <w:rPr/>
        <w:t>non-collateralized loans, often referred to as payday loans. The Company also</w:t>
      </w:r>
    </w:p>
    <w:p>
      <w:pPr>
        <w:pStyle w:val="PreformattedText"/>
        <w:rPr/>
      </w:pPr>
      <w:r>
        <w:rPr/>
        <w:t>sells merchandise, primarily collateral forfeited from its pawn lending</w:t>
      </w:r>
    </w:p>
    <w:p>
      <w:pPr>
        <w:pStyle w:val="PreformattedText"/>
        <w:rPr/>
      </w:pPr>
      <w:r>
        <w:rPr/>
        <w:t>operations, to consumers looking for good value. As of December 31, 2004, the</w:t>
      </w:r>
    </w:p>
    <w:p>
      <w:pPr>
        <w:pStyle w:val="PreformattedText"/>
        <w:rPr/>
      </w:pPr>
      <w:r>
        <w:rPr/>
        <w:t>Company operated 280 EZPAWN and 165 EZMONEY Payday Loans locations, 128 of which</w:t>
      </w:r>
    </w:p>
    <w:p>
      <w:pPr>
        <w:pStyle w:val="PreformattedText"/>
        <w:rPr/>
      </w:pPr>
      <w:r>
        <w:rPr/>
        <w:t>adjoin an EZPAWN location.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the</w:t>
      </w:r>
    </w:p>
    <w:p>
      <w:pPr>
        <w:pStyle w:val="PreformattedText"/>
        <w:rPr/>
      </w:pPr>
      <w:r>
        <w:rPr/>
        <w:t>Company's expected performance for future periods including, but not limited to,</w:t>
      </w:r>
    </w:p>
    <w:p>
      <w:pPr>
        <w:pStyle w:val="PreformattedText"/>
        <w:rPr/>
      </w:pPr>
      <w:r>
        <w:rPr/>
        <w:t>new store expansion and expected future earnings. Actual results for these</w:t>
      </w:r>
    </w:p>
    <w:p>
      <w:pPr>
        <w:pStyle w:val="PreformattedText"/>
        <w:rPr/>
      </w:pPr>
      <w:r>
        <w:rPr/>
        <w:t>periods may materially differ from these statements. Such forward-looking</w:t>
      </w:r>
    </w:p>
    <w:p>
      <w:pPr>
        <w:pStyle w:val="PreformattedText"/>
        <w:rPr/>
      </w:pPr>
      <w:r>
        <w:rPr/>
        <w:t>statements involve risks and uncertainties such as changing market conditions in</w:t>
      </w:r>
    </w:p>
    <w:p>
      <w:pPr>
        <w:pStyle w:val="PreformattedText"/>
        <w:rPr/>
      </w:pPr>
      <w:r>
        <w:rPr/>
        <w:t>the overall economy and the industry, consumer demand for the Company's services</w:t>
      </w:r>
    </w:p>
    <w:p>
      <w:pPr>
        <w:pStyle w:val="PreformattedText"/>
        <w:rPr/>
      </w:pPr>
      <w:r>
        <w:rPr/>
        <w:t>and merchandise, changes in regulatory environment, and other factors</w:t>
      </w:r>
    </w:p>
    <w:p>
      <w:pPr>
        <w:pStyle w:val="PreformattedText"/>
        <w:rPr/>
      </w:pPr>
      <w:r>
        <w:rPr/>
        <w:t>periodically discussed in the Company's annual, quarterly and other reports</w:t>
      </w:r>
    </w:p>
    <w:p>
      <w:pPr>
        <w:pStyle w:val="PreformattedText"/>
        <w:rPr/>
      </w:pPr>
      <w:r>
        <w:rPr/>
        <w:t>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You are invited to listen to a conference call discussing these results on</w:t>
      </w:r>
    </w:p>
    <w:p>
      <w:pPr>
        <w:pStyle w:val="PreformattedText"/>
        <w:rPr/>
      </w:pPr>
      <w:r>
        <w:rPr/>
        <w:t>January 20, 2005 at 3:30pm Central Standard Time. The conference call can be</w:t>
      </w:r>
    </w:p>
    <w:p>
      <w:pPr>
        <w:pStyle w:val="PreformattedText"/>
        <w:rPr/>
      </w:pPr>
      <w:r>
        <w:rPr/>
        <w:t>accessed over the Internet (or replay it at your convenience) at the following</w:t>
      </w:r>
    </w:p>
    <w:p>
      <w:pPr>
        <w:pStyle w:val="PreformattedText"/>
        <w:rPr/>
      </w:pPr>
      <w:r>
        <w:rPr/>
        <w:t>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http://phx.corporate-ir.net/playerlink.zhtml?c=69434&amp;s=wm&amp;e=997984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additional information, contact Investor Relations at (512) 314-2220 or Dan</w:t>
      </w:r>
    </w:p>
    <w:p>
      <w:pPr>
        <w:pStyle w:val="PreformattedText"/>
        <w:rPr/>
      </w:pPr>
      <w:r>
        <w:rPr/>
        <w:t>Tonissen at (512) 314-2289.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THREE MONTHS ENDED DECEMBER 31,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2004                  2003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Merchandise sales                                    $       32,018        $       31,062</w:t>
      </w:r>
    </w:p>
    <w:p>
      <w:pPr>
        <w:pStyle w:val="PreformattedText"/>
        <w:rPr/>
      </w:pPr>
      <w:r>
        <w:rPr/>
        <w:t xml:space="preserve">  </w:t>
      </w:r>
      <w:r>
        <w:rPr/>
        <w:t>Jewelry scrapping sales                                       4,306                 2,493</w:t>
      </w:r>
    </w:p>
    <w:p>
      <w:pPr>
        <w:pStyle w:val="PreformattedText"/>
        <w:rPr/>
      </w:pPr>
      <w:r>
        <w:rPr/>
        <w:t xml:space="preserve">  </w:t>
      </w:r>
      <w:r>
        <w:rPr/>
        <w:t>Pawn service charges                                         16,669                15,552</w:t>
      </w:r>
    </w:p>
    <w:p>
      <w:pPr>
        <w:pStyle w:val="PreformattedText"/>
        <w:rPr/>
      </w:pPr>
      <w:r>
        <w:rPr/>
        <w:t xml:space="preserve">  </w:t>
      </w:r>
      <w:r>
        <w:rPr/>
        <w:t>Payday loan service charges                                   8,290                 4,861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   345                   346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 xml:space="preserve">    </w:t>
      </w:r>
      <w:r>
        <w:rPr/>
        <w:t>Total revenues                                             61,628                54,314</w:t>
      </w:r>
    </w:p>
    <w:p>
      <w:pPr>
        <w:pStyle w:val="PreformattedText"/>
        <w:rPr/>
      </w:pPr>
      <w:r>
        <w:rPr/>
        <w:t>Cost of goods sold:</w:t>
      </w:r>
    </w:p>
    <w:p>
      <w:pPr>
        <w:pStyle w:val="PreformattedText"/>
        <w:rPr/>
      </w:pPr>
      <w:r>
        <w:rPr/>
        <w:t xml:space="preserve">  </w:t>
      </w:r>
      <w:r>
        <w:rPr/>
        <w:t>Cost of merchandise sales                                    18,780                17,583</w:t>
      </w:r>
    </w:p>
    <w:p>
      <w:pPr>
        <w:pStyle w:val="PreformattedText"/>
        <w:rPr/>
      </w:pPr>
      <w:r>
        <w:rPr/>
        <w:t xml:space="preserve">  </w:t>
      </w:r>
      <w:r>
        <w:rPr/>
        <w:t>Cost of jewelry scrapping sales                               3,133                 1,690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 xml:space="preserve">    </w:t>
      </w:r>
      <w:r>
        <w:rPr/>
        <w:t>Total cost of goods sold                                   21,913                19,273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>Net revenues                                                   39,715                35,041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13</w:t>
      </w:r>
    </w:p>
    <w:p>
      <w:pPr>
        <w:pStyle w:val="PreformattedText"/>
        <w:rPr/>
      </w:pPr>
      <w:r>
        <w:rPr/>
        <w:t>Operations expense                                             22,703                20,777</w:t>
      </w:r>
    </w:p>
    <w:p>
      <w:pPr>
        <w:pStyle w:val="PreformattedText"/>
        <w:rPr/>
      </w:pPr>
      <w:r>
        <w:rPr/>
        <w:t>Bad debt and other payday loan direct expenses                  1,609                 1,839</w:t>
      </w:r>
    </w:p>
    <w:p>
      <w:pPr>
        <w:pStyle w:val="PreformattedText"/>
        <w:rPr/>
      </w:pPr>
      <w:r>
        <w:rPr/>
        <w:t>Administrative expense                                          5,867                 5,862</w:t>
      </w:r>
    </w:p>
    <w:p>
      <w:pPr>
        <w:pStyle w:val="PreformattedText"/>
        <w:rPr/>
      </w:pPr>
      <w:r>
        <w:rPr/>
        <w:t>Depreciation and amortization                                   1,887                 1,915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 xml:space="preserve">  </w:t>
      </w:r>
      <w:r>
        <w:rPr/>
        <w:t>Operating income                                              7,649                 4,648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19</w:t>
      </w:r>
    </w:p>
    <w:p>
      <w:pPr>
        <w:pStyle w:val="PreformattedText"/>
        <w:rPr/>
      </w:pPr>
      <w:r>
        <w:rPr/>
        <w:t>Interest expense, net                                             339                   448</w:t>
      </w:r>
    </w:p>
    <w:p>
      <w:pPr>
        <w:pStyle w:val="PreformattedText"/>
        <w:rPr/>
      </w:pPr>
      <w:r>
        <w:rPr/>
        <w:t>Equity in net income of unconsolidated affiliate                 (460)                 (365)</w:t>
      </w:r>
    </w:p>
    <w:p>
      <w:pPr>
        <w:pStyle w:val="PreformattedText"/>
        <w:rPr/>
      </w:pPr>
      <w:r>
        <w:rPr/>
        <w:t>Loss on sale/disposal of assets                                    37                    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>Income before income taxes                                      7,733                 4,565</w:t>
      </w:r>
    </w:p>
    <w:p>
      <w:pPr>
        <w:pStyle w:val="PreformattedText"/>
        <w:rPr/>
      </w:pPr>
      <w:r>
        <w:rPr/>
        <w:t>Income tax expense                                              2,784                 1,575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>Net income                                             $        4,949        $        2,990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==============     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        --------------</w:t>
      </w:r>
    </w:p>
    <w:p>
      <w:pPr>
        <w:pStyle w:val="PreformattedText"/>
        <w:rPr/>
      </w:pPr>
      <w:r>
        <w:rPr/>
        <w:t>Net income per share, assuming dilution                $         0.37        $         0.23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==============        ==============</w:t>
      </w:r>
    </w:p>
    <w:p>
      <w:pPr>
        <w:pStyle w:val="PreformattedText"/>
        <w:rPr/>
      </w:pPr>
      <w:r>
        <w:rPr/>
        <w:t>Weighted average shares - assuming dilution                    13,237                12,847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</w:t>
      </w:r>
      <w:r>
        <w:rPr/>
        <w:t>HIGHLIGHTS OF CONSOLIDATED BALANCE SHEETS (UNAUDITED)</w:t>
      </w:r>
    </w:p>
    <w:p>
      <w:pPr>
        <w:pStyle w:val="PreformattedText"/>
        <w:rPr/>
      </w:pPr>
      <w:r>
        <w:rPr/>
        <w:t xml:space="preserve">             </w:t>
      </w:r>
      <w:r>
        <w:rPr/>
        <w:t>(in thousands, except per share data and store counts)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AS OF 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2004                 2003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</w:t>
      </w:r>
      <w:r>
        <w:rPr/>
        <w:t>Current assets:</w:t>
      </w:r>
    </w:p>
    <w:p>
      <w:pPr>
        <w:pStyle w:val="PreformattedText"/>
        <w:rPr/>
      </w:pPr>
      <w:r>
        <w:rPr/>
        <w:t xml:space="preserve">    </w:t>
      </w:r>
      <w:r>
        <w:rPr/>
        <w:t>Cash and cash equivalents                           $        3,115       $        1,402</w:t>
      </w:r>
    </w:p>
    <w:p>
      <w:pPr>
        <w:pStyle w:val="PreformattedText"/>
        <w:rPr/>
      </w:pPr>
      <w:r>
        <w:rPr/>
        <w:t xml:space="preserve">    </w:t>
      </w:r>
      <w:r>
        <w:rPr/>
        <w:t>Pawn loans                                                  44,714               46,380</w:t>
      </w:r>
    </w:p>
    <w:p>
      <w:pPr>
        <w:pStyle w:val="PreformattedText"/>
        <w:rPr/>
      </w:pPr>
      <w:r>
        <w:rPr/>
        <w:t xml:space="preserve">    </w:t>
      </w:r>
      <w:r>
        <w:rPr/>
        <w:t>Payday loans, net                                            8,666                5,683</w:t>
      </w:r>
    </w:p>
    <w:p>
      <w:pPr>
        <w:pStyle w:val="PreformattedText"/>
        <w:rPr/>
      </w:pPr>
      <w:r>
        <w:rPr/>
        <w:t xml:space="preserve">    </w:t>
      </w:r>
      <w:r>
        <w:rPr/>
        <w:t>Pawn service charges receivable, net                         9,465                9,602</w:t>
      </w:r>
    </w:p>
    <w:p>
      <w:pPr>
        <w:pStyle w:val="PreformattedText"/>
        <w:rPr/>
      </w:pPr>
      <w:r>
        <w:rPr/>
        <w:t xml:space="preserve">    </w:t>
      </w:r>
      <w:r>
        <w:rPr/>
        <w:t>Payday loan service charges receivable, net                  1,759                1,137</w:t>
      </w:r>
    </w:p>
    <w:p>
      <w:pPr>
        <w:pStyle w:val="PreformattedText"/>
        <w:rPr/>
      </w:pPr>
      <w:r>
        <w:rPr/>
        <w:t xml:space="preserve">    </w:t>
      </w:r>
      <w:r>
        <w:rPr/>
        <w:t>Inventory, net                                              32,317               32,527</w:t>
      </w:r>
    </w:p>
    <w:p>
      <w:pPr>
        <w:pStyle w:val="PreformattedText"/>
        <w:rPr/>
      </w:pPr>
      <w:r>
        <w:rPr/>
        <w:t xml:space="preserve">    </w:t>
      </w:r>
      <w:r>
        <w:rPr/>
        <w:t>Deferred tax asset                                           9,711                8,163</w:t>
      </w:r>
    </w:p>
    <w:p>
      <w:pPr>
        <w:pStyle w:val="PreformattedText"/>
        <w:rPr/>
      </w:pPr>
      <w:r>
        <w:rPr/>
        <w:t xml:space="preserve">    </w:t>
      </w:r>
      <w:r>
        <w:rPr/>
        <w:t>Prepaid expenses and other assets                            5,233                3,163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                                 114,980              108,057</w:t>
      </w:r>
    </w:p>
    <w:p>
      <w:pPr>
        <w:pStyle w:val="PreformattedText"/>
        <w:rPr/>
      </w:pPr>
      <w:r>
        <w:rPr/>
        <w:t xml:space="preserve">  </w:t>
      </w:r>
      <w:r>
        <w:rPr/>
        <w:t>Investment in unconsolidated affiliate                        16,527               15,144</w:t>
      </w:r>
    </w:p>
    <w:p>
      <w:pPr>
        <w:pStyle w:val="PreformattedText"/>
        <w:rPr/>
      </w:pPr>
      <w:r>
        <w:rPr/>
        <w:t xml:space="preserve">  </w:t>
      </w:r>
      <w:r>
        <w:rPr/>
        <w:t>Property and equipment, net                                   26,049               24,701</w:t>
      </w:r>
    </w:p>
    <w:p>
      <w:pPr>
        <w:pStyle w:val="PreformattedText"/>
        <w:rPr/>
      </w:pPr>
      <w:r>
        <w:rPr/>
        <w:t xml:space="preserve">  </w:t>
      </w:r>
      <w:r>
        <w:rPr/>
        <w:t>Deferred tax asset, non-current                                4,946                4,391</w:t>
      </w:r>
    </w:p>
    <w:p>
      <w:pPr>
        <w:pStyle w:val="PreformattedText"/>
        <w:rPr/>
      </w:pPr>
      <w:r>
        <w:rPr/>
        <w:t xml:space="preserve">  </w:t>
      </w:r>
      <w:r>
        <w:rPr/>
        <w:t>Other assets, net                                              4,016                5,555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assets                                  $      166,518       $      157,848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==============       ==============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</w:t>
      </w:r>
      <w:r>
        <w:rPr/>
        <w:t>Accounts payable and other accrued expenses         $       13,831       $        9,837</w:t>
      </w:r>
    </w:p>
    <w:p>
      <w:pPr>
        <w:pStyle w:val="PreformattedText"/>
        <w:rPr/>
      </w:pPr>
      <w:r>
        <w:rPr/>
        <w:t xml:space="preserve">    </w:t>
      </w:r>
      <w:r>
        <w:rPr/>
        <w:t>Customer layaway deposits                                    1,686                1,675</w:t>
      </w:r>
    </w:p>
    <w:p>
      <w:pPr>
        <w:pStyle w:val="PreformattedText"/>
        <w:rPr/>
      </w:pPr>
      <w:r>
        <w:rPr/>
        <w:t xml:space="preserve">    </w:t>
      </w:r>
      <w:r>
        <w:rPr/>
        <w:t>Federal income taxes payable                                 3,336                1,012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                             18,853               12,524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Long-term debt                                                22,000               32,450</w:t>
      </w:r>
    </w:p>
    <w:p>
      <w:pPr>
        <w:pStyle w:val="PreformattedText"/>
        <w:rPr/>
      </w:pPr>
      <w:r>
        <w:rPr/>
        <w:t xml:space="preserve">  </w:t>
      </w:r>
      <w:r>
        <w:rPr/>
        <w:t>Deferred gains and other long-term liabilities                 3,868                4,229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long-term liabilities                           25,868               36,679</w:t>
      </w:r>
    </w:p>
    <w:p>
      <w:pPr>
        <w:pStyle w:val="PreformattedText"/>
        <w:rPr/>
      </w:pPr>
      <w:r>
        <w:rPr/>
        <w:t xml:space="preserve">  </w:t>
      </w:r>
      <w:r>
        <w:rPr/>
        <w:t>Total stockholders' equity                                   121,797              108,645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       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 and stockholders' equity    $      166,518       $      157,848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==============    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balance per ending pawn store                 $          160       $          166</w:t>
      </w:r>
    </w:p>
    <w:p>
      <w:pPr>
        <w:pStyle w:val="PreformattedText"/>
        <w:rPr/>
      </w:pPr>
      <w:r>
        <w:rPr/>
        <w:t>Inventory per ending pawn store                         $          115       $          116</w:t>
      </w:r>
    </w:p>
    <w:p>
      <w:pPr>
        <w:pStyle w:val="PreformattedText"/>
        <w:rPr/>
      </w:pPr>
      <w:r>
        <w:rPr/>
        <w:t>Book value per share                                    $         9.85       $         8.91</w:t>
      </w:r>
    </w:p>
    <w:p>
      <w:pPr>
        <w:pStyle w:val="PreformattedText"/>
        <w:rPr/>
      </w:pPr>
      <w:r>
        <w:rPr/>
        <w:t>Tangible book value per share                           $         9.64       $         8.70</w:t>
      </w:r>
    </w:p>
    <w:p>
      <w:pPr>
        <w:pStyle w:val="PreformattedText"/>
        <w:rPr/>
      </w:pPr>
      <w:r>
        <w:rPr/>
        <w:t>Pawn store count - end of period                                   280                  280</w:t>
      </w:r>
    </w:p>
    <w:p>
      <w:pPr>
        <w:pStyle w:val="PreformattedText"/>
        <w:rPr/>
      </w:pPr>
      <w:r>
        <w:rPr/>
        <w:t>Mono-line payday loan store count - end of period                  165                   23</w:t>
      </w:r>
    </w:p>
    <w:p>
      <w:pPr>
        <w:pStyle w:val="PreformattedText"/>
        <w:rPr/>
      </w:pPr>
      <w:r>
        <w:rPr/>
        <w:t>Shares outstanding - end of period                              12,365               12,188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1366</Words>
  <CharactersWithSpaces>14926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