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page">
        <w:bookmarkStart w:id="0" w:name="d48834e10vq.htm"/>
        <w:bookmarkStart w:id="1" w:name="ksd48834e10vq"/>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10-Q</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QUARTERLY REPORT PURSUANT TO SECTION 13 OR 15(d)</w:t>
        <w:br/>
        <w:t>OF THE SECURITIES EXCHANGE ACT OF 1934</w:t>
      </w:r>
      <w:r>
        <w:rPr>
          <w:rFonts w:ascii="Times New Roman;Times;serif" w:hAnsi="Times New Roman;Times;serif"/>
          <w:sz w:val="20"/>
        </w:rPr>
        <w:t xml:space="preserve"> </w:t>
      </w:r>
    </w:p>
    <w:tbl>
      <w:tblPr>
        <w:tblW w:w="5000" w:type="pct"/>
        <w:jc w:val="center"/>
        <w:tblInd w:w="0" w:type="dxa"/>
        <w:tblCellMar>
          <w:top w:w="0" w:type="dxa"/>
          <w:left w:w="0" w:type="dxa"/>
          <w:bottom w:w="0" w:type="dxa"/>
          <w:right w:w="0" w:type="dxa"/>
        </w:tblCellMar>
      </w:tblPr>
      <w:tblGrid>
        <w:gridCol w:w="4844"/>
        <w:gridCol w:w="516"/>
        <w:gridCol w:w="4845"/>
      </w:tblGrid>
      <w:tr>
        <w:trPr/>
        <w:tc>
          <w:tcPr>
            <w:tcW w:w="4844" w:type="dxa"/>
            <w:tcBorders/>
            <w:shd w:fill="auto" w:val="clear"/>
            <w:vAlign w:val="bottom"/>
          </w:tcPr>
          <w:p>
            <w:pPr>
              <w:pStyle w:val="TableContents"/>
              <w:spacing w:before="0" w:after="283"/>
              <w:rPr/>
            </w:pPr>
            <w:r>
              <w:rPr/>
              <w:t> </w:t>
            </w:r>
          </w:p>
        </w:tc>
        <w:tc>
          <w:tcPr>
            <w:tcW w:w="516" w:type="dxa"/>
            <w:tcBorders/>
            <w:shd w:fill="auto" w:val="clear"/>
            <w:vAlign w:val="bottom"/>
          </w:tcPr>
          <w:p>
            <w:pPr>
              <w:pStyle w:val="TableContents"/>
              <w:spacing w:before="0" w:after="283"/>
              <w:rPr/>
            </w:pPr>
            <w:r>
              <w:rPr/>
              <w:t> </w:t>
            </w:r>
          </w:p>
        </w:tc>
        <w:tc>
          <w:tcPr>
            <w:tcW w:w="4845" w:type="dxa"/>
            <w:tcBorders/>
            <w:shd w:fill="auto" w:val="clear"/>
            <w:vAlign w:val="bottom"/>
          </w:tcPr>
          <w:p>
            <w:pPr>
              <w:pStyle w:val="TableContents"/>
              <w:spacing w:before="0" w:after="283"/>
              <w:rPr/>
            </w:pPr>
            <w:r>
              <w:rPr/>
              <w:t> </w:t>
            </w:r>
          </w:p>
        </w:tc>
      </w:tr>
      <w:tr>
        <w:trPr/>
        <w:tc>
          <w:tcPr>
            <w:tcW w:w="4844" w:type="dxa"/>
            <w:tcBorders/>
            <w:shd w:fill="auto" w:val="clear"/>
          </w:tcPr>
          <w:p>
            <w:pPr>
              <w:pStyle w:val="TableContents"/>
              <w:spacing w:before="0" w:after="283"/>
              <w:jc w:val="center"/>
              <w:rPr/>
            </w:pPr>
            <w:r>
              <w:rPr>
                <w:b/>
              </w:rPr>
              <w:t>For the Quarterly Period Ended June 30, 2007</w:t>
            </w:r>
            <w:r>
              <w:rPr/>
              <w:t xml:space="preserve"> </w:t>
            </w:r>
          </w:p>
        </w:tc>
        <w:tc>
          <w:tcPr>
            <w:tcW w:w="516" w:type="dxa"/>
            <w:tcBorders/>
            <w:shd w:fill="auto" w:val="clear"/>
            <w:vAlign w:val="bottom"/>
          </w:tcPr>
          <w:p>
            <w:pPr>
              <w:pStyle w:val="TableContents"/>
              <w:spacing w:before="0" w:after="283"/>
              <w:rPr/>
            </w:pPr>
            <w:r>
              <w:rPr/>
              <w:t> </w:t>
            </w:r>
          </w:p>
        </w:tc>
        <w:tc>
          <w:tcPr>
            <w:tcW w:w="4845" w:type="dxa"/>
            <w:tcBorders/>
            <w:shd w:fill="auto" w:val="clear"/>
          </w:tcPr>
          <w:p>
            <w:pPr>
              <w:pStyle w:val="TableContents"/>
              <w:spacing w:before="0" w:after="283"/>
              <w:jc w:val="center"/>
              <w:rPr>
                <w:b/>
              </w:rPr>
            </w:pPr>
            <w:r>
              <w:rPr>
                <w:b/>
              </w:rPr>
              <w:t>Commission File No. 000-19424</w:t>
            </w:r>
          </w:p>
        </w:tc>
      </w:tr>
    </w:tbl>
    <w:p>
      <w:pPr>
        <w:pStyle w:val="TextBody"/>
        <w:spacing w:before="240" w:after="283"/>
        <w:jc w:val="center"/>
        <w:rPr>
          <w:rFonts w:ascii="Times New Roman;Times;serif" w:hAnsi="Times New Roman;Times;serif"/>
          <w:sz w:val="40"/>
        </w:rPr>
      </w:pPr>
      <w:r>
        <w:rPr>
          <w:rFonts w:ascii="Times New Roman;Times;serif" w:hAnsi="Times New Roman;Times;serif"/>
          <w:b/>
          <w:sz w:val="40"/>
        </w:rPr>
        <w:t>EZCORP,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4948"/>
        <w:gridCol w:w="308"/>
        <w:gridCol w:w="4949"/>
      </w:tblGrid>
      <w:tr>
        <w:trPr/>
        <w:tc>
          <w:tcPr>
            <w:tcW w:w="4948"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4949" w:type="dxa"/>
            <w:tcBorders/>
            <w:shd w:fill="auto" w:val="clear"/>
            <w:vAlign w:val="bottom"/>
          </w:tcPr>
          <w:p>
            <w:pPr>
              <w:pStyle w:val="TableContents"/>
              <w:spacing w:before="0" w:after="283"/>
              <w:rPr/>
            </w:pPr>
            <w:r>
              <w:rPr/>
              <w:t> </w:t>
            </w:r>
          </w:p>
        </w:tc>
      </w:tr>
      <w:tr>
        <w:trPr/>
        <w:tc>
          <w:tcPr>
            <w:tcW w:w="4948" w:type="dxa"/>
            <w:tcBorders/>
            <w:shd w:fill="auto" w:val="clear"/>
          </w:tcPr>
          <w:p>
            <w:pPr>
              <w:pStyle w:val="TableContents"/>
              <w:spacing w:before="0" w:after="283"/>
              <w:jc w:val="center"/>
              <w:rPr/>
            </w:pPr>
            <w:r>
              <w:rPr>
                <w:b/>
              </w:rPr>
              <w:t>Delaware</w:t>
            </w:r>
            <w:r>
              <w:rPr/>
              <w:br/>
              <w:t xml:space="preserve">(State or other jurisdiction of incorporation or organization) </w:t>
            </w:r>
          </w:p>
        </w:tc>
        <w:tc>
          <w:tcPr>
            <w:tcW w:w="308"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pPr>
            <w:r>
              <w:rPr>
                <w:b/>
              </w:rPr>
              <w:t>74-2540145</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1901 Capital Parkway</w:t>
        <w:br/>
        <w:t>Austin, Texas 78746</w:t>
      </w:r>
      <w:r>
        <w:rPr>
          <w:rFonts w:ascii="Times New Roman;Times;serif" w:hAnsi="Times New Roman;Times;serif"/>
          <w:sz w:val="17"/>
        </w:rPr>
        <w:br/>
        <w:t xml:space="preserve">(Address of principal executive offices)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w:t>
      </w:r>
      <w:r>
        <w:rPr>
          <w:rFonts w:ascii="Times New Roman;Times;serif" w:hAnsi="Times New Roman;Times;serif"/>
          <w:b/>
          <w:sz w:val="17"/>
        </w:rPr>
        <w:t>(512) 314-3400</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r>
        <w:rPr>
          <w:rFonts w:ascii="Wingdings" w:hAnsi="Wingdings"/>
          <w:sz w:val="17"/>
        </w:rPr>
        <w:t>o</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large accelerated filer, an accelerated filer, or a non-accelerated filer. See definition of accelerated filer and large accelerated filer in Rule 12b-2 of the Exchange Act. (Check one): </w:t>
      </w:r>
    </w:p>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Large accelerated filer </w:t>
      </w:r>
      <w:r>
        <w:rPr>
          <w:rFonts w:ascii="Wingdings" w:hAnsi="Wingdings"/>
          <w:sz w:val="17"/>
        </w:rPr>
        <w:t>o</w:t>
      </w:r>
      <w:r>
        <w:rPr>
          <w:rFonts w:ascii="Times New Roman;Times;serif" w:hAnsi="Times New Roman;Times;serif"/>
          <w:sz w:val="17"/>
        </w:rPr>
        <w:t xml:space="preserve">      Accelerated filer ☑      Non-accelerated filer </w:t>
      </w:r>
      <w:r>
        <w:rPr>
          <w:rFonts w:ascii="Wingdings" w:hAnsi="Wingdings"/>
          <w:sz w:val="17"/>
        </w:rPr>
        <w:t>o</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Indicate by check mark whether the registrant is a shell company (as defined in Rule 12b-2 of the Exchange Act). Yes </w:t>
      </w:r>
      <w:r>
        <w:rPr>
          <w:rFonts w:ascii="Wingdings" w:hAnsi="Wingdings"/>
          <w:sz w:val="17"/>
        </w:rPr>
        <w:t>o</w:t>
      </w:r>
      <w:r>
        <w:rPr>
          <w:rFonts w:ascii="Times New Roman;Times;serif" w:hAnsi="Times New Roman;Times;serif"/>
          <w:sz w:val="17"/>
        </w:rPr>
        <w:t xml:space="preserve">      No ☑ </w:t>
      </w:r>
    </w:p>
    <w:p>
      <w:pPr>
        <w:pStyle w:val="TextBody"/>
        <w:spacing w:before="240" w:after="283"/>
        <w:jc w:val="center"/>
        <w:rPr>
          <w:rFonts w:ascii="Times New Roman;Times;serif" w:hAnsi="Times New Roman;Times;serif"/>
          <w:sz w:val="17"/>
        </w:rPr>
      </w:pPr>
      <w:r>
        <w:rPr>
          <w:rFonts w:ascii="Times New Roman;Times;serif" w:hAnsi="Times New Roman;Times;serif"/>
          <w:sz w:val="17"/>
        </w:rPr>
        <w:t>APPLICABLE ONLY TO CORPORATE ISSUERS:</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only class of voting securities of the registrant issued and outstanding is the Class B Voting Common Stock, par value $.01 per share, all of which is owned by one record holder who is an affiliate of the registrant. There is no trading market for the Class B Voting Common Stock.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of June 30, 2007, 38,329,337 shares of the registrants Class A Non-voting Common Stock, par value $.01 per share and 2,970,171 shares of the registrants Class B Voting Common Stock, par value $.01 per share were outstanding.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2" w:name="tocpage"/>
      <w:bookmarkEnd w:id="2"/>
      <w:r>
        <w:rPr>
          <w:rFonts w:ascii="Times New Roman;Times;serif" w:hAnsi="Times New Roman;Times;serif"/>
          <w:b/>
          <w:sz w:val="17"/>
        </w:rPr>
        <w:t>EZCORP, INC.</w:t>
        <w:br/>
        <w:t>INDEX TO FORM 10-Q</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511"/>
        <w:gridCol w:w="890"/>
        <w:gridCol w:w="141"/>
        <w:gridCol w:w="331"/>
        <w:gridCol w:w="142"/>
        <w:gridCol w:w="190"/>
      </w:tblGrid>
      <w:tr>
        <w:trPr/>
        <w:tc>
          <w:tcPr>
            <w:tcW w:w="8511"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rPr/>
            </w:pPr>
            <w:r>
              <w:rPr/>
              <w:t> </w:t>
            </w:r>
          </w:p>
        </w:tc>
        <w:tc>
          <w:tcPr>
            <w:tcW w:w="614" w:type="dxa"/>
            <w:gridSpan w:val="3"/>
            <w:tcBorders>
              <w:bottom w:val="single" w:sz="2" w:space="0" w:color="000000"/>
            </w:tcBorders>
            <w:shd w:fill="auto" w:val="clear"/>
            <w:tcMar>
              <w:bottom w:w="28" w:type="dxa"/>
            </w:tcMar>
            <w:vAlign w:val="bottom"/>
          </w:tcPr>
          <w:p>
            <w:pPr>
              <w:pStyle w:val="TableContents"/>
              <w:spacing w:before="0" w:after="283"/>
              <w:jc w:val="center"/>
              <w:rPr/>
            </w:pPr>
            <w:r>
              <w:rPr/>
              <w:t>Page</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hyperlink w:anchor="300">
              <w:r>
                <w:rPr>
                  <w:rStyle w:val="InternetLink"/>
                </w:rPr>
                <w:t>PART I. FINANCIAL INFORMATION</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01">
              <w:r>
                <w:rPr>
                  <w:rStyle w:val="InternetLink"/>
                  <w:i/>
                </w:rPr>
                <w:t>Item 1. Financial Statements (Unaudited)</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0"/>
              <w:rPr/>
            </w:pPr>
            <w:hyperlink w:anchor="302">
              <w:r>
                <w:rPr>
                  <w:rStyle w:val="InternetLink"/>
                </w:rPr>
                <w:t>Condensed Consolidated Balance Sheets as of June 30, 2007, June 30, 2006 and September 30, 2006</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1</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0"/>
              <w:rPr/>
            </w:pPr>
            <w:hyperlink w:anchor="303">
              <w:r>
                <w:rPr>
                  <w:rStyle w:val="InternetLink"/>
                </w:rPr>
                <w:t>Condensed Consolidated Statements of Operations for the Three Months and Nine Months Ended June 30, 2007 and 2006</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2</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0"/>
              <w:rPr/>
            </w:pPr>
            <w:hyperlink w:anchor="304">
              <w:r>
                <w:rPr>
                  <w:rStyle w:val="InternetLink"/>
                </w:rPr>
                <w:t>Condensed Consolidated Statements of Cash Flows for the Nine Months Ended June 30, 2007 and 2006</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3</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675" w:right="0" w:hanging="225"/>
              <w:rPr/>
            </w:pPr>
            <w:hyperlink w:anchor="305">
              <w:r>
                <w:rPr>
                  <w:rStyle w:val="InternetLink"/>
                </w:rPr>
                <w:t>Notes to Interim Condensed Consolidated Financial Statements</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4</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06">
              <w:r>
                <w:rPr>
                  <w:rStyle w:val="InternetLink"/>
                  <w:i/>
                </w:rPr>
                <w:t>Item 2. Managements Discussion and Analysis of Financial Condition and Results of Operations</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14</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07">
              <w:r>
                <w:rPr>
                  <w:rStyle w:val="InternetLink"/>
                  <w:i/>
                </w:rPr>
                <w:t>Item 3. Quantitative and Qualitative Disclosures about Market Risk</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28</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08">
              <w:r>
                <w:rPr>
                  <w:rStyle w:val="InternetLink"/>
                  <w:i/>
                </w:rPr>
                <w:t>Item 4. Controls and Procedures</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29</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hyperlink w:anchor="309">
              <w:r>
                <w:rPr>
                  <w:rStyle w:val="InternetLink"/>
                </w:rPr>
                <w:t>PART II. OTHER INFORMATION</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10">
              <w:r>
                <w:rPr>
                  <w:rStyle w:val="InternetLink"/>
                  <w:i/>
                </w:rPr>
                <w:t>Item 1. Legal Proceedings</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30</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11">
              <w:r>
                <w:rPr>
                  <w:rStyle w:val="InternetLink"/>
                  <w:i/>
                </w:rPr>
                <w:t>Item 1A. Risk Factors</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30</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450" w:right="0" w:hanging="225"/>
              <w:rPr/>
            </w:pPr>
            <w:hyperlink w:anchor="312">
              <w:r>
                <w:rPr>
                  <w:rStyle w:val="InternetLink"/>
                  <w:i/>
                </w:rPr>
                <w:t>Item 6. Exhibits</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30</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hyperlink w:anchor="313">
              <w:r>
                <w:rPr>
                  <w:rStyle w:val="InternetLink"/>
                </w:rPr>
                <w:t>SIGNATURE</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31</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hyperlink w:anchor="314">
              <w:r>
                <w:rPr>
                  <w:rStyle w:val="InternetLink"/>
                </w:rPr>
                <w:t>EXHIBIT INDEX</w:t>
              </w:r>
            </w:hyperlink>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jc w:val="right"/>
              <w:rPr/>
            </w:pPr>
            <w:r>
              <w:rPr/>
              <w:t>32</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 </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8511" w:type="dxa"/>
            <w:tcBorders/>
            <w:shd w:fill="auto" w:val="clear"/>
            <w:vAlign w:val="bottom"/>
          </w:tcPr>
          <w:p>
            <w:pPr>
              <w:pStyle w:val="TableContents"/>
              <w:spacing w:before="0" w:after="0"/>
              <w:ind w:left="225" w:right="0" w:hanging="225"/>
              <w:rPr/>
            </w:pPr>
            <w:r>
              <w:rPr/>
              <w:t>CERTIFICATIONS</w:t>
            </w:r>
          </w:p>
        </w:tc>
        <w:tc>
          <w:tcPr>
            <w:tcW w:w="89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31" w:type="dxa"/>
            <w:tcBorders/>
            <w:shd w:fill="auto" w:val="clear"/>
            <w:vAlign w:val="bottom"/>
          </w:tcPr>
          <w:p>
            <w:pPr>
              <w:pStyle w:val="TableContents"/>
              <w:spacing w:before="0" w:after="283"/>
              <w:rPr/>
            </w:pPr>
            <w:r>
              <w:rPr/>
              <w:t> </w:t>
            </w:r>
          </w:p>
        </w:tc>
        <w:tc>
          <w:tcPr>
            <w:tcW w:w="142"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c>
          <w:tcPr>
            <w:tcW w:w="10205" w:type="dxa"/>
            <w:gridSpan w:val="6"/>
            <w:tcBorders/>
            <w:shd w:fill="auto" w:val="clear"/>
            <w:vAlign w:val="center"/>
          </w:tcPr>
          <w:p>
            <w:pPr>
              <w:pStyle w:val="TableContents"/>
              <w:spacing w:before="0" w:after="283"/>
              <w:rPr/>
            </w:pPr>
            <w:r>
              <w:rPr/>
              <w:t> </w:t>
            </w:r>
            <w:hyperlink w:anchor="d48834exv10w105.htm">
              <w:r>
                <w:rPr>
                  <w:rStyle w:val="InternetLink"/>
                  <w:sz w:val="20"/>
                </w:rPr>
                <w:t>First Amendment to Fourth Amended and Restated Credit Agreement</w:t>
              </w:r>
            </w:hyperlink>
          </w:p>
        </w:tc>
      </w:tr>
      <w:tr>
        <w:trPr/>
        <w:tc>
          <w:tcPr>
            <w:tcW w:w="10205" w:type="dxa"/>
            <w:gridSpan w:val="6"/>
            <w:tcBorders/>
            <w:shd w:fill="auto" w:val="clear"/>
            <w:vAlign w:val="center"/>
          </w:tcPr>
          <w:p>
            <w:pPr>
              <w:pStyle w:val="TableContents"/>
              <w:spacing w:before="0" w:after="283"/>
              <w:rPr/>
            </w:pPr>
            <w:r>
              <w:rPr/>
              <w:t> </w:t>
            </w:r>
            <w:hyperlink w:anchor="d48834exv31w1.htm">
              <w:r>
                <w:rPr>
                  <w:rStyle w:val="InternetLink"/>
                  <w:sz w:val="20"/>
                </w:rPr>
                <w:t>Certification of CEO Pursuant to Section 302</w:t>
              </w:r>
            </w:hyperlink>
          </w:p>
        </w:tc>
      </w:tr>
      <w:tr>
        <w:trPr/>
        <w:tc>
          <w:tcPr>
            <w:tcW w:w="10205" w:type="dxa"/>
            <w:gridSpan w:val="6"/>
            <w:tcBorders/>
            <w:shd w:fill="auto" w:val="clear"/>
            <w:vAlign w:val="center"/>
          </w:tcPr>
          <w:p>
            <w:pPr>
              <w:pStyle w:val="TableContents"/>
              <w:spacing w:before="0" w:after="283"/>
              <w:rPr/>
            </w:pPr>
            <w:r>
              <w:rPr/>
              <w:t> </w:t>
            </w:r>
            <w:hyperlink w:anchor="d48834exv31w2.htm">
              <w:r>
                <w:rPr>
                  <w:rStyle w:val="InternetLink"/>
                  <w:sz w:val="20"/>
                </w:rPr>
                <w:t>Certification of CFO Pursuant to Section 302</w:t>
              </w:r>
            </w:hyperlink>
          </w:p>
        </w:tc>
      </w:tr>
      <w:tr>
        <w:trPr/>
        <w:tc>
          <w:tcPr>
            <w:tcW w:w="10205" w:type="dxa"/>
            <w:gridSpan w:val="6"/>
            <w:tcBorders/>
            <w:shd w:fill="auto" w:val="clear"/>
            <w:vAlign w:val="center"/>
          </w:tcPr>
          <w:p>
            <w:pPr>
              <w:pStyle w:val="TableContents"/>
              <w:spacing w:before="0" w:after="283"/>
              <w:rPr/>
            </w:pPr>
            <w:r>
              <w:rPr/>
              <w:t> </w:t>
            </w:r>
            <w:hyperlink w:anchor="d48834exv32w1.htm">
              <w:r>
                <w:rPr>
                  <w:rStyle w:val="InternetLink"/>
                  <w:sz w:val="20"/>
                </w:rPr>
                <w:t>Certification of CEO Pursuant to Section 906</w:t>
              </w:r>
            </w:hyperlink>
          </w:p>
        </w:tc>
      </w:tr>
      <w:tr>
        <w:trPr/>
        <w:tc>
          <w:tcPr>
            <w:tcW w:w="10205" w:type="dxa"/>
            <w:gridSpan w:val="6"/>
            <w:tcBorders/>
            <w:shd w:fill="auto" w:val="clear"/>
            <w:vAlign w:val="center"/>
          </w:tcPr>
          <w:p>
            <w:pPr>
              <w:pStyle w:val="TableContents"/>
              <w:spacing w:before="0" w:after="283"/>
              <w:rPr/>
            </w:pPr>
            <w:r>
              <w:rPr/>
              <w:t> </w:t>
            </w:r>
            <w:hyperlink w:anchor="d48834exv32w2.htm">
              <w:r>
                <w:rPr>
                  <w:rStyle w:val="InternetLink"/>
                  <w:sz w:val="20"/>
                </w:rPr>
                <w:t>Certification of CFO Pursuant to Section 906</w:t>
              </w:r>
            </w:hyperlink>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3" w:name="300"/>
      <w:bookmarkEnd w:id="3"/>
      <w:r>
        <w:rPr>
          <w:rFonts w:ascii="Times New Roman;Times;serif" w:hAnsi="Times New Roman;Times;serif"/>
          <w:b/>
          <w:sz w:val="17"/>
        </w:rPr>
        <w:t>PART I</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bookmarkStart w:id="4" w:name="301"/>
      <w:bookmarkEnd w:id="4"/>
      <w:r>
        <w:rPr>
          <w:rFonts w:ascii="Times New Roman;Times;serif" w:hAnsi="Times New Roman;Times;serif"/>
          <w:b/>
          <w:i/>
          <w:sz w:val="17"/>
        </w:rPr>
        <w:t>Item 1. Financial Statements</w:t>
      </w:r>
      <w:r>
        <w:rPr>
          <w:rFonts w:ascii="Times New Roman;Times;serif" w:hAnsi="Times New Roman;Times;serif"/>
          <w:sz w:val="17"/>
        </w:rPr>
        <w:t xml:space="preserve"> </w:t>
      </w:r>
    </w:p>
    <w:p>
      <w:pPr>
        <w:pStyle w:val="TextBody"/>
        <w:spacing w:before="120" w:after="283"/>
        <w:jc w:val="center"/>
        <w:rPr>
          <w:rFonts w:ascii="Times New Roman;Times;serif" w:hAnsi="Times New Roman;Times;serif"/>
          <w:sz w:val="17"/>
        </w:rPr>
      </w:pPr>
      <w:bookmarkStart w:id="5" w:name="302"/>
      <w:bookmarkEnd w:id="5"/>
      <w:r>
        <w:rPr>
          <w:rFonts w:ascii="Times New Roman;Times;serif" w:hAnsi="Times New Roman;Times;serif"/>
          <w:sz w:val="17"/>
        </w:rPr>
        <w:t xml:space="preserve">Condensed Consolidated Balance Sheets </w:t>
      </w:r>
    </w:p>
    <w:tbl>
      <w:tblPr>
        <w:tblW w:w="5000" w:type="pct"/>
        <w:jc w:val="center"/>
        <w:tblInd w:w="0" w:type="dxa"/>
        <w:tblCellMar>
          <w:top w:w="0" w:type="dxa"/>
          <w:left w:w="0" w:type="dxa"/>
          <w:bottom w:w="0" w:type="dxa"/>
          <w:right w:w="0" w:type="dxa"/>
        </w:tblCellMar>
      </w:tblPr>
      <w:tblGrid>
        <w:gridCol w:w="4842"/>
        <w:gridCol w:w="351"/>
        <w:gridCol w:w="192"/>
        <w:gridCol w:w="1057"/>
        <w:gridCol w:w="132"/>
        <w:gridCol w:w="351"/>
        <w:gridCol w:w="192"/>
        <w:gridCol w:w="1057"/>
        <w:gridCol w:w="132"/>
        <w:gridCol w:w="351"/>
        <w:gridCol w:w="215"/>
        <w:gridCol w:w="1190"/>
        <w:gridCol w:w="143"/>
      </w:tblGrid>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June 30,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June 30,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2007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center"/>
              <w:rPr/>
            </w:pPr>
            <w:r>
              <w:rPr/>
              <w:t>2006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405" w:type="dxa"/>
            <w:gridSpan w:val="2"/>
            <w:tcBorders/>
            <w:shd w:fill="auto" w:val="clear"/>
            <w:vAlign w:val="bottom"/>
          </w:tcPr>
          <w:p>
            <w:pPr>
              <w:pStyle w:val="TableContents"/>
              <w:spacing w:before="0" w:after="283"/>
              <w:jc w:val="center"/>
              <w:rPr/>
            </w:pPr>
            <w:r>
              <w:rPr/>
              <w:t>September 30,</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249"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351" w:type="dxa"/>
            <w:tcBorders>
              <w:bottom w:val="single" w:sz="2" w:space="0" w:color="000000"/>
            </w:tcBorders>
            <w:shd w:fill="auto" w:val="clear"/>
            <w:tcMar>
              <w:bottom w:w="28" w:type="dxa"/>
            </w:tcMar>
            <w:vAlign w:val="bottom"/>
          </w:tcPr>
          <w:p>
            <w:pPr>
              <w:pStyle w:val="TableContents"/>
              <w:spacing w:before="0" w:after="283"/>
              <w:rPr/>
            </w:pPr>
            <w:r>
              <w:rPr/>
              <w:t> </w:t>
            </w:r>
          </w:p>
        </w:tc>
        <w:tc>
          <w:tcPr>
            <w:tcW w:w="1249" w:type="dxa"/>
            <w:gridSpan w:val="2"/>
            <w:tcBorders>
              <w:bottom w:val="single" w:sz="2" w:space="0" w:color="000000"/>
            </w:tcBorders>
            <w:shd w:fill="auto" w:val="clear"/>
            <w:tcMar>
              <w:bottom w:w="28" w:type="dxa"/>
            </w:tcMar>
            <w:vAlign w:val="bottom"/>
          </w:tcPr>
          <w:p>
            <w:pPr>
              <w:pStyle w:val="TableContents"/>
              <w:spacing w:before="0" w:after="283"/>
              <w:jc w:val="center"/>
              <w:rPr>
                <w:i/>
              </w:rPr>
            </w:pPr>
            <w:r>
              <w:rPr>
                <w:i/>
              </w:rPr>
              <w:t>(Unaudited)</w:t>
            </w:r>
          </w:p>
        </w:tc>
        <w:tc>
          <w:tcPr>
            <w:tcW w:w="132" w:type="dxa"/>
            <w:tcBorders>
              <w:bottom w:val="single" w:sz="2" w:space="0" w:color="000000"/>
            </w:tcBorders>
            <w:shd w:fill="auto" w:val="clear"/>
            <w:tcMar>
              <w:bottom w:w="28" w:type="dxa"/>
            </w:tcMar>
            <w:vAlign w:val="bottom"/>
          </w:tcPr>
          <w:p>
            <w:pPr>
              <w:pStyle w:val="TableContents"/>
              <w:spacing w:before="0" w:after="283"/>
              <w:rPr/>
            </w:pPr>
            <w:r>
              <w:rPr/>
              <w:t> </w:t>
            </w:r>
          </w:p>
        </w:tc>
        <w:tc>
          <w:tcPr>
            <w:tcW w:w="351" w:type="dxa"/>
            <w:tcBorders>
              <w:bottom w:val="single" w:sz="2" w:space="0" w:color="000000"/>
            </w:tcBorders>
            <w:shd w:fill="auto" w:val="clear"/>
            <w:tcMar>
              <w:bottom w:w="28" w:type="dxa"/>
            </w:tcMar>
            <w:vAlign w:val="bottom"/>
          </w:tcPr>
          <w:p>
            <w:pPr>
              <w:pStyle w:val="TableContents"/>
              <w:spacing w:before="0" w:after="283"/>
              <w:rPr/>
            </w:pPr>
            <w:r>
              <w:rPr/>
              <w:t> </w:t>
            </w:r>
          </w:p>
        </w:tc>
        <w:tc>
          <w:tcPr>
            <w:tcW w:w="140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4869" w:type="dxa"/>
            <w:gridSpan w:val="10"/>
            <w:tcBorders/>
            <w:shd w:fill="auto" w:val="clear"/>
            <w:vAlign w:val="bottom"/>
          </w:tcPr>
          <w:p>
            <w:pPr>
              <w:pStyle w:val="TableContents"/>
              <w:spacing w:before="0" w:after="283"/>
              <w:jc w:val="center"/>
              <w:rPr>
                <w:i/>
              </w:rPr>
            </w:pPr>
            <w:r>
              <w:rPr>
                <w:i/>
              </w:rPr>
              <w:t>(In thousands)</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225" w:right="0" w:hanging="225"/>
              <w:rPr/>
            </w:pPr>
            <w:r>
              <w:rPr/>
              <w:t>Assets:</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Current assets: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Cash and cash equivalents</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7" w:type="dxa"/>
            <w:tcBorders/>
            <w:shd w:fill="CCEEFF" w:val="clear"/>
            <w:vAlign w:val="bottom"/>
          </w:tcPr>
          <w:p>
            <w:pPr>
              <w:pStyle w:val="TableContents"/>
              <w:spacing w:before="0" w:after="283"/>
              <w:jc w:val="right"/>
              <w:rPr/>
            </w:pPr>
            <w:r>
              <w:rPr/>
              <w:t>31,686</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7" w:type="dxa"/>
            <w:tcBorders/>
            <w:shd w:fill="CCEEFF" w:val="clear"/>
            <w:vAlign w:val="bottom"/>
          </w:tcPr>
          <w:p>
            <w:pPr>
              <w:pStyle w:val="TableContents"/>
              <w:spacing w:before="0" w:after="283"/>
              <w:jc w:val="right"/>
              <w:rPr/>
            </w:pPr>
            <w:r>
              <w:rPr/>
              <w:t>22,731</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29,939</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Pawn loans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58,053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48,932</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50,304</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Payday loans, net</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4,514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1,966</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2,443</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Pawn service charges receivable, net</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8,150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7,037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8,234</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Signature loan fees receivable, net</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5,439</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3,708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4,380</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Inventory, net</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33,641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32,937</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35,616</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Deferred tax asset</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7,344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8,365</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7,150</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Federal income taxes receivable</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35</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Prepaid expenses and other assets</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5,197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3,340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3,907</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900" w:right="0" w:hanging="225"/>
              <w:rPr/>
            </w:pPr>
            <w:r>
              <w:rPr/>
              <w:t>Total current assets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154,024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129,016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142,008</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Investment in unconsolidated affiliate</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21,250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17,870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19,275</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Property and equipment, net</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31,895</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27,283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29,447</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Deferred tax asset, non-current</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4,536</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3,669</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3,749</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Goodwill</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16,211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631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768</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Other assets, net</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3,448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2,614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2,611</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Total assets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57" w:type="dxa"/>
            <w:tcBorders/>
            <w:shd w:fill="auto" w:val="clear"/>
            <w:vAlign w:val="bottom"/>
          </w:tcPr>
          <w:p>
            <w:pPr>
              <w:pStyle w:val="TableContents"/>
              <w:spacing w:before="0" w:after="283"/>
              <w:jc w:val="right"/>
              <w:rPr/>
            </w:pPr>
            <w:r>
              <w:rPr/>
              <w:t>231,364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w:t>
            </w:r>
          </w:p>
        </w:tc>
        <w:tc>
          <w:tcPr>
            <w:tcW w:w="1057" w:type="dxa"/>
            <w:tcBorders/>
            <w:shd w:fill="auto" w:val="clear"/>
            <w:vAlign w:val="bottom"/>
          </w:tcPr>
          <w:p>
            <w:pPr>
              <w:pStyle w:val="TableContents"/>
              <w:spacing w:before="0" w:after="283"/>
              <w:jc w:val="right"/>
              <w:rPr/>
            </w:pPr>
            <w:r>
              <w:rPr/>
              <w:t>181,083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w:t>
            </w:r>
          </w:p>
        </w:tc>
        <w:tc>
          <w:tcPr>
            <w:tcW w:w="1190" w:type="dxa"/>
            <w:tcBorders/>
            <w:shd w:fill="auto" w:val="clear"/>
            <w:vAlign w:val="bottom"/>
          </w:tcPr>
          <w:p>
            <w:pPr>
              <w:pStyle w:val="TableContents"/>
              <w:spacing w:before="0" w:after="283"/>
              <w:jc w:val="right"/>
              <w:rPr/>
            </w:pPr>
            <w:r>
              <w:rPr/>
              <w:t>197,858</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225" w:right="0" w:hanging="225"/>
              <w:rPr/>
            </w:pPr>
            <w:r>
              <w:rPr/>
              <w:t>Liabilities and stockholders equity:</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Current liabilities: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Accounts payable and other accrued expenses</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7" w:type="dxa"/>
            <w:tcBorders/>
            <w:shd w:fill="CCEEFF" w:val="clear"/>
            <w:vAlign w:val="bottom"/>
          </w:tcPr>
          <w:p>
            <w:pPr>
              <w:pStyle w:val="TableContents"/>
              <w:spacing w:before="0" w:after="283"/>
              <w:jc w:val="right"/>
              <w:rPr/>
            </w:pPr>
            <w:r>
              <w:rPr/>
              <w:t>21,658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7" w:type="dxa"/>
            <w:tcBorders/>
            <w:shd w:fill="CCEEFF" w:val="clear"/>
            <w:vAlign w:val="bottom"/>
          </w:tcPr>
          <w:p>
            <w:pPr>
              <w:pStyle w:val="TableContents"/>
              <w:spacing w:before="0" w:after="283"/>
              <w:jc w:val="right"/>
              <w:rPr/>
            </w:pPr>
            <w:r>
              <w:rPr/>
              <w:t>18,517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22,579</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Customer layaway deposits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1,888</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1,734</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1,890</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Federal income taxes payable</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1,255</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752</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900" w:right="0" w:hanging="225"/>
              <w:rPr/>
            </w:pPr>
            <w:r>
              <w:rPr/>
              <w:t>Total current liabilities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24,801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21,003</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24,469</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225" w:right="0" w:hanging="225"/>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Deferred gains and other long-term liabilities</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2,977</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3,339</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3,249</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450" w:right="0" w:hanging="225"/>
              <w:rPr/>
            </w:pPr>
            <w:r>
              <w:rPr/>
              <w:t>Commitments and contingencies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Stockholders equity:</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rPr/>
            </w:pPr>
            <w:r>
              <w:rPr/>
              <w:t> </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Preferred Stock, par value $.01 per share; Authorized 5 million shares; none issued and outstanding</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Class A Non-voting Common Stock, par value $.01 per share; Authorized 50 million shares; 38,356,436 issued and 38,329,337 outstanding at June 30, 2007; 36,735,471 issued and 36,708,372 outstanding at June 30, 2006; 37,542,240 issued and 37,515,141 outstanding at September 30, 2006</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383</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363</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375</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Class B Voting Common Stock, convertible, par value $.01 per share; 3 million shares authorized; 2,970,171 issued and outstanding</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30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30</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30</w:t>
            </w:r>
          </w:p>
        </w:tc>
        <w:tc>
          <w:tcPr>
            <w:tcW w:w="143" w:type="dxa"/>
            <w:tcBorders/>
            <w:shd w:fill="auto" w:val="clear"/>
            <w:vAlign w:val="bottom"/>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675" w:right="0" w:hanging="225"/>
              <w:rPr/>
            </w:pPr>
            <w:r>
              <w:rPr/>
              <w:t>Additional paid-in capital</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130,236</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121,070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124,572</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Retained earnings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70,692</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34,805</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43,973</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225" w:right="0" w:hanging="225"/>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201,341</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156,268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168,950</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bottom"/>
          </w:tcPr>
          <w:p>
            <w:pPr>
              <w:pStyle w:val="TableContents"/>
              <w:spacing w:before="0" w:after="0"/>
              <w:ind w:left="675" w:right="0" w:hanging="225"/>
              <w:rPr/>
            </w:pPr>
            <w:r>
              <w:rPr/>
              <w:t>Treasury stock, at cost (27,099 shares)</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pPr>
            <w:r>
              <w:rPr/>
              <w:t>(35</w:t>
            </w:r>
          </w:p>
        </w:tc>
        <w:tc>
          <w:tcPr>
            <w:tcW w:w="132"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jc w:val="left"/>
              <w:rPr/>
            </w:pPr>
            <w:r>
              <w:rPr/>
              <w:t> </w:t>
            </w:r>
          </w:p>
        </w:tc>
        <w:tc>
          <w:tcPr>
            <w:tcW w:w="1057" w:type="dxa"/>
            <w:tcBorders/>
            <w:shd w:fill="auto" w:val="clear"/>
            <w:vAlign w:val="bottom"/>
          </w:tcPr>
          <w:p>
            <w:pPr>
              <w:pStyle w:val="TableContents"/>
              <w:spacing w:before="0" w:after="283"/>
              <w:jc w:val="right"/>
              <w:rPr/>
            </w:pPr>
            <w:r>
              <w:rPr/>
              <w:t>(35</w:t>
            </w:r>
          </w:p>
        </w:tc>
        <w:tc>
          <w:tcPr>
            <w:tcW w:w="132" w:type="dxa"/>
            <w:tcBorders/>
            <w:shd w:fill="auto" w:val="clear"/>
            <w:vAlign w:val="bottom"/>
          </w:tcPr>
          <w:p>
            <w:pPr>
              <w:pStyle w:val="TableContents"/>
              <w:spacing w:before="0" w:after="283"/>
              <w:rPr/>
            </w:pPr>
            <w:r>
              <w:rPr/>
              <w:t>)</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jc w:val="left"/>
              <w:rPr/>
            </w:pPr>
            <w:r>
              <w:rPr/>
              <w:t> </w:t>
            </w:r>
          </w:p>
        </w:tc>
        <w:tc>
          <w:tcPr>
            <w:tcW w:w="1190" w:type="dxa"/>
            <w:tcBorders/>
            <w:shd w:fill="auto" w:val="clear"/>
            <w:vAlign w:val="bottom"/>
          </w:tcPr>
          <w:p>
            <w:pPr>
              <w:pStyle w:val="TableContents"/>
              <w:spacing w:before="0" w:after="283"/>
              <w:jc w:val="right"/>
              <w:rPr/>
            </w:pPr>
            <w:r>
              <w:rPr/>
              <w:t>(35</w:t>
            </w:r>
          </w:p>
        </w:tc>
        <w:tc>
          <w:tcPr>
            <w:tcW w:w="143" w:type="dxa"/>
            <w:tcBorders/>
            <w:shd w:fill="auto" w:val="clear"/>
            <w:vAlign w:val="bottom"/>
          </w:tcPr>
          <w:p>
            <w:pPr>
              <w:pStyle w:val="TableContents"/>
              <w:spacing w:before="0" w:after="283"/>
              <w:rPr/>
            </w:pPr>
            <w:r>
              <w:rPr/>
              <w:t>)</w:t>
            </w:r>
          </w:p>
        </w:tc>
      </w:tr>
      <w:tr>
        <w:trPr/>
        <w:tc>
          <w:tcPr>
            <w:tcW w:w="4842" w:type="dxa"/>
            <w:tcBorders/>
            <w:shd w:fill="CCEEFF" w:val="clear"/>
            <w:vAlign w:val="bottom"/>
          </w:tcPr>
          <w:p>
            <w:pPr>
              <w:pStyle w:val="TableContents"/>
              <w:spacing w:before="0" w:after="0"/>
              <w:ind w:left="675" w:right="0" w:hanging="225"/>
              <w:rPr/>
            </w:pPr>
            <w:r>
              <w:rPr/>
              <w:t>Accumulated other comprehensive income</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2,280</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rPr/>
            </w:pPr>
            <w:r>
              <w:rPr/>
              <w:t> </w:t>
            </w:r>
          </w:p>
        </w:tc>
        <w:tc>
          <w:tcPr>
            <w:tcW w:w="1057" w:type="dxa"/>
            <w:tcBorders/>
            <w:shd w:fill="CCEEFF" w:val="clear"/>
            <w:vAlign w:val="bottom"/>
          </w:tcPr>
          <w:p>
            <w:pPr>
              <w:pStyle w:val="TableContents"/>
              <w:spacing w:before="0" w:after="283"/>
              <w:jc w:val="right"/>
              <w:rPr/>
            </w:pPr>
            <w:r>
              <w:rPr/>
              <w:t>508</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 </w:t>
            </w:r>
          </w:p>
        </w:tc>
        <w:tc>
          <w:tcPr>
            <w:tcW w:w="1190" w:type="dxa"/>
            <w:tcBorders/>
            <w:shd w:fill="CCEEFF" w:val="clear"/>
            <w:vAlign w:val="bottom"/>
          </w:tcPr>
          <w:p>
            <w:pPr>
              <w:pStyle w:val="TableContents"/>
              <w:spacing w:before="0" w:after="283"/>
              <w:jc w:val="right"/>
              <w:rPr/>
            </w:pPr>
            <w:r>
              <w:rPr/>
              <w:t>1,225</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auto" w:val="clear"/>
            <w:vAlign w:val="bottom"/>
          </w:tcPr>
          <w:p>
            <w:pPr>
              <w:pStyle w:val="TableContents"/>
              <w:spacing w:before="0" w:after="0"/>
              <w:ind w:left="900" w:right="0" w:hanging="225"/>
              <w:rPr/>
            </w:pPr>
            <w:r>
              <w:rPr/>
              <w:t>Total stockholders equity</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203,586</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192" w:type="dxa"/>
            <w:tcBorders/>
            <w:shd w:fill="auto" w:val="clear"/>
            <w:vAlign w:val="bottom"/>
          </w:tcPr>
          <w:p>
            <w:pPr>
              <w:pStyle w:val="TableContents"/>
              <w:spacing w:before="0" w:after="283"/>
              <w:rPr/>
            </w:pPr>
            <w:r>
              <w:rPr/>
              <w:t> </w:t>
            </w:r>
          </w:p>
        </w:tc>
        <w:tc>
          <w:tcPr>
            <w:tcW w:w="1057" w:type="dxa"/>
            <w:tcBorders/>
            <w:shd w:fill="auto" w:val="clear"/>
            <w:vAlign w:val="bottom"/>
          </w:tcPr>
          <w:p>
            <w:pPr>
              <w:pStyle w:val="TableContents"/>
              <w:spacing w:before="0" w:after="283"/>
              <w:jc w:val="right"/>
              <w:rPr/>
            </w:pPr>
            <w:r>
              <w:rPr/>
              <w:t>156,741</w:t>
            </w:r>
          </w:p>
        </w:tc>
        <w:tc>
          <w:tcPr>
            <w:tcW w:w="132" w:type="dxa"/>
            <w:tcBorders/>
            <w:shd w:fill="auto" w:val="clear"/>
            <w:vAlign w:val="bottom"/>
          </w:tcPr>
          <w:p>
            <w:pPr>
              <w:pStyle w:val="TableContents"/>
              <w:spacing w:before="0" w:after="283"/>
              <w:rPr/>
            </w:pPr>
            <w:r>
              <w:rPr/>
              <w:t> </w:t>
            </w:r>
          </w:p>
        </w:tc>
        <w:tc>
          <w:tcPr>
            <w:tcW w:w="351"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pPr>
            <w:r>
              <w:rPr/>
              <w:t> </w:t>
            </w:r>
          </w:p>
        </w:tc>
        <w:tc>
          <w:tcPr>
            <w:tcW w:w="1190" w:type="dxa"/>
            <w:tcBorders/>
            <w:shd w:fill="auto" w:val="clear"/>
            <w:vAlign w:val="bottom"/>
          </w:tcPr>
          <w:p>
            <w:pPr>
              <w:pStyle w:val="TableContents"/>
              <w:spacing w:before="0" w:after="283"/>
              <w:jc w:val="right"/>
              <w:rPr/>
            </w:pPr>
            <w:r>
              <w:rPr/>
              <w:t>170,140</w:t>
            </w:r>
          </w:p>
        </w:tc>
        <w:tc>
          <w:tcPr>
            <w:tcW w:w="143" w:type="dxa"/>
            <w:tcBorders/>
            <w:shd w:fill="auto"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r>
        <w:trPr/>
        <w:tc>
          <w:tcPr>
            <w:tcW w:w="4842" w:type="dxa"/>
            <w:tcBorders/>
            <w:shd w:fill="CCEEFF" w:val="clear"/>
            <w:vAlign w:val="bottom"/>
          </w:tcPr>
          <w:p>
            <w:pPr>
              <w:pStyle w:val="TableContents"/>
              <w:spacing w:before="0" w:after="0"/>
              <w:ind w:left="450" w:right="0" w:hanging="225"/>
              <w:rPr/>
            </w:pPr>
            <w:r>
              <w:rPr/>
              <w:t>Total liabilities and stockholders equity</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7" w:type="dxa"/>
            <w:tcBorders/>
            <w:shd w:fill="CCEEFF" w:val="clear"/>
            <w:vAlign w:val="bottom"/>
          </w:tcPr>
          <w:p>
            <w:pPr>
              <w:pStyle w:val="TableContents"/>
              <w:spacing w:before="0" w:after="283"/>
              <w:jc w:val="right"/>
              <w:rPr/>
            </w:pPr>
            <w:r>
              <w:rPr/>
              <w:t>231,364</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192" w:type="dxa"/>
            <w:tcBorders/>
            <w:shd w:fill="CCEEFF" w:val="clear"/>
            <w:vAlign w:val="bottom"/>
          </w:tcPr>
          <w:p>
            <w:pPr>
              <w:pStyle w:val="TableContents"/>
              <w:spacing w:before="0" w:after="283"/>
              <w:jc w:val="left"/>
              <w:rPr/>
            </w:pPr>
            <w:r>
              <w:rPr/>
              <w:t>$</w:t>
            </w:r>
          </w:p>
        </w:tc>
        <w:tc>
          <w:tcPr>
            <w:tcW w:w="1057" w:type="dxa"/>
            <w:tcBorders/>
            <w:shd w:fill="CCEEFF" w:val="clear"/>
            <w:vAlign w:val="bottom"/>
          </w:tcPr>
          <w:p>
            <w:pPr>
              <w:pStyle w:val="TableContents"/>
              <w:spacing w:before="0" w:after="283"/>
              <w:jc w:val="right"/>
              <w:rPr/>
            </w:pPr>
            <w:r>
              <w:rPr/>
              <w:t>181,083</w:t>
            </w:r>
          </w:p>
        </w:tc>
        <w:tc>
          <w:tcPr>
            <w:tcW w:w="132" w:type="dxa"/>
            <w:tcBorders/>
            <w:shd w:fill="CCEEFF" w:val="clear"/>
            <w:vAlign w:val="bottom"/>
          </w:tcPr>
          <w:p>
            <w:pPr>
              <w:pStyle w:val="TableContents"/>
              <w:spacing w:before="0" w:after="283"/>
              <w:rPr/>
            </w:pPr>
            <w:r>
              <w:rPr/>
              <w:t> </w:t>
            </w:r>
          </w:p>
        </w:tc>
        <w:tc>
          <w:tcPr>
            <w:tcW w:w="351"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jc w:val="left"/>
              <w:rPr/>
            </w:pPr>
            <w:r>
              <w:rPr/>
              <w:t>$</w:t>
            </w:r>
          </w:p>
        </w:tc>
        <w:tc>
          <w:tcPr>
            <w:tcW w:w="1190" w:type="dxa"/>
            <w:tcBorders/>
            <w:shd w:fill="CCEEFF" w:val="clear"/>
            <w:vAlign w:val="bottom"/>
          </w:tcPr>
          <w:p>
            <w:pPr>
              <w:pStyle w:val="TableContents"/>
              <w:spacing w:before="0" w:after="283"/>
              <w:jc w:val="right"/>
              <w:rPr/>
            </w:pPr>
            <w:r>
              <w:rPr/>
              <w:t>197,858</w:t>
            </w:r>
          </w:p>
        </w:tc>
        <w:tc>
          <w:tcPr>
            <w:tcW w:w="143" w:type="dxa"/>
            <w:tcBorders/>
            <w:shd w:fill="CCEEFF" w:val="clear"/>
            <w:vAlign w:val="bottom"/>
          </w:tcPr>
          <w:p>
            <w:pPr>
              <w:pStyle w:val="TableContents"/>
              <w:spacing w:before="0" w:after="283"/>
              <w:rPr/>
            </w:pPr>
            <w:r>
              <w:rPr/>
              <w:t> </w:t>
            </w:r>
          </w:p>
        </w:tc>
      </w:tr>
      <w:tr>
        <w:trPr/>
        <w:tc>
          <w:tcPr>
            <w:tcW w:w="4842" w:type="dxa"/>
            <w:tcBorders/>
            <w:shd w:fill="auto" w:val="clear"/>
            <w:vAlign w:val="center"/>
          </w:tcPr>
          <w:p>
            <w:pPr>
              <w:pStyle w:val="TableContents"/>
              <w:spacing w:before="0" w:after="0"/>
              <w:ind w:left="225" w:right="0" w:hanging="225"/>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2" w:type="dxa"/>
            <w:tcBorders/>
            <w:shd w:fill="auto" w:val="clear"/>
            <w:vAlign w:val="center"/>
          </w:tcPr>
          <w:p>
            <w:pPr>
              <w:pStyle w:val="TableContents"/>
              <w:spacing w:before="0" w:after="283"/>
              <w:rPr/>
            </w:pPr>
            <w:r>
              <w:rPr/>
              <w:t> </w:t>
            </w:r>
          </w:p>
        </w:tc>
        <w:tc>
          <w:tcPr>
            <w:tcW w:w="351" w:type="dxa"/>
            <w:tcBorders/>
            <w:shd w:fill="auto" w:val="clear"/>
            <w:vAlign w:val="center"/>
          </w:tcPr>
          <w:p>
            <w:pPr>
              <w:pStyle w:val="TableContents"/>
              <w:spacing w:before="0" w:after="283"/>
              <w:rPr/>
            </w:pPr>
            <w:r>
              <w:rPr/>
              <w:t> </w:t>
            </w:r>
          </w:p>
        </w:tc>
        <w:tc>
          <w:tcPr>
            <w:tcW w:w="140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3"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6" w:name="303"/>
      <w:bookmarkEnd w:id="6"/>
      <w:r>
        <w:rPr>
          <w:rFonts w:ascii="Times New Roman;Times;serif" w:hAnsi="Times New Roman;Times;serif"/>
          <w:sz w:val="17"/>
        </w:rPr>
        <w:t xml:space="preserve">Condensed Consolidated Statements of Operations (Unaudited) </w:t>
      </w:r>
    </w:p>
    <w:tbl>
      <w:tblPr>
        <w:tblW w:w="5000" w:type="pct"/>
        <w:jc w:val="center"/>
        <w:tblInd w:w="0" w:type="dxa"/>
        <w:tblCellMar>
          <w:top w:w="0" w:type="dxa"/>
          <w:left w:w="0" w:type="dxa"/>
          <w:bottom w:w="0" w:type="dxa"/>
          <w:right w:w="0" w:type="dxa"/>
        </w:tblCellMar>
      </w:tblPr>
      <w:tblGrid>
        <w:gridCol w:w="4336"/>
        <w:gridCol w:w="383"/>
        <w:gridCol w:w="160"/>
        <w:gridCol w:w="791"/>
        <w:gridCol w:w="131"/>
        <w:gridCol w:w="387"/>
        <w:gridCol w:w="160"/>
        <w:gridCol w:w="792"/>
        <w:gridCol w:w="124"/>
        <w:gridCol w:w="383"/>
        <w:gridCol w:w="150"/>
        <w:gridCol w:w="809"/>
        <w:gridCol w:w="124"/>
        <w:gridCol w:w="383"/>
        <w:gridCol w:w="150"/>
        <w:gridCol w:w="809"/>
        <w:gridCol w:w="133"/>
      </w:tblGrid>
      <w:tr>
        <w:trPr/>
        <w:tc>
          <w:tcPr>
            <w:tcW w:w="4336"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421" w:type="dxa"/>
            <w:gridSpan w:val="6"/>
            <w:tcBorders/>
            <w:shd w:fill="auto" w:val="clear"/>
            <w:vAlign w:val="bottom"/>
          </w:tcPr>
          <w:p>
            <w:pPr>
              <w:pStyle w:val="TableContents"/>
              <w:spacing w:before="0" w:after="283"/>
              <w:jc w:val="center"/>
              <w:rPr/>
            </w:pPr>
            <w:r>
              <w:rPr/>
              <w:t>Three Months Ended</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425" w:type="dxa"/>
            <w:gridSpan w:val="6"/>
            <w:tcBorders/>
            <w:shd w:fill="auto" w:val="clear"/>
            <w:vAlign w:val="bottom"/>
          </w:tcPr>
          <w:p>
            <w:pPr>
              <w:pStyle w:val="TableContents"/>
              <w:spacing w:before="0" w:after="283"/>
              <w:jc w:val="center"/>
              <w:rPr/>
            </w:pPr>
            <w:r>
              <w:rPr/>
              <w:t>Nine Months Ended</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2421"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83" w:type="dxa"/>
            <w:tcBorders>
              <w:bottom w:val="single" w:sz="2" w:space="0" w:color="000000"/>
            </w:tcBorders>
            <w:shd w:fill="auto" w:val="clear"/>
            <w:tcMar>
              <w:bottom w:w="28" w:type="dxa"/>
            </w:tcMar>
            <w:vAlign w:val="bottom"/>
          </w:tcPr>
          <w:p>
            <w:pPr>
              <w:pStyle w:val="TableContents"/>
              <w:spacing w:before="0" w:after="283"/>
              <w:rPr/>
            </w:pPr>
            <w:r>
              <w:rPr/>
              <w:t> </w:t>
            </w:r>
          </w:p>
        </w:tc>
        <w:tc>
          <w:tcPr>
            <w:tcW w:w="2425"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951"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31" w:type="dxa"/>
            <w:tcBorders>
              <w:bottom w:val="single" w:sz="2" w:space="0" w:color="000000"/>
            </w:tcBorders>
            <w:shd w:fill="auto" w:val="clear"/>
            <w:tcMar>
              <w:bottom w:w="28" w:type="dxa"/>
            </w:tcMar>
            <w:vAlign w:val="bottom"/>
          </w:tcPr>
          <w:p>
            <w:pPr>
              <w:pStyle w:val="TableContents"/>
              <w:spacing w:before="0" w:after="283"/>
              <w:rPr/>
            </w:pPr>
            <w:r>
              <w:rPr/>
              <w:t> </w:t>
            </w:r>
          </w:p>
        </w:tc>
        <w:tc>
          <w:tcPr>
            <w:tcW w:w="387" w:type="dxa"/>
            <w:tcBorders>
              <w:bottom w:val="single" w:sz="2" w:space="0" w:color="000000"/>
            </w:tcBorders>
            <w:shd w:fill="auto" w:val="clear"/>
            <w:tcMar>
              <w:bottom w:w="28" w:type="dxa"/>
            </w:tcMar>
            <w:vAlign w:val="bottom"/>
          </w:tcPr>
          <w:p>
            <w:pPr>
              <w:pStyle w:val="TableContents"/>
              <w:spacing w:before="0" w:after="283"/>
              <w:rPr/>
            </w:pPr>
            <w:r>
              <w:rPr/>
              <w:t> </w:t>
            </w:r>
          </w:p>
        </w:tc>
        <w:tc>
          <w:tcPr>
            <w:tcW w:w="952"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83" w:type="dxa"/>
            <w:tcBorders>
              <w:bottom w:val="single" w:sz="2" w:space="0" w:color="000000"/>
            </w:tcBorders>
            <w:shd w:fill="auto" w:val="clear"/>
            <w:tcMar>
              <w:bottom w:w="28" w:type="dxa"/>
            </w:tcM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24" w:type="dxa"/>
            <w:tcBorders>
              <w:bottom w:val="single" w:sz="2" w:space="0" w:color="000000"/>
            </w:tcBorders>
            <w:shd w:fill="auto" w:val="clear"/>
            <w:tcMar>
              <w:bottom w:w="28" w:type="dxa"/>
            </w:tcMar>
            <w:vAlign w:val="bottom"/>
          </w:tcPr>
          <w:p>
            <w:pPr>
              <w:pStyle w:val="TableContents"/>
              <w:spacing w:before="0" w:after="283"/>
              <w:rPr/>
            </w:pPr>
            <w:r>
              <w:rPr/>
              <w:t> </w:t>
            </w:r>
          </w:p>
        </w:tc>
        <w:tc>
          <w:tcPr>
            <w:tcW w:w="383" w:type="dxa"/>
            <w:tcBorders>
              <w:bottom w:val="single" w:sz="2" w:space="0" w:color="000000"/>
            </w:tcBorders>
            <w:shd w:fill="auto" w:val="clear"/>
            <w:tcMar>
              <w:bottom w:w="28" w:type="dxa"/>
            </w:tcMar>
            <w:vAlign w:val="bottom"/>
          </w:tcPr>
          <w:p>
            <w:pPr>
              <w:pStyle w:val="TableContents"/>
              <w:spacing w:before="0" w:after="283"/>
              <w:rPr/>
            </w:pPr>
            <w:r>
              <w:rPr/>
              <w:t> </w:t>
            </w:r>
          </w:p>
        </w:tc>
        <w:tc>
          <w:tcPr>
            <w:tcW w:w="959"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5353" w:type="dxa"/>
            <w:gridSpan w:val="14"/>
            <w:tcBorders/>
            <w:shd w:fill="auto" w:val="clear"/>
            <w:vAlign w:val="bottom"/>
          </w:tcPr>
          <w:p>
            <w:pPr>
              <w:pStyle w:val="TableContents"/>
              <w:spacing w:before="0" w:after="283"/>
              <w:jc w:val="center"/>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5353" w:type="dxa"/>
            <w:gridSpan w:val="14"/>
            <w:tcBorders/>
            <w:shd w:fill="auto" w:val="clear"/>
            <w:vAlign w:val="bottom"/>
          </w:tcPr>
          <w:p>
            <w:pPr>
              <w:pStyle w:val="TableContents"/>
              <w:spacing w:before="0" w:after="283"/>
              <w:jc w:val="center"/>
              <w:rPr>
                <w:i/>
              </w:rPr>
            </w:pPr>
            <w:r>
              <w:rPr>
                <w:i/>
              </w:rPr>
              <w:t>(In thousands, except per share amounts)</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225" w:right="0" w:hanging="225"/>
              <w:rPr/>
            </w:pPr>
            <w:r>
              <w:rPr/>
              <w:t>Revenues:</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675" w:right="0" w:hanging="225"/>
              <w:rPr/>
            </w:pPr>
            <w:r>
              <w:rPr/>
              <w:t>Sales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1" w:type="dxa"/>
            <w:tcBorders/>
            <w:shd w:fill="auto" w:val="clear"/>
            <w:vAlign w:val="bottom"/>
          </w:tcPr>
          <w:p>
            <w:pPr>
              <w:pStyle w:val="TableContents"/>
              <w:spacing w:before="0" w:after="283"/>
              <w:jc w:val="right"/>
              <w:rPr/>
            </w:pPr>
            <w:r>
              <w:rPr/>
              <w:t>42,676</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2" w:type="dxa"/>
            <w:tcBorders/>
            <w:shd w:fill="auto" w:val="clear"/>
            <w:vAlign w:val="bottom"/>
          </w:tcPr>
          <w:p>
            <w:pPr>
              <w:pStyle w:val="TableContents"/>
              <w:spacing w:before="0" w:after="283"/>
              <w:jc w:val="right"/>
              <w:rPr/>
            </w:pPr>
            <w:r>
              <w:rPr/>
              <w:t>40,640</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141,688</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130,598</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675" w:right="0" w:hanging="225"/>
              <w:rPr/>
            </w:pPr>
            <w:r>
              <w:rPr/>
              <w:t>Pawn service charges</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16,978</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15,021</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51,496</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46,988</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675" w:right="0" w:hanging="225"/>
              <w:rPr/>
            </w:pPr>
            <w:r>
              <w:rPr/>
              <w:t>Signature loan fees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27,024</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17,821</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74,132</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49,949</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675" w:right="0" w:hanging="225"/>
              <w:rPr/>
            </w:pPr>
            <w:r>
              <w:rPr/>
              <w:t>Other</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315</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304</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1,007</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962</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900" w:right="0" w:hanging="225"/>
              <w:rPr/>
            </w:pPr>
            <w:r>
              <w:rPr/>
              <w:t>Total revenues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86,993</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73,786</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268,323</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228,497</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225" w:right="0" w:hanging="225"/>
              <w:rPr/>
            </w:pPr>
            <w:r>
              <w:rPr/>
              <w:t>Cost of goods sold</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25,421</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23,698</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85,618</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77,696</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900" w:right="0" w:hanging="225"/>
              <w:rPr/>
            </w:pPr>
            <w:r>
              <w:rPr/>
              <w:t>Net revenues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61,572</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50,088</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182,705</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150,801</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225" w:right="0" w:hanging="225"/>
              <w:rPr/>
            </w:pPr>
            <w:r>
              <w:rPr/>
              <w:t>Operating expenses:</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675" w:right="0" w:hanging="225"/>
              <w:rPr/>
            </w:pPr>
            <w:r>
              <w:rPr/>
              <w:t>Operations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31,595</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27,544</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94,087</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82,095</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675" w:right="0" w:hanging="225"/>
              <w:rPr/>
            </w:pPr>
            <w:r>
              <w:rPr/>
              <w:t>Signature loan bad debt</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10,142</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5,531</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19,086</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12,062</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675" w:right="0" w:hanging="225"/>
              <w:rPr/>
            </w:pPr>
            <w:r>
              <w:rPr/>
              <w:t>Administrative</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8,033</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6,830</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23,528</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20,347</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675" w:right="0" w:hanging="225"/>
              <w:rPr/>
            </w:pPr>
            <w:r>
              <w:rPr/>
              <w:t>Depreciation and amortization</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2,495</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2,143</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7,194</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6,402</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900" w:right="0" w:hanging="225"/>
              <w:rPr/>
            </w:pPr>
            <w:r>
              <w:rPr/>
              <w:t>Total operating expenses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52,265</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42,048</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143,895</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120,906</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225" w:right="0" w:hanging="225"/>
              <w:rPr/>
            </w:pPr>
            <w:r>
              <w:rPr/>
              <w:t>Operating income</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9,307</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8,040</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38,810</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29,895</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Interest income</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(618</w:t>
            </w:r>
          </w:p>
        </w:tc>
        <w:tc>
          <w:tcPr>
            <w:tcW w:w="131"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2" w:type="dxa"/>
            <w:tcBorders/>
            <w:shd w:fill="auto" w:val="clear"/>
            <w:vAlign w:val="bottom"/>
          </w:tcPr>
          <w:p>
            <w:pPr>
              <w:pStyle w:val="TableContents"/>
              <w:spacing w:before="0" w:after="283"/>
              <w:jc w:val="right"/>
              <w:rPr/>
            </w:pPr>
            <w:r>
              <w:rPr/>
              <w:t>(193</w:t>
            </w:r>
          </w:p>
        </w:tc>
        <w:tc>
          <w:tcPr>
            <w:tcW w:w="124"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(1,499</w:t>
            </w:r>
          </w:p>
        </w:tc>
        <w:tc>
          <w:tcPr>
            <w:tcW w:w="124"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(283</w:t>
            </w:r>
          </w:p>
        </w:tc>
        <w:tc>
          <w:tcPr>
            <w:tcW w:w="133" w:type="dxa"/>
            <w:tcBorders/>
            <w:shd w:fill="auto" w:val="clear"/>
            <w:vAlign w:val="bottom"/>
          </w:tcPr>
          <w:p>
            <w:pPr>
              <w:pStyle w:val="TableContents"/>
              <w:spacing w:before="0" w:after="283"/>
              <w:rPr/>
            </w:pPr>
            <w:r>
              <w:rPr/>
              <w:t>)</w:t>
            </w:r>
          </w:p>
        </w:tc>
      </w:tr>
      <w:tr>
        <w:trPr/>
        <w:tc>
          <w:tcPr>
            <w:tcW w:w="4336" w:type="dxa"/>
            <w:tcBorders/>
            <w:shd w:fill="CCEEFF" w:val="clear"/>
            <w:vAlign w:val="bottom"/>
          </w:tcPr>
          <w:p>
            <w:pPr>
              <w:pStyle w:val="TableContents"/>
              <w:spacing w:before="0" w:after="0"/>
              <w:ind w:left="225" w:right="0" w:hanging="225"/>
              <w:rPr/>
            </w:pPr>
            <w:r>
              <w:rPr/>
              <w:t>Interest expense</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67</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43</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214</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396</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Equity in net income of unconsolidated affiliate</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1" w:type="dxa"/>
            <w:tcBorders/>
            <w:shd w:fill="auto" w:val="clear"/>
            <w:vAlign w:val="bottom"/>
          </w:tcPr>
          <w:p>
            <w:pPr>
              <w:pStyle w:val="TableContents"/>
              <w:spacing w:before="0" w:after="283"/>
              <w:jc w:val="right"/>
              <w:rPr/>
            </w:pPr>
            <w:r>
              <w:rPr/>
              <w:t>(720</w:t>
            </w:r>
          </w:p>
        </w:tc>
        <w:tc>
          <w:tcPr>
            <w:tcW w:w="131" w:type="dxa"/>
            <w:tcBorders/>
            <w:shd w:fill="auto" w:val="clear"/>
            <w:vAlign w:val="bottom"/>
          </w:tcPr>
          <w:p>
            <w:pPr>
              <w:pStyle w:val="TableContents"/>
              <w:spacing w:before="0" w:after="283"/>
              <w:rPr/>
            </w:pPr>
            <w:r>
              <w:rPr/>
              <w:t>)</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 </w:t>
            </w:r>
          </w:p>
        </w:tc>
        <w:tc>
          <w:tcPr>
            <w:tcW w:w="792" w:type="dxa"/>
            <w:tcBorders/>
            <w:shd w:fill="auto" w:val="clear"/>
            <w:vAlign w:val="bottom"/>
          </w:tcPr>
          <w:p>
            <w:pPr>
              <w:pStyle w:val="TableContents"/>
              <w:spacing w:before="0" w:after="283"/>
              <w:jc w:val="right"/>
              <w:rPr/>
            </w:pPr>
            <w:r>
              <w:rPr/>
              <w:t>(557</w:t>
            </w:r>
          </w:p>
        </w:tc>
        <w:tc>
          <w:tcPr>
            <w:tcW w:w="124"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(2,185</w:t>
            </w:r>
          </w:p>
        </w:tc>
        <w:tc>
          <w:tcPr>
            <w:tcW w:w="124" w:type="dxa"/>
            <w:tcBorders/>
            <w:shd w:fill="auto" w:val="clear"/>
            <w:vAlign w:val="bottom"/>
          </w:tcPr>
          <w:p>
            <w:pPr>
              <w:pStyle w:val="TableContents"/>
              <w:spacing w:before="0" w:after="283"/>
              <w:rPr/>
            </w:pPr>
            <w:r>
              <w:rPr/>
              <w:t>)</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 </w:t>
            </w:r>
          </w:p>
        </w:tc>
        <w:tc>
          <w:tcPr>
            <w:tcW w:w="809" w:type="dxa"/>
            <w:tcBorders/>
            <w:shd w:fill="auto" w:val="clear"/>
            <w:vAlign w:val="bottom"/>
          </w:tcPr>
          <w:p>
            <w:pPr>
              <w:pStyle w:val="TableContents"/>
              <w:spacing w:before="0" w:after="283"/>
              <w:jc w:val="right"/>
              <w:rPr/>
            </w:pPr>
            <w:r>
              <w:rPr/>
              <w:t>(1,745</w:t>
            </w:r>
          </w:p>
        </w:tc>
        <w:tc>
          <w:tcPr>
            <w:tcW w:w="133" w:type="dxa"/>
            <w:tcBorders/>
            <w:shd w:fill="auto" w:val="clear"/>
            <w:vAlign w:val="bottom"/>
          </w:tcPr>
          <w:p>
            <w:pPr>
              <w:pStyle w:val="TableContents"/>
              <w:spacing w:before="0" w:after="283"/>
              <w:rPr/>
            </w:pPr>
            <w:r>
              <w:rPr/>
              <w:t>)</w:t>
            </w:r>
          </w:p>
        </w:tc>
      </w:tr>
      <w:tr>
        <w:trPr/>
        <w:tc>
          <w:tcPr>
            <w:tcW w:w="4336" w:type="dxa"/>
            <w:tcBorders/>
            <w:shd w:fill="CCEEFF" w:val="clear"/>
            <w:vAlign w:val="bottom"/>
          </w:tcPr>
          <w:p>
            <w:pPr>
              <w:pStyle w:val="TableContents"/>
              <w:spacing w:before="0" w:after="0"/>
              <w:ind w:left="225" w:right="0" w:hanging="225"/>
              <w:rPr/>
            </w:pPr>
            <w:r>
              <w:rPr/>
              <w:t>Gain on sale / disposal of assets</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1" w:type="dxa"/>
            <w:tcBorders/>
            <w:shd w:fill="CCEEFF" w:val="clear"/>
            <w:vAlign w:val="bottom"/>
          </w:tcPr>
          <w:p>
            <w:pPr>
              <w:pStyle w:val="TableContents"/>
              <w:spacing w:before="0" w:after="283"/>
              <w:jc w:val="right"/>
              <w:rPr/>
            </w:pPr>
            <w:r>
              <w:rPr/>
              <w:t>(155</w:t>
            </w:r>
          </w:p>
        </w:tc>
        <w:tc>
          <w:tcPr>
            <w:tcW w:w="131" w:type="dxa"/>
            <w:tcBorders/>
            <w:shd w:fill="CCEEFF" w:val="clear"/>
            <w:vAlign w:val="bottom"/>
          </w:tcPr>
          <w:p>
            <w:pPr>
              <w:pStyle w:val="TableContents"/>
              <w:spacing w:before="0" w:after="283"/>
              <w:rPr/>
            </w:pPr>
            <w:r>
              <w:rPr/>
              <w:t>)</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 </w:t>
            </w:r>
          </w:p>
        </w:tc>
        <w:tc>
          <w:tcPr>
            <w:tcW w:w="792" w:type="dxa"/>
            <w:tcBorders/>
            <w:shd w:fill="CCEEFF" w:val="clear"/>
            <w:vAlign w:val="bottom"/>
          </w:tcPr>
          <w:p>
            <w:pPr>
              <w:pStyle w:val="TableContents"/>
              <w:spacing w:before="0" w:after="283"/>
              <w:jc w:val="right"/>
              <w:rPr/>
            </w:pPr>
            <w:r>
              <w:rPr/>
              <w:t>(70</w:t>
            </w:r>
          </w:p>
        </w:tc>
        <w:tc>
          <w:tcPr>
            <w:tcW w:w="124" w:type="dxa"/>
            <w:tcBorders/>
            <w:shd w:fill="CCEEFF" w:val="clear"/>
            <w:vAlign w:val="bottom"/>
          </w:tcPr>
          <w:p>
            <w:pPr>
              <w:pStyle w:val="TableContents"/>
              <w:spacing w:before="0" w:after="283"/>
              <w:rPr/>
            </w:pPr>
            <w:r>
              <w:rPr/>
              <w:t>)</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(131</w:t>
            </w:r>
          </w:p>
        </w:tc>
        <w:tc>
          <w:tcPr>
            <w:tcW w:w="124" w:type="dxa"/>
            <w:tcBorders/>
            <w:shd w:fill="CCEEFF" w:val="clear"/>
            <w:vAlign w:val="bottom"/>
          </w:tcPr>
          <w:p>
            <w:pPr>
              <w:pStyle w:val="TableContents"/>
              <w:spacing w:before="0" w:after="283"/>
              <w:rPr/>
            </w:pPr>
            <w:r>
              <w:rPr/>
              <w:t>)</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(62</w:t>
            </w:r>
          </w:p>
        </w:tc>
        <w:tc>
          <w:tcPr>
            <w:tcW w:w="133" w:type="dxa"/>
            <w:tcBorders/>
            <w:shd w:fill="CCEEFF" w:val="clear"/>
            <w:vAlign w:val="bottom"/>
          </w:tcPr>
          <w:p>
            <w:pPr>
              <w:pStyle w:val="TableContents"/>
              <w:spacing w:before="0" w:after="283"/>
              <w:rPr/>
            </w:pPr>
            <w:r>
              <w:rPr/>
              <w:t>)</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Income before income taxes</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10,733</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8,817</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42,411</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31,589</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225" w:right="0" w:hanging="225"/>
              <w:rPr/>
            </w:pPr>
            <w:r>
              <w:rPr/>
              <w:t>Income tax expense</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3,971</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3,209</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15,692</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11,498</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Net income</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1" w:type="dxa"/>
            <w:tcBorders/>
            <w:shd w:fill="auto" w:val="clear"/>
            <w:vAlign w:val="bottom"/>
          </w:tcPr>
          <w:p>
            <w:pPr>
              <w:pStyle w:val="TableContents"/>
              <w:spacing w:before="0" w:after="283"/>
              <w:jc w:val="right"/>
              <w:rPr/>
            </w:pPr>
            <w:r>
              <w:rPr/>
              <w:t>6,762</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2" w:type="dxa"/>
            <w:tcBorders/>
            <w:shd w:fill="auto" w:val="clear"/>
            <w:vAlign w:val="bottom"/>
          </w:tcPr>
          <w:p>
            <w:pPr>
              <w:pStyle w:val="TableContents"/>
              <w:spacing w:before="0" w:after="283"/>
              <w:jc w:val="right"/>
              <w:rPr/>
            </w:pPr>
            <w:r>
              <w:rPr/>
              <w:t>5,608</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26,719</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20,091</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225" w:right="0" w:hanging="225"/>
              <w:rPr/>
            </w:pPr>
            <w:r>
              <w:rPr/>
              <w:t>Net income per common share:</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450" w:right="0" w:hanging="225"/>
              <w:rPr/>
            </w:pPr>
            <w:r>
              <w:rPr/>
              <w:t>Basic</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1" w:type="dxa"/>
            <w:tcBorders/>
            <w:shd w:fill="auto" w:val="clear"/>
            <w:vAlign w:val="bottom"/>
          </w:tcPr>
          <w:p>
            <w:pPr>
              <w:pStyle w:val="TableContents"/>
              <w:spacing w:before="0" w:after="283"/>
              <w:jc w:val="right"/>
              <w:rPr/>
            </w:pPr>
            <w:r>
              <w:rPr/>
              <w:t>0.16</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jc w:val="left"/>
              <w:rPr/>
            </w:pPr>
            <w:r>
              <w:rPr/>
              <w:t>$</w:t>
            </w:r>
          </w:p>
        </w:tc>
        <w:tc>
          <w:tcPr>
            <w:tcW w:w="792" w:type="dxa"/>
            <w:tcBorders/>
            <w:shd w:fill="auto" w:val="clear"/>
            <w:vAlign w:val="bottom"/>
          </w:tcPr>
          <w:p>
            <w:pPr>
              <w:pStyle w:val="TableContents"/>
              <w:spacing w:before="0" w:after="283"/>
              <w:jc w:val="right"/>
              <w:rPr/>
            </w:pPr>
            <w:r>
              <w:rPr/>
              <w:t>0.14</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0.65</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jc w:val="left"/>
              <w:rPr/>
            </w:pPr>
            <w:r>
              <w:rPr/>
              <w:t>$</w:t>
            </w:r>
          </w:p>
        </w:tc>
        <w:tc>
          <w:tcPr>
            <w:tcW w:w="809" w:type="dxa"/>
            <w:tcBorders/>
            <w:shd w:fill="auto" w:val="clear"/>
            <w:vAlign w:val="bottom"/>
          </w:tcPr>
          <w:p>
            <w:pPr>
              <w:pStyle w:val="TableContents"/>
              <w:spacing w:before="0" w:after="283"/>
              <w:jc w:val="right"/>
              <w:rPr/>
            </w:pPr>
            <w:r>
              <w:rPr/>
              <w:t>0.51</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450" w:right="0" w:hanging="225"/>
              <w:rPr/>
            </w:pPr>
            <w:r>
              <w:rPr/>
              <w:t>Diluted</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91" w:type="dxa"/>
            <w:tcBorders/>
            <w:shd w:fill="CCEEFF" w:val="clear"/>
            <w:vAlign w:val="bottom"/>
          </w:tcPr>
          <w:p>
            <w:pPr>
              <w:pStyle w:val="TableContents"/>
              <w:spacing w:before="0" w:after="283"/>
              <w:jc w:val="right"/>
              <w:rPr/>
            </w:pPr>
            <w:r>
              <w:rPr/>
              <w:t>0.16</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jc w:val="left"/>
              <w:rPr/>
            </w:pPr>
            <w:r>
              <w:rPr/>
              <w:t>$</w:t>
            </w:r>
          </w:p>
        </w:tc>
        <w:tc>
          <w:tcPr>
            <w:tcW w:w="792" w:type="dxa"/>
            <w:tcBorders/>
            <w:shd w:fill="CCEEFF" w:val="clear"/>
            <w:vAlign w:val="bottom"/>
          </w:tcPr>
          <w:p>
            <w:pPr>
              <w:pStyle w:val="TableContents"/>
              <w:spacing w:before="0" w:after="283"/>
              <w:jc w:val="right"/>
              <w:rPr/>
            </w:pPr>
            <w:r>
              <w:rPr/>
              <w:t>0.13</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0.62</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jc w:val="left"/>
              <w:rPr/>
            </w:pPr>
            <w:r>
              <w:rPr/>
              <w:t>$</w:t>
            </w:r>
          </w:p>
        </w:tc>
        <w:tc>
          <w:tcPr>
            <w:tcW w:w="809" w:type="dxa"/>
            <w:tcBorders/>
            <w:shd w:fill="CCEEFF" w:val="clear"/>
            <w:vAlign w:val="bottom"/>
          </w:tcPr>
          <w:p>
            <w:pPr>
              <w:pStyle w:val="TableContents"/>
              <w:spacing w:before="0" w:after="283"/>
              <w:jc w:val="right"/>
              <w:rPr/>
            </w:pPr>
            <w:r>
              <w:rPr/>
              <w:t>0.48</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center"/>
          </w:tcPr>
          <w:p>
            <w:pPr>
              <w:pStyle w:val="TableContents"/>
              <w:spacing w:before="0" w:after="0"/>
              <w:ind w:left="225" w:right="0" w:hanging="225"/>
              <w:rPr/>
            </w:pPr>
            <w:r>
              <w:rPr/>
              <w:t> </w:t>
            </w:r>
          </w:p>
        </w:tc>
        <w:tc>
          <w:tcPr>
            <w:tcW w:w="383" w:type="dxa"/>
            <w:tcBorders/>
            <w:shd w:fill="auto" w:val="clear"/>
            <w:vAlign w:val="center"/>
          </w:tcPr>
          <w:p>
            <w:pPr>
              <w:pStyle w:val="TableContents"/>
              <w:spacing w:before="0" w:after="283"/>
              <w:rPr/>
            </w:pPr>
            <w:r>
              <w:rPr/>
              <w:t> </w:t>
            </w:r>
          </w:p>
        </w:tc>
        <w:tc>
          <w:tcPr>
            <w:tcW w:w="95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c>
          <w:tcPr>
            <w:tcW w:w="387" w:type="dxa"/>
            <w:tcBorders/>
            <w:shd w:fill="auto" w:val="clear"/>
            <w:vAlign w:val="center"/>
          </w:tcPr>
          <w:p>
            <w:pPr>
              <w:pStyle w:val="TableContents"/>
              <w:spacing w:before="0" w:after="283"/>
              <w:rPr/>
            </w:pPr>
            <w:r>
              <w:rPr/>
              <w:t> </w:t>
            </w:r>
          </w:p>
        </w:tc>
        <w:tc>
          <w:tcPr>
            <w:tcW w:w="9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83" w:type="dxa"/>
            <w:tcBorders/>
            <w:shd w:fill="auto" w:val="clear"/>
            <w:vAlign w:val="center"/>
          </w:tcPr>
          <w:p>
            <w:pPr>
              <w:pStyle w:val="TableContents"/>
              <w:spacing w:before="0" w:after="283"/>
              <w:rPr/>
            </w:pPr>
            <w:r>
              <w:rPr/>
              <w:t> </w:t>
            </w:r>
          </w:p>
        </w:tc>
        <w:tc>
          <w:tcPr>
            <w:tcW w:w="9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 </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225" w:right="0" w:hanging="225"/>
              <w:rPr/>
            </w:pPr>
            <w:r>
              <w:rPr/>
              <w:t>Weighted average shares outstanding:</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36" w:type="dxa"/>
            <w:tcBorders/>
            <w:shd w:fill="CCEEFF" w:val="clear"/>
            <w:vAlign w:val="bottom"/>
          </w:tcPr>
          <w:p>
            <w:pPr>
              <w:pStyle w:val="TableContents"/>
              <w:spacing w:before="0" w:after="0"/>
              <w:ind w:left="675" w:right="0" w:hanging="225"/>
              <w:rPr/>
            </w:pPr>
            <w:r>
              <w:rPr/>
              <w:t>Basic</w:t>
            </w:r>
          </w:p>
        </w:tc>
        <w:tc>
          <w:tcPr>
            <w:tcW w:w="383"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1" w:type="dxa"/>
            <w:tcBorders/>
            <w:shd w:fill="CCEEFF" w:val="clear"/>
            <w:vAlign w:val="bottom"/>
          </w:tcPr>
          <w:p>
            <w:pPr>
              <w:pStyle w:val="TableContents"/>
              <w:spacing w:before="0" w:after="283"/>
              <w:jc w:val="right"/>
              <w:rPr/>
            </w:pPr>
            <w:r>
              <w:rPr/>
              <w:t>41,282</w:t>
            </w:r>
          </w:p>
        </w:tc>
        <w:tc>
          <w:tcPr>
            <w:tcW w:w="131" w:type="dxa"/>
            <w:tcBorders/>
            <w:shd w:fill="CCEEFF" w:val="clear"/>
            <w:vAlign w:val="bottom"/>
          </w:tcPr>
          <w:p>
            <w:pPr>
              <w:pStyle w:val="TableContents"/>
              <w:spacing w:before="0" w:after="283"/>
              <w:rPr/>
            </w:pPr>
            <w:r>
              <w:rPr/>
              <w:t> </w:t>
            </w:r>
          </w:p>
        </w:tc>
        <w:tc>
          <w:tcPr>
            <w:tcW w:w="387"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792" w:type="dxa"/>
            <w:tcBorders/>
            <w:shd w:fill="CCEEFF" w:val="clear"/>
            <w:vAlign w:val="bottom"/>
          </w:tcPr>
          <w:p>
            <w:pPr>
              <w:pStyle w:val="TableContents"/>
              <w:spacing w:before="0" w:after="283"/>
              <w:jc w:val="right"/>
              <w:rPr/>
            </w:pPr>
            <w:r>
              <w:rPr/>
              <w:t>39,657</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40,943</w:t>
            </w:r>
          </w:p>
        </w:tc>
        <w:tc>
          <w:tcPr>
            <w:tcW w:w="124"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809" w:type="dxa"/>
            <w:tcBorders/>
            <w:shd w:fill="CCEEFF" w:val="clear"/>
            <w:vAlign w:val="bottom"/>
          </w:tcPr>
          <w:p>
            <w:pPr>
              <w:pStyle w:val="TableContents"/>
              <w:spacing w:before="0" w:after="283"/>
              <w:jc w:val="right"/>
              <w:rPr/>
            </w:pPr>
            <w:r>
              <w:rPr/>
              <w:t>39,174</w:t>
            </w:r>
          </w:p>
        </w:tc>
        <w:tc>
          <w:tcPr>
            <w:tcW w:w="133" w:type="dxa"/>
            <w:tcBorders/>
            <w:shd w:fill="CCEEFF" w:val="clear"/>
            <w:vAlign w:val="bottom"/>
          </w:tcPr>
          <w:p>
            <w:pPr>
              <w:pStyle w:val="TableContents"/>
              <w:spacing w:before="0" w:after="283"/>
              <w:rPr/>
            </w:pPr>
            <w:r>
              <w:rPr/>
              <w:t> </w:t>
            </w:r>
          </w:p>
        </w:tc>
      </w:tr>
      <w:tr>
        <w:trPr/>
        <w:tc>
          <w:tcPr>
            <w:tcW w:w="4336" w:type="dxa"/>
            <w:tcBorders/>
            <w:shd w:fill="auto" w:val="clear"/>
            <w:vAlign w:val="bottom"/>
          </w:tcPr>
          <w:p>
            <w:pPr>
              <w:pStyle w:val="TableContents"/>
              <w:spacing w:before="0" w:after="0"/>
              <w:ind w:left="675" w:right="0" w:hanging="225"/>
              <w:rPr/>
            </w:pPr>
            <w:r>
              <w:rPr/>
              <w:t>Diluted</w:t>
            </w:r>
          </w:p>
        </w:tc>
        <w:tc>
          <w:tcPr>
            <w:tcW w:w="383"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1" w:type="dxa"/>
            <w:tcBorders/>
            <w:shd w:fill="auto" w:val="clear"/>
            <w:vAlign w:val="bottom"/>
          </w:tcPr>
          <w:p>
            <w:pPr>
              <w:pStyle w:val="TableContents"/>
              <w:spacing w:before="0" w:after="283"/>
              <w:jc w:val="right"/>
              <w:rPr/>
            </w:pPr>
            <w:r>
              <w:rPr/>
              <w:t>43,482</w:t>
            </w:r>
          </w:p>
        </w:tc>
        <w:tc>
          <w:tcPr>
            <w:tcW w:w="131" w:type="dxa"/>
            <w:tcBorders/>
            <w:shd w:fill="auto" w:val="clear"/>
            <w:vAlign w:val="bottom"/>
          </w:tcPr>
          <w:p>
            <w:pPr>
              <w:pStyle w:val="TableContents"/>
              <w:spacing w:before="0" w:after="283"/>
              <w:rPr/>
            </w:pPr>
            <w:r>
              <w:rPr/>
              <w:t> </w:t>
            </w:r>
          </w:p>
        </w:tc>
        <w:tc>
          <w:tcPr>
            <w:tcW w:w="387"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792" w:type="dxa"/>
            <w:tcBorders/>
            <w:shd w:fill="auto" w:val="clear"/>
            <w:vAlign w:val="bottom"/>
          </w:tcPr>
          <w:p>
            <w:pPr>
              <w:pStyle w:val="TableContents"/>
              <w:spacing w:before="0" w:after="283"/>
              <w:jc w:val="right"/>
              <w:rPr/>
            </w:pPr>
            <w:r>
              <w:rPr/>
              <w:t>42,557</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43,393</w:t>
            </w:r>
          </w:p>
        </w:tc>
        <w:tc>
          <w:tcPr>
            <w:tcW w:w="124"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809" w:type="dxa"/>
            <w:tcBorders/>
            <w:shd w:fill="auto" w:val="clear"/>
            <w:vAlign w:val="bottom"/>
          </w:tcPr>
          <w:p>
            <w:pPr>
              <w:pStyle w:val="TableContents"/>
              <w:spacing w:before="0" w:after="283"/>
              <w:jc w:val="right"/>
              <w:rPr/>
            </w:pPr>
            <w:r>
              <w:rPr/>
              <w:t>41,923</w:t>
            </w:r>
          </w:p>
        </w:tc>
        <w:tc>
          <w:tcPr>
            <w:tcW w:w="133" w:type="dxa"/>
            <w:tcBorders/>
            <w:shd w:fill="auto"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7" w:name="304"/>
      <w:bookmarkEnd w:id="7"/>
      <w:r>
        <w:rPr>
          <w:rFonts w:ascii="Times New Roman;Times;serif" w:hAnsi="Times New Roman;Times;serif"/>
          <w:sz w:val="17"/>
        </w:rPr>
        <w:t xml:space="preserve">Condensed Consolidated Statements of Cash Flows (Unaudited) </w:t>
      </w:r>
    </w:p>
    <w:tbl>
      <w:tblPr>
        <w:tblW w:w="5000" w:type="pct"/>
        <w:jc w:val="center"/>
        <w:tblInd w:w="0" w:type="dxa"/>
        <w:tblCellMar>
          <w:top w:w="0" w:type="dxa"/>
          <w:left w:w="0" w:type="dxa"/>
          <w:bottom w:w="0" w:type="dxa"/>
          <w:right w:w="0" w:type="dxa"/>
        </w:tblCellMar>
      </w:tblPr>
      <w:tblGrid>
        <w:gridCol w:w="6962"/>
        <w:gridCol w:w="447"/>
        <w:gridCol w:w="157"/>
        <w:gridCol w:w="881"/>
        <w:gridCol w:w="133"/>
        <w:gridCol w:w="447"/>
        <w:gridCol w:w="157"/>
        <w:gridCol w:w="881"/>
        <w:gridCol w:w="140"/>
      </w:tblGrid>
      <w:tr>
        <w:trPr/>
        <w:tc>
          <w:tcPr>
            <w:tcW w:w="696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656" w:type="dxa"/>
            <w:gridSpan w:val="6"/>
            <w:tcBorders/>
            <w:shd w:fill="auto" w:val="clear"/>
            <w:vAlign w:val="bottom"/>
          </w:tcPr>
          <w:p>
            <w:pPr>
              <w:pStyle w:val="TableContents"/>
              <w:spacing w:before="0" w:after="283"/>
              <w:jc w:val="center"/>
              <w:rPr/>
            </w:pPr>
            <w:r>
              <w:rPr/>
              <w:t>Nine Months Ended</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656"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038"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33" w:type="dxa"/>
            <w:tcBorders>
              <w:bottom w:val="single" w:sz="2" w:space="0" w:color="000000"/>
            </w:tcBorders>
            <w:shd w:fill="auto" w:val="clear"/>
            <w:tcMar>
              <w:bottom w:w="28" w:type="dxa"/>
            </w:tcMar>
            <w:vAlign w:val="bottom"/>
          </w:tcPr>
          <w:p>
            <w:pPr>
              <w:pStyle w:val="TableContents"/>
              <w:spacing w:before="0" w:after="283"/>
              <w:rPr/>
            </w:pPr>
            <w:r>
              <w:rPr/>
              <w:t> </w:t>
            </w:r>
          </w:p>
        </w:tc>
        <w:tc>
          <w:tcPr>
            <w:tcW w:w="447" w:type="dxa"/>
            <w:tcBorders>
              <w:bottom w:val="single" w:sz="2" w:space="0" w:color="000000"/>
            </w:tcBorders>
            <w:shd w:fill="auto" w:val="clear"/>
            <w:tcMar>
              <w:bottom w:w="28" w:type="dxa"/>
            </w:tcMar>
            <w:vAlign w:val="bottom"/>
          </w:tcPr>
          <w:p>
            <w:pPr>
              <w:pStyle w:val="TableContents"/>
              <w:spacing w:before="0" w:after="283"/>
              <w:rPr/>
            </w:pPr>
            <w:r>
              <w:rPr/>
              <w:t> </w:t>
            </w:r>
          </w:p>
        </w:tc>
        <w:tc>
          <w:tcPr>
            <w:tcW w:w="1038"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2656" w:type="dxa"/>
            <w:gridSpan w:val="6"/>
            <w:tcBorders/>
            <w:shd w:fill="auto" w:val="clear"/>
            <w:vAlign w:val="bottom"/>
          </w:tcPr>
          <w:p>
            <w:pPr>
              <w:pStyle w:val="TableContents"/>
              <w:spacing w:before="0" w:after="283"/>
              <w:jc w:val="center"/>
              <w:rPr>
                <w:i/>
              </w:rPr>
            </w:pPr>
            <w:r>
              <w:rPr>
                <w:i/>
              </w:rPr>
              <w:t>(In thousands)</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225" w:right="0" w:hanging="225"/>
              <w:rPr/>
            </w:pPr>
            <w:r>
              <w:rPr/>
              <w:t>Operating Activities: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450" w:right="0" w:hanging="225"/>
              <w:rPr/>
            </w:pPr>
            <w:r>
              <w:rPr/>
              <w:t>Net income</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26,719</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20,091</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Adjustments to reconcile net income to net cash provided by operating activities: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675" w:right="0" w:hanging="225"/>
              <w:rPr/>
            </w:pPr>
            <w:r>
              <w:rPr/>
              <w:t>Depreciation and amortization</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7,194</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6,402</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675" w:right="0" w:hanging="225"/>
              <w:rPr/>
            </w:pPr>
            <w:r>
              <w:rPr/>
              <w:t>Payday loan loss provision</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3,316</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1,490</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675" w:right="0" w:hanging="225"/>
              <w:rPr/>
            </w:pPr>
            <w:r>
              <w:rPr/>
              <w:t>Deferred taxes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(787</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2,512</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675" w:right="0" w:hanging="225"/>
              <w:rPr/>
            </w:pPr>
            <w:r>
              <w:rPr/>
              <w:t>Net gain on sale or disposal of assets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(131</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(62</w:t>
            </w:r>
          </w:p>
        </w:tc>
        <w:tc>
          <w:tcPr>
            <w:tcW w:w="140" w:type="dxa"/>
            <w:tcBorders/>
            <w:shd w:fill="CCEEFF" w:val="clear"/>
            <w:vAlign w:val="bottom"/>
          </w:tcPr>
          <w:p>
            <w:pPr>
              <w:pStyle w:val="TableContents"/>
              <w:spacing w:before="0" w:after="283"/>
              <w:rPr/>
            </w:pPr>
            <w:r>
              <w:rPr/>
              <w:t>)</w:t>
            </w:r>
          </w:p>
        </w:tc>
      </w:tr>
      <w:tr>
        <w:trPr/>
        <w:tc>
          <w:tcPr>
            <w:tcW w:w="6962" w:type="dxa"/>
            <w:tcBorders/>
            <w:shd w:fill="auto" w:val="clear"/>
            <w:vAlign w:val="bottom"/>
          </w:tcPr>
          <w:p>
            <w:pPr>
              <w:pStyle w:val="TableContents"/>
              <w:spacing w:before="0" w:after="0"/>
              <w:ind w:left="675" w:right="0" w:hanging="225"/>
              <w:rPr/>
            </w:pPr>
            <w:r>
              <w:rPr/>
              <w:t>Share-based compensation</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2,726</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1,099</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675" w:right="0" w:hanging="225"/>
              <w:rPr/>
            </w:pPr>
            <w:r>
              <w:rPr/>
              <w:t>Income from investment in unconsolidated affiliate</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(2,185</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(1,745</w:t>
            </w:r>
          </w:p>
        </w:tc>
        <w:tc>
          <w:tcPr>
            <w:tcW w:w="140" w:type="dxa"/>
            <w:tcBorders/>
            <w:shd w:fill="CCEEFF" w:val="clear"/>
            <w:vAlign w:val="bottom"/>
          </w:tcPr>
          <w:p>
            <w:pPr>
              <w:pStyle w:val="TableContents"/>
              <w:spacing w:before="0" w:after="283"/>
              <w:rPr/>
            </w:pPr>
            <w:r>
              <w:rPr/>
              <w:t>)</w:t>
            </w:r>
          </w:p>
        </w:tc>
      </w:tr>
      <w:tr>
        <w:trPr/>
        <w:tc>
          <w:tcPr>
            <w:tcW w:w="6962" w:type="dxa"/>
            <w:tcBorders/>
            <w:shd w:fill="auto" w:val="clear"/>
            <w:vAlign w:val="bottom"/>
          </w:tcPr>
          <w:p>
            <w:pPr>
              <w:pStyle w:val="TableContents"/>
              <w:spacing w:before="0" w:after="0"/>
              <w:ind w:left="450" w:right="0" w:hanging="225"/>
              <w:rPr/>
            </w:pPr>
            <w:r>
              <w:rPr/>
              <w:t>Changes in operating assets and liabilities, net of business acquisitions: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675" w:right="0" w:hanging="225"/>
              <w:rPr/>
            </w:pPr>
            <w:r>
              <w:rPr/>
              <w:t>Service charges and fees receivable, net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(432</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2,045</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675" w:right="0" w:hanging="225"/>
              <w:rPr/>
            </w:pPr>
            <w:r>
              <w:rPr/>
              <w:t>Inventory, net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407</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(387</w:t>
            </w:r>
          </w:p>
        </w:tc>
        <w:tc>
          <w:tcPr>
            <w:tcW w:w="140" w:type="dxa"/>
            <w:tcBorders/>
            <w:shd w:fill="auto" w:val="clear"/>
            <w:vAlign w:val="bottom"/>
          </w:tcPr>
          <w:p>
            <w:pPr>
              <w:pStyle w:val="TableContents"/>
              <w:spacing w:before="0" w:after="283"/>
              <w:rPr/>
            </w:pPr>
            <w:r>
              <w:rPr/>
              <w:t>)</w:t>
            </w:r>
          </w:p>
        </w:tc>
      </w:tr>
      <w:tr>
        <w:trPr/>
        <w:tc>
          <w:tcPr>
            <w:tcW w:w="6962" w:type="dxa"/>
            <w:tcBorders/>
            <w:shd w:fill="CCEEFF" w:val="clear"/>
            <w:vAlign w:val="bottom"/>
          </w:tcPr>
          <w:p>
            <w:pPr>
              <w:pStyle w:val="TableContents"/>
              <w:spacing w:before="0" w:after="0"/>
              <w:ind w:left="675" w:right="0" w:hanging="225"/>
              <w:rPr/>
            </w:pPr>
            <w:r>
              <w:rPr/>
              <w:t>Prepaid expenses, other current assets, and other assets, net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(1,160</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(1,145</w:t>
            </w:r>
          </w:p>
        </w:tc>
        <w:tc>
          <w:tcPr>
            <w:tcW w:w="140" w:type="dxa"/>
            <w:tcBorders/>
            <w:shd w:fill="CCEEFF" w:val="clear"/>
            <w:vAlign w:val="bottom"/>
          </w:tcPr>
          <w:p>
            <w:pPr>
              <w:pStyle w:val="TableContents"/>
              <w:spacing w:before="0" w:after="283"/>
              <w:rPr/>
            </w:pPr>
            <w:r>
              <w:rPr/>
              <w:t>)</w:t>
            </w:r>
          </w:p>
        </w:tc>
      </w:tr>
      <w:tr>
        <w:trPr/>
        <w:tc>
          <w:tcPr>
            <w:tcW w:w="6962" w:type="dxa"/>
            <w:tcBorders/>
            <w:shd w:fill="auto" w:val="clear"/>
            <w:vAlign w:val="bottom"/>
          </w:tcPr>
          <w:p>
            <w:pPr>
              <w:pStyle w:val="TableContents"/>
              <w:spacing w:before="0" w:after="0"/>
              <w:ind w:left="675" w:right="0" w:hanging="225"/>
              <w:rPr/>
            </w:pPr>
            <w:r>
              <w:rPr/>
              <w:t>Accounts payable and accrued expenses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(951</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(460</w:t>
            </w:r>
          </w:p>
        </w:tc>
        <w:tc>
          <w:tcPr>
            <w:tcW w:w="140" w:type="dxa"/>
            <w:tcBorders/>
            <w:shd w:fill="auto" w:val="clear"/>
            <w:vAlign w:val="bottom"/>
          </w:tcPr>
          <w:p>
            <w:pPr>
              <w:pStyle w:val="TableContents"/>
              <w:spacing w:before="0" w:after="283"/>
              <w:rPr/>
            </w:pPr>
            <w:r>
              <w:rPr/>
              <w:t>)</w:t>
            </w:r>
          </w:p>
        </w:tc>
      </w:tr>
      <w:tr>
        <w:trPr/>
        <w:tc>
          <w:tcPr>
            <w:tcW w:w="6962" w:type="dxa"/>
            <w:tcBorders/>
            <w:shd w:fill="CCEEFF" w:val="clear"/>
            <w:vAlign w:val="bottom"/>
          </w:tcPr>
          <w:p>
            <w:pPr>
              <w:pStyle w:val="TableContents"/>
              <w:spacing w:before="0" w:after="0"/>
              <w:ind w:left="675" w:right="0" w:hanging="225"/>
              <w:rPr/>
            </w:pPr>
            <w:r>
              <w:rPr/>
              <w:t>Customer layaway deposits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(79</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46</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675" w:right="0" w:hanging="225"/>
              <w:rPr/>
            </w:pPr>
            <w:r>
              <w:rPr/>
              <w:t>Deferred gains and other long-term liabilities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(272</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(258</w:t>
            </w:r>
          </w:p>
        </w:tc>
        <w:tc>
          <w:tcPr>
            <w:tcW w:w="140" w:type="dxa"/>
            <w:tcBorders/>
            <w:shd w:fill="auto" w:val="clear"/>
            <w:vAlign w:val="bottom"/>
          </w:tcPr>
          <w:p>
            <w:pPr>
              <w:pStyle w:val="TableContents"/>
              <w:spacing w:before="0" w:after="283"/>
              <w:rPr/>
            </w:pPr>
            <w:r>
              <w:rPr/>
              <w:t>)</w:t>
            </w:r>
          </w:p>
        </w:tc>
      </w:tr>
      <w:tr>
        <w:trPr/>
        <w:tc>
          <w:tcPr>
            <w:tcW w:w="6962" w:type="dxa"/>
            <w:tcBorders/>
            <w:shd w:fill="CCEEFF" w:val="clear"/>
            <w:vAlign w:val="bottom"/>
          </w:tcPr>
          <w:p>
            <w:pPr>
              <w:pStyle w:val="TableContents"/>
              <w:spacing w:before="0" w:after="0"/>
              <w:ind w:left="675" w:right="0" w:hanging="225"/>
              <w:rPr/>
            </w:pPr>
            <w:r>
              <w:rPr/>
              <w:t>Excess tax benefit from stock-based compensation</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(895</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675" w:right="0" w:hanging="225"/>
              <w:rPr/>
            </w:pPr>
            <w:r>
              <w:rPr/>
              <w:t>Federal income taxes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2,756</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138</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900" w:right="0" w:hanging="225"/>
              <w:rPr/>
            </w:pPr>
            <w:r>
              <w:rPr/>
              <w:t>Net cash provided by operating activities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36,226</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29,766</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Investing Activities: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Pawn loans made</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(150,656</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(139,049</w:t>
            </w:r>
          </w:p>
        </w:tc>
        <w:tc>
          <w:tcPr>
            <w:tcW w:w="140" w:type="dxa"/>
            <w:tcBorders/>
            <w:shd w:fill="CCEEFF" w:val="clear"/>
            <w:vAlign w:val="bottom"/>
          </w:tcPr>
          <w:p>
            <w:pPr>
              <w:pStyle w:val="TableContents"/>
              <w:spacing w:before="0" w:after="283"/>
              <w:rPr/>
            </w:pPr>
            <w:r>
              <w:rPr/>
              <w:t>)</w:t>
            </w:r>
          </w:p>
        </w:tc>
      </w:tr>
      <w:tr>
        <w:trPr/>
        <w:tc>
          <w:tcPr>
            <w:tcW w:w="6962" w:type="dxa"/>
            <w:tcBorders/>
            <w:shd w:fill="auto" w:val="clear"/>
            <w:vAlign w:val="bottom"/>
          </w:tcPr>
          <w:p>
            <w:pPr>
              <w:pStyle w:val="TableContents"/>
              <w:spacing w:before="0" w:after="0"/>
              <w:ind w:left="450" w:right="0" w:hanging="225"/>
              <w:rPr/>
            </w:pPr>
            <w:r>
              <w:rPr/>
              <w:t>Pawn loans repaid</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80,530</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76,385</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Recovery of pawn loan principal through sale of forfeited collateral</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69,824</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65,271</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450" w:right="0" w:hanging="225"/>
              <w:rPr/>
            </w:pPr>
            <w:r>
              <w:rPr/>
              <w:t>Payday loans made</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(32,708</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(16,361</w:t>
            </w:r>
          </w:p>
        </w:tc>
        <w:tc>
          <w:tcPr>
            <w:tcW w:w="140" w:type="dxa"/>
            <w:tcBorders/>
            <w:shd w:fill="auto" w:val="clear"/>
            <w:vAlign w:val="bottom"/>
          </w:tcPr>
          <w:p>
            <w:pPr>
              <w:pStyle w:val="TableContents"/>
              <w:spacing w:before="0" w:after="283"/>
              <w:rPr/>
            </w:pPr>
            <w:r>
              <w:rPr/>
              <w:t>)</w:t>
            </w:r>
          </w:p>
        </w:tc>
      </w:tr>
      <w:tr>
        <w:trPr/>
        <w:tc>
          <w:tcPr>
            <w:tcW w:w="6962" w:type="dxa"/>
            <w:tcBorders/>
            <w:shd w:fill="CCEEFF" w:val="clear"/>
            <w:vAlign w:val="bottom"/>
          </w:tcPr>
          <w:p>
            <w:pPr>
              <w:pStyle w:val="TableContents"/>
              <w:spacing w:before="0" w:after="0"/>
              <w:ind w:left="450" w:right="0" w:hanging="225"/>
              <w:rPr/>
            </w:pPr>
            <w:r>
              <w:rPr/>
              <w:t>Payday loans repaid</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27,427</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14,538</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450" w:right="0" w:hanging="225"/>
              <w:rPr/>
            </w:pPr>
            <w:r>
              <w:rPr/>
              <w:t>Additions to property and equipment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(9,234</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(6,684</w:t>
            </w:r>
          </w:p>
        </w:tc>
        <w:tc>
          <w:tcPr>
            <w:tcW w:w="140" w:type="dxa"/>
            <w:tcBorders/>
            <w:shd w:fill="auto" w:val="clear"/>
            <w:vAlign w:val="bottom"/>
          </w:tcPr>
          <w:p>
            <w:pPr>
              <w:pStyle w:val="TableContents"/>
              <w:spacing w:before="0" w:after="283"/>
              <w:rPr/>
            </w:pPr>
            <w:r>
              <w:rPr/>
              <w:t>)</w:t>
            </w:r>
          </w:p>
        </w:tc>
      </w:tr>
      <w:tr>
        <w:trPr/>
        <w:tc>
          <w:tcPr>
            <w:tcW w:w="6962" w:type="dxa"/>
            <w:tcBorders/>
            <w:shd w:fill="CCEEFF" w:val="clear"/>
            <w:vAlign w:val="bottom"/>
          </w:tcPr>
          <w:p>
            <w:pPr>
              <w:pStyle w:val="TableContents"/>
              <w:spacing w:before="0" w:after="0"/>
              <w:ind w:left="450" w:right="0" w:hanging="225"/>
              <w:rPr/>
            </w:pPr>
            <w:r>
              <w:rPr/>
              <w:t>Acquisitions, net of cash acquired</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(23,201</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(1,590</w:t>
            </w:r>
          </w:p>
        </w:tc>
        <w:tc>
          <w:tcPr>
            <w:tcW w:w="140" w:type="dxa"/>
            <w:tcBorders/>
            <w:shd w:fill="CCEEFF" w:val="clear"/>
            <w:vAlign w:val="bottom"/>
          </w:tcPr>
          <w:p>
            <w:pPr>
              <w:pStyle w:val="TableContents"/>
              <w:spacing w:before="0" w:after="283"/>
              <w:rPr/>
            </w:pPr>
            <w:r>
              <w:rPr/>
              <w:t>)</w:t>
            </w:r>
          </w:p>
        </w:tc>
      </w:tr>
      <w:tr>
        <w:trPr/>
        <w:tc>
          <w:tcPr>
            <w:tcW w:w="6962" w:type="dxa"/>
            <w:tcBorders/>
            <w:shd w:fill="auto" w:val="clear"/>
            <w:vAlign w:val="bottom"/>
          </w:tcPr>
          <w:p>
            <w:pPr>
              <w:pStyle w:val="TableContents"/>
              <w:spacing w:before="0" w:after="0"/>
              <w:ind w:left="450" w:right="0" w:hanging="225"/>
              <w:rPr/>
            </w:pPr>
            <w:r>
              <w:rPr/>
              <w:t>Dividends from unconsolidated affiliate</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1,274</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969</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Proceeds from sale of assets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200</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98</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962" w:type="dxa"/>
            <w:tcBorders/>
            <w:shd w:fill="auto" w:val="clear"/>
            <w:vAlign w:val="bottom"/>
          </w:tcPr>
          <w:p>
            <w:pPr>
              <w:pStyle w:val="TableContents"/>
              <w:spacing w:before="0" w:after="0"/>
              <w:ind w:left="900" w:right="0" w:hanging="225"/>
              <w:rPr/>
            </w:pPr>
            <w:r>
              <w:rPr/>
              <w:t>Net cash used in investing activities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(36,544</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(6,423</w:t>
            </w:r>
          </w:p>
        </w:tc>
        <w:tc>
          <w:tcPr>
            <w:tcW w:w="140" w:type="dxa"/>
            <w:tcBorders/>
            <w:shd w:fill="auto" w:val="clear"/>
            <w:vAlign w:val="bottom"/>
          </w:tcPr>
          <w:p>
            <w:pPr>
              <w:pStyle w:val="TableContents"/>
              <w:spacing w:before="0" w:after="283"/>
              <w:rPr/>
            </w:pPr>
            <w:r>
              <w:rPr/>
              <w:t>)</w:t>
            </w:r>
          </w:p>
        </w:tc>
      </w:tr>
      <w:tr>
        <w:trPr/>
        <w:tc>
          <w:tcPr>
            <w:tcW w:w="6962"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225" w:right="0" w:hanging="225"/>
              <w:rPr/>
            </w:pPr>
            <w:r>
              <w:rPr/>
              <w:t>Financing Activities: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450" w:right="0" w:hanging="225"/>
              <w:rPr/>
            </w:pPr>
            <w:r>
              <w:rPr/>
              <w:t>Proceeds from exercise of stock options and warrants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1,453</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2,220</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Excess tax benefit from stock-based compensation</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895</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450" w:right="0" w:hanging="225"/>
              <w:rPr/>
            </w:pPr>
            <w:r>
              <w:rPr/>
              <w:t>Debt issuance costs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(283</w:t>
            </w:r>
          </w:p>
        </w:tc>
        <w:tc>
          <w:tcPr>
            <w:tcW w:w="133"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Net payments on bank borrowings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 </w:t>
            </w:r>
          </w:p>
        </w:tc>
        <w:tc>
          <w:tcPr>
            <w:tcW w:w="881" w:type="dxa"/>
            <w:tcBorders/>
            <w:shd w:fill="CCEEFF" w:val="clear"/>
            <w:vAlign w:val="bottom"/>
          </w:tcPr>
          <w:p>
            <w:pPr>
              <w:pStyle w:val="TableContents"/>
              <w:spacing w:before="0" w:after="283"/>
              <w:jc w:val="right"/>
              <w:rPr/>
            </w:pPr>
            <w:r>
              <w:rPr/>
              <w:t>(7,000</w:t>
            </w:r>
          </w:p>
        </w:tc>
        <w:tc>
          <w:tcPr>
            <w:tcW w:w="140" w:type="dxa"/>
            <w:tcBorders/>
            <w:shd w:fill="CCEEFF" w:val="clear"/>
            <w:vAlign w:val="bottom"/>
          </w:tcPr>
          <w:p>
            <w:pPr>
              <w:pStyle w:val="TableContents"/>
              <w:spacing w:before="0" w:after="283"/>
              <w:rPr/>
            </w:pPr>
            <w:r>
              <w:rPr/>
              <w:t>)</w:t>
            </w:r>
          </w:p>
        </w:tc>
      </w:tr>
      <w:tr>
        <w:trPr/>
        <w:tc>
          <w:tcPr>
            <w:tcW w:w="6962"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962" w:type="dxa"/>
            <w:tcBorders/>
            <w:shd w:fill="auto" w:val="clear"/>
            <w:vAlign w:val="bottom"/>
          </w:tcPr>
          <w:p>
            <w:pPr>
              <w:pStyle w:val="TableContents"/>
              <w:spacing w:before="0" w:after="0"/>
              <w:ind w:left="900" w:right="0" w:hanging="225"/>
              <w:rPr/>
            </w:pPr>
            <w:r>
              <w:rPr/>
              <w:t>Net cash provided by (used in) financing activities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2,065</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 </w:t>
            </w:r>
          </w:p>
        </w:tc>
        <w:tc>
          <w:tcPr>
            <w:tcW w:w="881" w:type="dxa"/>
            <w:tcBorders/>
            <w:shd w:fill="auto" w:val="clear"/>
            <w:vAlign w:val="bottom"/>
          </w:tcPr>
          <w:p>
            <w:pPr>
              <w:pStyle w:val="TableContents"/>
              <w:spacing w:before="0" w:after="283"/>
              <w:jc w:val="right"/>
              <w:rPr/>
            </w:pPr>
            <w:r>
              <w:rPr/>
              <w:t>(4,780</w:t>
            </w:r>
          </w:p>
        </w:tc>
        <w:tc>
          <w:tcPr>
            <w:tcW w:w="140" w:type="dxa"/>
            <w:tcBorders/>
            <w:shd w:fill="auto" w:val="clear"/>
            <w:vAlign w:val="bottom"/>
          </w:tcPr>
          <w:p>
            <w:pPr>
              <w:pStyle w:val="TableContents"/>
              <w:spacing w:before="0" w:after="283"/>
              <w:rPr/>
            </w:pPr>
            <w:r>
              <w:rPr/>
              <w:t>)</w:t>
            </w:r>
          </w:p>
        </w:tc>
      </w:tr>
      <w:tr>
        <w:trPr/>
        <w:tc>
          <w:tcPr>
            <w:tcW w:w="6962"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225" w:right="0" w:hanging="225"/>
              <w:rPr/>
            </w:pPr>
            <w:r>
              <w:rPr/>
              <w:t>Change in cash and equivalents</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1,747</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rPr/>
            </w:pPr>
            <w:r>
              <w:rPr/>
              <w:t> </w:t>
            </w:r>
          </w:p>
        </w:tc>
        <w:tc>
          <w:tcPr>
            <w:tcW w:w="881" w:type="dxa"/>
            <w:tcBorders/>
            <w:shd w:fill="CCEEFF" w:val="clear"/>
            <w:vAlign w:val="bottom"/>
          </w:tcPr>
          <w:p>
            <w:pPr>
              <w:pStyle w:val="TableContents"/>
              <w:spacing w:before="0" w:after="283"/>
              <w:jc w:val="right"/>
              <w:rPr/>
            </w:pPr>
            <w:r>
              <w:rPr/>
              <w:t>18,563</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Cash and equivalents at beginning of period</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29,939</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jc w:val="right"/>
              <w:rPr/>
            </w:pPr>
            <w:r>
              <w:rPr/>
              <w:t>4,168</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225" w:right="0" w:hanging="225"/>
              <w:rPr/>
            </w:pPr>
            <w:r>
              <w:rPr/>
              <w:t>Cash and equivalents at end of period</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31,686</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22,731</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center"/>
          </w:tcPr>
          <w:p>
            <w:pPr>
              <w:pStyle w:val="TableContents"/>
              <w:spacing w:before="0" w:after="0"/>
              <w:ind w:left="225" w:right="0" w:hanging="225"/>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0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0" w:type="dxa"/>
            <w:tcBorders/>
            <w:shd w:fill="auto" w:val="clear"/>
            <w:vAlign w:val="center"/>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225" w:right="0" w:hanging="225"/>
              <w:rPr/>
            </w:pPr>
            <w:r>
              <w:rPr/>
              <w:t>Non-cash Investing and Financing Activities:</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rPr/>
            </w:pPr>
            <w:r>
              <w:rPr/>
              <w:t> </w:t>
            </w:r>
          </w:p>
        </w:tc>
        <w:tc>
          <w:tcPr>
            <w:tcW w:w="88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Pawn loans forfeited and transferred to inventory</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66,521</w:t>
            </w:r>
          </w:p>
        </w:tc>
        <w:tc>
          <w:tcPr>
            <w:tcW w:w="133"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66,834</w:t>
            </w:r>
          </w:p>
        </w:tc>
        <w:tc>
          <w:tcPr>
            <w:tcW w:w="140" w:type="dxa"/>
            <w:tcBorders/>
            <w:shd w:fill="CCEEFF" w:val="clear"/>
            <w:vAlign w:val="bottom"/>
          </w:tcPr>
          <w:p>
            <w:pPr>
              <w:pStyle w:val="TableContents"/>
              <w:spacing w:before="0" w:after="283"/>
              <w:rPr/>
            </w:pPr>
            <w:r>
              <w:rPr/>
              <w:t> </w:t>
            </w:r>
          </w:p>
        </w:tc>
      </w:tr>
      <w:tr>
        <w:trPr/>
        <w:tc>
          <w:tcPr>
            <w:tcW w:w="6962" w:type="dxa"/>
            <w:tcBorders/>
            <w:shd w:fill="auto" w:val="clear"/>
            <w:vAlign w:val="bottom"/>
          </w:tcPr>
          <w:p>
            <w:pPr>
              <w:pStyle w:val="TableContents"/>
              <w:spacing w:before="0" w:after="0"/>
              <w:ind w:left="450" w:right="0" w:hanging="225"/>
              <w:rPr/>
            </w:pPr>
            <w:r>
              <w:rPr/>
              <w:t>Issuance of common stock to 401(k) plan</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27</w:t>
            </w:r>
          </w:p>
        </w:tc>
        <w:tc>
          <w:tcPr>
            <w:tcW w:w="133"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157" w:type="dxa"/>
            <w:tcBorders/>
            <w:shd w:fill="auto" w:val="clear"/>
            <w:vAlign w:val="bottom"/>
          </w:tcPr>
          <w:p>
            <w:pPr>
              <w:pStyle w:val="TableContents"/>
              <w:spacing w:before="0" w:after="283"/>
              <w:jc w:val="left"/>
              <w:rPr/>
            </w:pPr>
            <w:r>
              <w:rPr/>
              <w:t>$</w:t>
            </w:r>
          </w:p>
        </w:tc>
        <w:tc>
          <w:tcPr>
            <w:tcW w:w="881" w:type="dxa"/>
            <w:tcBorders/>
            <w:shd w:fill="auto" w:val="clear"/>
            <w:vAlign w:val="bottom"/>
          </w:tcPr>
          <w:p>
            <w:pPr>
              <w:pStyle w:val="TableContents"/>
              <w:spacing w:before="0" w:after="283"/>
              <w:jc w:val="right"/>
              <w:rPr/>
            </w:pPr>
            <w:r>
              <w:rPr/>
              <w:t>44</w:t>
            </w:r>
          </w:p>
        </w:tc>
        <w:tc>
          <w:tcPr>
            <w:tcW w:w="140" w:type="dxa"/>
            <w:tcBorders/>
            <w:shd w:fill="auto" w:val="clear"/>
            <w:vAlign w:val="bottom"/>
          </w:tcPr>
          <w:p>
            <w:pPr>
              <w:pStyle w:val="TableContents"/>
              <w:spacing w:before="0" w:after="283"/>
              <w:rPr/>
            </w:pPr>
            <w:r>
              <w:rPr/>
              <w:t> </w:t>
            </w:r>
          </w:p>
        </w:tc>
      </w:tr>
      <w:tr>
        <w:trPr/>
        <w:tc>
          <w:tcPr>
            <w:tcW w:w="6962" w:type="dxa"/>
            <w:tcBorders/>
            <w:shd w:fill="CCEEFF" w:val="clear"/>
            <w:vAlign w:val="bottom"/>
          </w:tcPr>
          <w:p>
            <w:pPr>
              <w:pStyle w:val="TableContents"/>
              <w:spacing w:before="0" w:after="0"/>
              <w:ind w:left="450" w:right="0" w:hanging="225"/>
              <w:rPr/>
            </w:pPr>
            <w:r>
              <w:rPr/>
              <w:t>Foreign currency translation adjustment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(1,055</w:t>
            </w:r>
          </w:p>
        </w:tc>
        <w:tc>
          <w:tcPr>
            <w:tcW w:w="133" w:type="dxa"/>
            <w:tcBorders/>
            <w:shd w:fill="CCEEFF" w:val="clear"/>
            <w:vAlign w:val="bottom"/>
          </w:tcPr>
          <w:p>
            <w:pPr>
              <w:pStyle w:val="TableContents"/>
              <w:spacing w:before="0" w:after="283"/>
              <w:rPr/>
            </w:pPr>
            <w:r>
              <w:rPr/>
              <w:t>)</w:t>
            </w:r>
          </w:p>
        </w:tc>
        <w:tc>
          <w:tcPr>
            <w:tcW w:w="447" w:type="dxa"/>
            <w:tcBorders/>
            <w:shd w:fill="CCEEFF" w:val="clear"/>
            <w:vAlign w:val="bottom"/>
          </w:tcPr>
          <w:p>
            <w:pPr>
              <w:pStyle w:val="TableContents"/>
              <w:spacing w:before="0" w:after="283"/>
              <w:rPr/>
            </w:pPr>
            <w:r>
              <w:rPr/>
              <w:t> </w:t>
            </w:r>
          </w:p>
        </w:tc>
        <w:tc>
          <w:tcPr>
            <w:tcW w:w="157" w:type="dxa"/>
            <w:tcBorders/>
            <w:shd w:fill="CCEEFF" w:val="clear"/>
            <w:vAlign w:val="bottom"/>
          </w:tcPr>
          <w:p>
            <w:pPr>
              <w:pStyle w:val="TableContents"/>
              <w:spacing w:before="0" w:after="283"/>
              <w:jc w:val="left"/>
              <w:rPr/>
            </w:pPr>
            <w:r>
              <w:rPr/>
              <w:t>$</w:t>
            </w:r>
          </w:p>
        </w:tc>
        <w:tc>
          <w:tcPr>
            <w:tcW w:w="881" w:type="dxa"/>
            <w:tcBorders/>
            <w:shd w:fill="CCEEFF" w:val="clear"/>
            <w:vAlign w:val="bottom"/>
          </w:tcPr>
          <w:p>
            <w:pPr>
              <w:pStyle w:val="TableContents"/>
              <w:spacing w:before="0" w:after="283"/>
              <w:jc w:val="right"/>
              <w:rPr/>
            </w:pPr>
            <w:r>
              <w:rPr/>
              <w:t>254</w:t>
            </w:r>
          </w:p>
        </w:tc>
        <w:tc>
          <w:tcPr>
            <w:tcW w:w="140" w:type="dxa"/>
            <w:tcBorders/>
            <w:shd w:fill="CCEEFF" w:val="clear"/>
            <w:vAlign w:val="bottom"/>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See Notes to Interim Condensed Consolidated Financial Statements (unaudited).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8" w:name="305"/>
      <w:bookmarkEnd w:id="8"/>
      <w:r>
        <w:rPr>
          <w:rFonts w:ascii="Times New Roman;Times;serif" w:hAnsi="Times New Roman;Times;serif"/>
          <w:b/>
          <w:sz w:val="17"/>
        </w:rPr>
        <w:t>EZCORP, Inc. and Subsidiaries</w:t>
        <w:br/>
        <w:t>Notes to Interim Condensed Consolidated Financial Statements (Unaudited)</w:t>
        <w:br/>
        <w:t>June 30, 2007</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A: Basis of Presentation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Management has included all adjustments it considers necessary for a fair presentation. These adjustments are of a normal, recurring nature except for those related to acquired businesses (described in Note C). The accompanying financial statements should be read with the Notes to Consolidated Financial Statements included in our Annual Report on Form 10-K for the year ended September 30, 2006. The balance sheet at September 30, 2006 has been derived from the audited financial statements at that date but does not include all of the information and footnotes required by generally accepted accounting principles for complete financial statements. Certain prior period balances have been reclassified to conform to the current presentation.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business is subject to seasonal variations, and operating results for the three and nine-month periods ended June 30, 2007 (the current quarter and current year-to-date period) are not necessarily indicative of the results of operations for the full fiscal year.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B: Significant Accounting Policies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CONSOLIDATION: The consolidated financial statements include the accounts of EZCORP, Inc. and its wholly owned subsidiaries. All significant inter-company accounts and transactions have been eliminated in consolidation. We account for our interest in Albemarle &amp; Bond Holdings, plc using the equity method.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 SPLIT: In November 2006, our Board of Directors approved a three-for-one stock split of our two classes of common stock to shareholders of record as of November 27, 2006. The additional shares were distributed on December 11, 2006. All shares and amounts per share in this report have been adjusted to reflect the split.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PAWN LOAN AND SALES REVENUE RECOGNITION: We record pawn service charges using the interest method for all pawn loans we believe to be collectible. We base our estimate of collectible loans on several factors, including recent redemption rates, historical trends in redemption rates and the amount of loans due in the following two to three months. Unexpected variations in any of these factors could change our estimate of collectible loans, affecting our earnings and financial condition. If a pawn loan is not repaid, we value the forfeited collateral (inventory) at the lower of cost (pawn loan principal) or market (net realizable value) of the property. We record sales revenue and the related cost when this inventory is sold.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CREDIT SERVICE REVENUE RECOGNITION: We earn credit service fees when we assist customers in obtaining loans from unaffiliated lenders. We accrue the percentage of credit service fees we expect to collect. Accrued fees related to defaulted loans reduce credit service fee revenue upon loan default, and increase credit service fee revenue upon collection. Credit service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CREDIT SERVICE BAD DEBT: We issue letters of credit to enhance the creditworthiness of our credit service customers seeking loans from unaffiliated lenders. The letters of credit assure the lenders that if borrowers default on the loans, we will pay the lenders, upon demand, the principal and accrued interest owed it by the borrowers plus any insufficient funds fee. Although amounts paid under letters of credit may be collected later, we charge those amounts to signature loan bad debt upon default. We record recoveries under the letters of credit as a reduction of bad debt at the time of collection.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majority of our credit service customers obtain short-term loans with a single maturity date. These short-term loans, with maturity dates averaging about 17 days, are considered defaulted if they have not been repaid or renewed by the maturity date. Other credit service customers obtain installment loans with a series of payments due over as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much as a five-month period. If one payment of an installment loan is delinquent, that one payment is considered defaulted. If more than one installment payment is delinquent at any time, the entire loan is considered defaulted.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CREDIT SERVICE ALLOWANCE FOR LOSSES: We also provide an allowance for losses we expect to incur under letters of credit for loans that have not yet matured. The allowance is based on recent loan default experience adjusted for seasonal variations. It includes all amounts we expect to pay to the unaffiliated lenders upon loan default, including loan principal, accrued interest and insufficient funds fees, net of the amounts we expect to collect from borrowers (Expected LOC Losses). Changes in the allowance are charged to signature loan bad debt expense. We include the balance of Expected LOC Losses in Accounts payable and other accrued expenses on our balance sheet. At June 30, 2007, the allowance for Expected LOC Losses was $1.4 million. At that date, our maximum exposure for losses on letters of credit, if all brokered loans defaulted and none was collected, was $22.8 million. This amount includes principal, interest and insufficient funds fees. Based on the expected loss and collection percentages, we also provide an allowance for the credit service fees we expect not to collect, and charge changes in this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PAYDAY LOAN REVENUE RECOGNITION: We accrue fees on the percentage of payday loans we believe to be collectible using the interest method. Accrued fees related to defaulted loans reduce fee revenue upon loan default, and increase fee revenue upon collection. Payday loan fee revenue is included in Signature loan fees on our statements of operations.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PAYDAY LOAN BAD DEBT: We consider a loan defaulted if it has not been repaid or renewed by the maturity date. Although defaulted loans may be collected later, we charge the loan principal to signature loan bad debt upon default, leaving only active loans in the reported balance. We record collections of principal as a reduction of signature loan bad debt when collected.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PAYDAY LOAN ALLOWANCE FOR LOSSES: We also provide an allowance for losses on payday loans that have not yet matured and related fees receivable, based on recent loan default experience adjusted for seasonal variations. We charge any changes in the principal valuation allowance to signature loan bad debt. We record changes in the fee receivable valuation allowance to signature loan fee revenue.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INVENTORY: If a pawn loan is not redeemed, we record the forfeited collateral at cost. We do not record loan loss allowances or charge-offs on the principal portion of pawn loans, as they are fully collateralized. In order to state inventory at the lower of cost (specific identification) or market (net realizable value), we record an allowance for shrinkage and excess, obsolete or slow moving inventory. The allowance is based on the type and age of merchandise and recent sales trends and margins. At June 30, 2007, the inventory valuation allowance was $3.8 million, or 10.2% of gross inventory. We record changes in the inventory valuation allowance as cost of goods sold.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INTANGIBLE ASSETS: Goodwill and other intangible assets having indefinite lives are not subject to amortization. They are tested for impairment each July 1st, or more frequently if events or changes in circumstances indicate that they might be impaired. We recognized no impairment of our intangible assets in the current or prior year-to-date periods. We amortize intangible assets with definite lives over their estimated useful lives.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PROPERTY AND EQUIPMENT: Property and equipment is shown net of accumulated depreciation of $82.4 million at June 30,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VALUATION OF TANGIBLE LONG-LIVED ASSETS: We assess the impairment of tangible long-lived assets whenever events or changes in circumstances indicate that the net recorded amount may not be recoverable. The following factors could trigger an impairment review: significant underperformance relative to historical or projected future cash flows; significant changes in the manner of use of the assets or the strategy for the overall business; or significant negative industry trends. When we determine that the net recorded amount of tangible long-lived assets may not be recoverable, we measure impairment based on the excess of the assets net recorded amount over the estimated fair value. No impairment of tangible long-lived assets was recognized in the current or prior year-to-date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INCOME TAXES: We calculate the provision for federal income taxes based on our estimate of the effective tax rate for the full fiscal year. As part of the process of preparing the financial statements, we estimate income taxes in each jurisdiction in which we operate. This involves estimating the actual current tax liability and assessing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temporary differences in recognition of income for tax and accounting purposes. These differences result in deferred tax assets and liabilities that we include in our balance sheet. We must then assess the likelihood that the deferred tax assets will be recovered from future taxable income. If we determined we would not be able to realize all or part of our net deferred tax assets in the future, an increase to the valuation allowance would be charged to the income tax provision in that period. Likewise, if we determined we would be able to realize our deferred tax assets in the future in excess of the net recorded amount, a decrease to the valuation allowance would decrease the tax provision in that period. We assess the need for a deferred tax asset valuation allowance quarterly. Our valuation allowance was $0.4 million at June 30,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SHARE-BASED COMPENSATION: We account for share-based compensation in accordance with the fair value recognition provisions of SFAS No. 123(R), Share-based Payment. We estimate the grant-date fair value of options using the Black-Scholes-Merton option-pricing model and amortize that fair value to compensation expense on a straight-line basis over the options vesting periods.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SEGMENTS: We account for our operations in accordance with SFAS No. 131, Disclosures about Segments of an Enterprise and Related Information. Prior to October 1, 2006, we had a single reportable segment. Effective October 1, 2006, we reorganized our operations and internal reporting to manage it as two separate segments. See Note K for further discussion and separate data for each segment.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RECENTLY ISSUED ACCOUNTING PRONOUNCEMENTS: In June 2006, the Financial Accounting Standards Board (FASB) issued Interpretation No. 48, Accounting for Uncertainty in Income Taxes (FIN 48). To be recognized in the financial statements, FIN 48 requires that a tax position is more-likely-than-not to be sustained in an audit, based on the technical merits of the position. In making the determination of sustainability, we must presume the appropriate taxing authority with full knowledge of all relevant information will audit our tax positions. FIN 48 also prescribes how the benefit should be measured, including the consideration of any penalties and interest. It requires that the new standard be applied to the balances of tax assets and liabilities as of the beginning of the period of adoption and that a corresponding adjustment be made to the opening balance of retained earnings. We must adopt FIN 48 in the fiscal year ending September 30, 2008. We do not expect FIN 48 to have a material effect on our financial position or results of operations. It will not impact our cash flows.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2006, the FASB issued SFAS No. 157, Fair Value Measurements. Among other requirements, SFAS No. 157 defines fair value, establishes a framework for measuring fair value and expands disclosure about the use of fair value to measure assets and liabilities. We must adopt SFAS No. 157 in our fiscal year ending September 30, 2009. We are currently evaluating the impact, if any, of SFAS No. 157 on our financial position and results of operations. It will not impact our cash flows.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C: Acquisitions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June 18, 2007, we completed the acquisition of fifteen pawnshops and one signature loan store from Jumping Jack Cash, a competitor in Colorado for $23.2 million of cash and direct transaction costs. The purchase price was allocated as follows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721"/>
        <w:gridCol w:w="494"/>
        <w:gridCol w:w="144"/>
        <w:gridCol w:w="715"/>
        <w:gridCol w:w="131"/>
      </w:tblGrid>
      <w:tr>
        <w:trPr/>
        <w:tc>
          <w:tcPr>
            <w:tcW w:w="8721" w:type="dxa"/>
            <w:tcBorders/>
            <w:shd w:fill="auto" w:val="clear"/>
            <w:vAlign w:val="bottom"/>
          </w:tcPr>
          <w:p>
            <w:pPr>
              <w:pStyle w:val="TableContents"/>
              <w:spacing w:before="0" w:after="283"/>
              <w:rPr/>
            </w:pPr>
            <w:r>
              <w:rPr/>
              <w:t> </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Current assets: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Pawn loans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4,144</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Payday loans, net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106</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Pawn service charges receivable, net</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529</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Signature loan fees receivable, net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14</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Inventory, net</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1,735</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Deferred tax asset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194</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Prepaid expenses and other assets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217</w:t>
            </w:r>
          </w:p>
        </w:tc>
        <w:tc>
          <w:tcPr>
            <w:tcW w:w="131" w:type="dxa"/>
            <w:tcBorders/>
            <w:shd w:fill="auto" w:val="clear"/>
            <w:vAlign w:val="bottom"/>
          </w:tcPr>
          <w:p>
            <w:pPr>
              <w:pStyle w:val="TableContents"/>
              <w:spacing w:before="0" w:after="283"/>
              <w:rPr/>
            </w:pPr>
            <w:r>
              <w:rPr/>
              <w:t> </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Total current assets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6,939</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Property and equipment</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423</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Non-compete agreement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500</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Goodwill</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jc w:val="right"/>
              <w:rPr/>
            </w:pPr>
            <w:r>
              <w:rPr/>
              <w:t>15,443</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450" w:right="0" w:hanging="225"/>
              <w:rPr/>
            </w:pPr>
            <w:r>
              <w:rPr/>
              <w:t>Other assets, net</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jc w:val="right"/>
              <w:rPr/>
            </w:pPr>
            <w:r>
              <w:rPr/>
              <w:t>20</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Total assets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23,325</w:t>
            </w:r>
          </w:p>
        </w:tc>
        <w:tc>
          <w:tcPr>
            <w:tcW w:w="131" w:type="dxa"/>
            <w:tcBorders/>
            <w:shd w:fill="auto"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 </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rPr/>
            </w:pPr>
            <w:r>
              <w:rPr/>
              <w:t> </w:t>
            </w:r>
          </w:p>
        </w:tc>
        <w:tc>
          <w:tcPr>
            <w:tcW w:w="71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Liabilities: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rPr/>
            </w:pPr>
            <w:r>
              <w:rPr/>
              <w:t> </w:t>
            </w:r>
          </w:p>
        </w:tc>
        <w:tc>
          <w:tcPr>
            <w:tcW w:w="715"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bottom"/>
          </w:tcPr>
          <w:p>
            <w:pPr>
              <w:pStyle w:val="TableContents"/>
              <w:spacing w:before="0" w:after="0"/>
              <w:ind w:left="450" w:right="0" w:hanging="225"/>
              <w:rPr/>
            </w:pPr>
            <w:r>
              <w:rPr/>
              <w:t>Accrued liabilities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w:t>
            </w:r>
          </w:p>
        </w:tc>
        <w:tc>
          <w:tcPr>
            <w:tcW w:w="715" w:type="dxa"/>
            <w:tcBorders/>
            <w:shd w:fill="auto" w:val="clear"/>
            <w:vAlign w:val="bottom"/>
          </w:tcPr>
          <w:p>
            <w:pPr>
              <w:pStyle w:val="TableContents"/>
              <w:spacing w:before="0" w:after="283"/>
              <w:jc w:val="right"/>
              <w:rPr/>
            </w:pPr>
            <w:r>
              <w:rPr/>
              <w:t>(47</w:t>
            </w:r>
          </w:p>
        </w:tc>
        <w:tc>
          <w:tcPr>
            <w:tcW w:w="131" w:type="dxa"/>
            <w:tcBorders/>
            <w:shd w:fill="auto" w:val="clear"/>
            <w:vAlign w:val="bottom"/>
          </w:tcPr>
          <w:p>
            <w:pPr>
              <w:pStyle w:val="TableContents"/>
              <w:spacing w:before="0" w:after="283"/>
              <w:rPr/>
            </w:pPr>
            <w:r>
              <w:rPr/>
              <w:t>)</w:t>
            </w:r>
          </w:p>
        </w:tc>
      </w:tr>
      <w:tr>
        <w:trPr/>
        <w:tc>
          <w:tcPr>
            <w:tcW w:w="8721" w:type="dxa"/>
            <w:tcBorders/>
            <w:shd w:fill="CCEEFF" w:val="clear"/>
            <w:vAlign w:val="bottom"/>
          </w:tcPr>
          <w:p>
            <w:pPr>
              <w:pStyle w:val="TableContents"/>
              <w:spacing w:before="0" w:after="0"/>
              <w:ind w:left="450" w:right="0" w:hanging="225"/>
              <w:rPr/>
            </w:pPr>
            <w:r>
              <w:rPr/>
              <w:t>Customer deposits</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 </w:t>
            </w:r>
          </w:p>
        </w:tc>
        <w:tc>
          <w:tcPr>
            <w:tcW w:w="715" w:type="dxa"/>
            <w:tcBorders/>
            <w:shd w:fill="CCEEFF" w:val="clear"/>
            <w:vAlign w:val="bottom"/>
          </w:tcPr>
          <w:p>
            <w:pPr>
              <w:pStyle w:val="TableContents"/>
              <w:spacing w:before="0" w:after="283"/>
              <w:jc w:val="right"/>
              <w:rPr/>
            </w:pPr>
            <w:r>
              <w:rPr/>
              <w:t>(77</w:t>
            </w:r>
          </w:p>
        </w:tc>
        <w:tc>
          <w:tcPr>
            <w:tcW w:w="131" w:type="dxa"/>
            <w:tcBorders/>
            <w:shd w:fill="CCEEFF" w:val="clear"/>
            <w:vAlign w:val="bottom"/>
          </w:tcPr>
          <w:p>
            <w:pPr>
              <w:pStyle w:val="TableContents"/>
              <w:spacing w:before="0" w:after="283"/>
              <w:rPr/>
            </w:pPr>
            <w:r>
              <w:rPr/>
              <w:t>)</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auto" w:val="clear"/>
            <w:vAlign w:val="bottom"/>
          </w:tcPr>
          <w:p>
            <w:pPr>
              <w:pStyle w:val="TableContents"/>
              <w:spacing w:before="0" w:after="0"/>
              <w:ind w:left="225" w:right="0" w:hanging="225"/>
              <w:rPr/>
            </w:pPr>
            <w:r>
              <w:rPr/>
              <w:t>Total liabilities</w:t>
            </w:r>
          </w:p>
        </w:tc>
        <w:tc>
          <w:tcPr>
            <w:tcW w:w="494" w:type="dxa"/>
            <w:tcBorders/>
            <w:shd w:fill="auto" w:val="clear"/>
            <w:vAlign w:val="bottom"/>
          </w:tcPr>
          <w:p>
            <w:pPr>
              <w:pStyle w:val="TableContents"/>
              <w:spacing w:before="0" w:after="283"/>
              <w:rPr/>
            </w:pPr>
            <w:r>
              <w:rPr/>
              <w:t> </w:t>
            </w:r>
          </w:p>
        </w:tc>
        <w:tc>
          <w:tcPr>
            <w:tcW w:w="144" w:type="dxa"/>
            <w:tcBorders/>
            <w:shd w:fill="auto" w:val="clear"/>
            <w:vAlign w:val="bottom"/>
          </w:tcPr>
          <w:p>
            <w:pPr>
              <w:pStyle w:val="TableContents"/>
              <w:spacing w:before="0" w:after="283"/>
              <w:jc w:val="left"/>
              <w:rPr/>
            </w:pPr>
            <w:r>
              <w:rPr/>
              <w:t> </w:t>
            </w:r>
          </w:p>
        </w:tc>
        <w:tc>
          <w:tcPr>
            <w:tcW w:w="715" w:type="dxa"/>
            <w:tcBorders/>
            <w:shd w:fill="auto" w:val="clear"/>
            <w:vAlign w:val="bottom"/>
          </w:tcPr>
          <w:p>
            <w:pPr>
              <w:pStyle w:val="TableContents"/>
              <w:spacing w:before="0" w:after="283"/>
              <w:jc w:val="right"/>
              <w:rPr/>
            </w:pPr>
            <w:r>
              <w:rPr/>
              <w:t>(124</w:t>
            </w:r>
          </w:p>
        </w:tc>
        <w:tc>
          <w:tcPr>
            <w:tcW w:w="131" w:type="dxa"/>
            <w:tcBorders/>
            <w:shd w:fill="auto" w:val="clear"/>
            <w:vAlign w:val="bottom"/>
          </w:tcPr>
          <w:p>
            <w:pPr>
              <w:pStyle w:val="TableContents"/>
              <w:spacing w:before="0" w:after="283"/>
              <w:rPr/>
            </w:pPr>
            <w:r>
              <w:rPr/>
              <w:t>)</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r>
        <w:trPr/>
        <w:tc>
          <w:tcPr>
            <w:tcW w:w="8721" w:type="dxa"/>
            <w:tcBorders/>
            <w:shd w:fill="CCEEFF" w:val="clear"/>
            <w:vAlign w:val="bottom"/>
          </w:tcPr>
          <w:p>
            <w:pPr>
              <w:pStyle w:val="TableContents"/>
              <w:spacing w:before="0" w:after="0"/>
              <w:ind w:left="225" w:right="0" w:hanging="225"/>
              <w:rPr/>
            </w:pPr>
            <w:r>
              <w:rPr/>
              <w:t>Net assets acquired</w:t>
            </w:r>
          </w:p>
        </w:tc>
        <w:tc>
          <w:tcPr>
            <w:tcW w:w="494" w:type="dxa"/>
            <w:tcBorders/>
            <w:shd w:fill="CCEEFF" w:val="clear"/>
            <w:vAlign w:val="bottom"/>
          </w:tcPr>
          <w:p>
            <w:pPr>
              <w:pStyle w:val="TableContents"/>
              <w:spacing w:before="0" w:after="283"/>
              <w:rPr/>
            </w:pPr>
            <w:r>
              <w:rPr/>
              <w:t> </w:t>
            </w:r>
          </w:p>
        </w:tc>
        <w:tc>
          <w:tcPr>
            <w:tcW w:w="144" w:type="dxa"/>
            <w:tcBorders/>
            <w:shd w:fill="CCEEFF" w:val="clear"/>
            <w:vAlign w:val="bottom"/>
          </w:tcPr>
          <w:p>
            <w:pPr>
              <w:pStyle w:val="TableContents"/>
              <w:spacing w:before="0" w:after="283"/>
              <w:jc w:val="left"/>
              <w:rPr/>
            </w:pPr>
            <w:r>
              <w:rPr/>
              <w:t>$</w:t>
            </w:r>
          </w:p>
        </w:tc>
        <w:tc>
          <w:tcPr>
            <w:tcW w:w="715" w:type="dxa"/>
            <w:tcBorders/>
            <w:shd w:fill="CCEEFF" w:val="clear"/>
            <w:vAlign w:val="bottom"/>
          </w:tcPr>
          <w:p>
            <w:pPr>
              <w:pStyle w:val="TableContents"/>
              <w:spacing w:before="0" w:after="283"/>
              <w:jc w:val="right"/>
              <w:rPr/>
            </w:pPr>
            <w:r>
              <w:rPr/>
              <w:t>23,201</w:t>
            </w:r>
          </w:p>
        </w:tc>
        <w:tc>
          <w:tcPr>
            <w:tcW w:w="131" w:type="dxa"/>
            <w:tcBorders/>
            <w:shd w:fill="CCEEFF" w:val="clear"/>
            <w:vAlign w:val="bottom"/>
          </w:tcPr>
          <w:p>
            <w:pPr>
              <w:pStyle w:val="TableContents"/>
              <w:spacing w:before="0" w:after="283"/>
              <w:rPr/>
            </w:pPr>
            <w:r>
              <w:rPr/>
              <w:t> </w:t>
            </w:r>
          </w:p>
        </w:tc>
      </w:tr>
      <w:tr>
        <w:trPr/>
        <w:tc>
          <w:tcPr>
            <w:tcW w:w="8721" w:type="dxa"/>
            <w:tcBorders/>
            <w:shd w:fill="auto" w:val="clear"/>
            <w:vAlign w:val="center"/>
          </w:tcPr>
          <w:p>
            <w:pPr>
              <w:pStyle w:val="TableContents"/>
              <w:spacing w:before="0" w:after="0"/>
              <w:ind w:left="225" w:right="0" w:hanging="225"/>
              <w:rPr/>
            </w:pPr>
            <w:r>
              <w:rPr/>
              <w:t> </w:t>
            </w:r>
          </w:p>
        </w:tc>
        <w:tc>
          <w:tcPr>
            <w:tcW w:w="494" w:type="dxa"/>
            <w:tcBorders/>
            <w:shd w:fill="auto" w:val="clear"/>
            <w:vAlign w:val="center"/>
          </w:tcPr>
          <w:p>
            <w:pPr>
              <w:pStyle w:val="TableContents"/>
              <w:spacing w:before="0" w:after="283"/>
              <w:rPr/>
            </w:pPr>
            <w:r>
              <w:rPr/>
              <w:t> </w:t>
            </w:r>
          </w:p>
        </w:tc>
        <w:tc>
          <w:tcPr>
            <w:tcW w:w="8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1"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acquired three pawnshops in the fiscal year ended September 30, 2006. One was acquired in December 2005 for $1.6 million, and the other two were acquired in August 2006 for $0.6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results of all acquired stores have been consolidated with our results since their acquisition. Pro forma results of operations have not been presented because the acquisitions were not material.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D: Earnings Per Share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warrants and restricted stock awards. </w:t>
      </w:r>
    </w:p>
    <w:p>
      <w:pPr>
        <w:pStyle w:val="TextBody"/>
        <w:spacing w:before="120" w:after="283"/>
        <w:jc w:val="left"/>
        <w:rPr>
          <w:rFonts w:ascii="Times New Roman;Times;serif" w:hAnsi="Times New Roman;Times;serif"/>
          <w:sz w:val="17"/>
        </w:rPr>
      </w:pPr>
      <w:r>
        <w:rPr>
          <w:rFonts w:ascii="Times New Roman;Times;serif" w:hAnsi="Times New Roman;Times;serif"/>
          <w:sz w:val="17"/>
        </w:rPr>
        <w:t>Components of basic and diluted earnings per share are as follows (</w:t>
      </w:r>
      <w:r>
        <w:rPr>
          <w:rFonts w:ascii="Times New Roman;Times;serif" w:hAnsi="Times New Roman;Times;serif"/>
          <w:i/>
          <w:sz w:val="17"/>
        </w:rPr>
        <w:t>in thousands, except per share amounts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4338"/>
        <w:gridCol w:w="402"/>
        <w:gridCol w:w="162"/>
        <w:gridCol w:w="801"/>
        <w:gridCol w:w="111"/>
        <w:gridCol w:w="407"/>
        <w:gridCol w:w="162"/>
        <w:gridCol w:w="802"/>
        <w:gridCol w:w="106"/>
        <w:gridCol w:w="402"/>
        <w:gridCol w:w="158"/>
        <w:gridCol w:w="780"/>
        <w:gridCol w:w="110"/>
        <w:gridCol w:w="406"/>
        <w:gridCol w:w="158"/>
        <w:gridCol w:w="782"/>
        <w:gridCol w:w="118"/>
      </w:tblGrid>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445" w:type="dxa"/>
            <w:gridSpan w:val="6"/>
            <w:tcBorders/>
            <w:shd w:fill="auto" w:val="clear"/>
            <w:vAlign w:val="bottom"/>
          </w:tcPr>
          <w:p>
            <w:pPr>
              <w:pStyle w:val="TableContents"/>
              <w:spacing w:before="0" w:after="283"/>
              <w:jc w:val="center"/>
              <w:rPr/>
            </w:pPr>
            <w:r>
              <w:rPr/>
              <w:t>Three Months Ended</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394" w:type="dxa"/>
            <w:gridSpan w:val="6"/>
            <w:tcBorders/>
            <w:shd w:fill="auto" w:val="clear"/>
            <w:vAlign w:val="bottom"/>
          </w:tcPr>
          <w:p>
            <w:pPr>
              <w:pStyle w:val="TableContents"/>
              <w:spacing w:before="0" w:after="283"/>
              <w:jc w:val="center"/>
              <w:rPr/>
            </w:pPr>
            <w:r>
              <w:rPr/>
              <w:t>Nine Months Ended</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445"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2394"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963"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964"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938"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940"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Net income (A)</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6,762</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5,608</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0" w:type="dxa"/>
            <w:tcBorders/>
            <w:shd w:fill="CCEEFF" w:val="clear"/>
            <w:vAlign w:val="bottom"/>
          </w:tcPr>
          <w:p>
            <w:pPr>
              <w:pStyle w:val="TableContents"/>
              <w:spacing w:before="0" w:after="283"/>
              <w:jc w:val="right"/>
              <w:rPr/>
            </w:pPr>
            <w:r>
              <w:rPr/>
              <w:t>26,719</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2" w:type="dxa"/>
            <w:tcBorders/>
            <w:shd w:fill="CCEEFF" w:val="clear"/>
            <w:vAlign w:val="bottom"/>
          </w:tcPr>
          <w:p>
            <w:pPr>
              <w:pStyle w:val="TableContents"/>
              <w:spacing w:before="0" w:after="283"/>
              <w:jc w:val="right"/>
              <w:rPr/>
            </w:pPr>
            <w:r>
              <w:rPr/>
              <w:t>20,091</w:t>
            </w:r>
          </w:p>
        </w:tc>
        <w:tc>
          <w:tcPr>
            <w:tcW w:w="118" w:type="dxa"/>
            <w:tcBorders/>
            <w:shd w:fill="CCEEFF"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Weighted average outstanding shares of common stock (B)</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41,282</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39,657</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40,943</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39,174</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Dilutive effect of stock options, warrants, and restricted stock</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1" w:type="dxa"/>
            <w:tcBorders/>
            <w:shd w:fill="CCEEFF" w:val="clear"/>
            <w:vAlign w:val="bottom"/>
          </w:tcPr>
          <w:p>
            <w:pPr>
              <w:pStyle w:val="TableContents"/>
              <w:spacing w:before="0" w:after="283"/>
              <w:jc w:val="right"/>
              <w:rPr/>
            </w:pPr>
            <w:r>
              <w:rPr/>
              <w:t>2,200</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rPr/>
            </w:pPr>
            <w:r>
              <w:rPr/>
              <w:t> </w:t>
            </w:r>
          </w:p>
        </w:tc>
        <w:tc>
          <w:tcPr>
            <w:tcW w:w="802" w:type="dxa"/>
            <w:tcBorders/>
            <w:shd w:fill="CCEEFF" w:val="clear"/>
            <w:vAlign w:val="bottom"/>
          </w:tcPr>
          <w:p>
            <w:pPr>
              <w:pStyle w:val="TableContents"/>
              <w:spacing w:before="0" w:after="283"/>
              <w:jc w:val="right"/>
              <w:rPr/>
            </w:pPr>
            <w:r>
              <w:rPr/>
              <w:t>2,900</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0" w:type="dxa"/>
            <w:tcBorders/>
            <w:shd w:fill="CCEEFF" w:val="clear"/>
            <w:vAlign w:val="bottom"/>
          </w:tcPr>
          <w:p>
            <w:pPr>
              <w:pStyle w:val="TableContents"/>
              <w:spacing w:before="0" w:after="283"/>
              <w:jc w:val="right"/>
              <w:rPr/>
            </w:pPr>
            <w:r>
              <w:rPr/>
              <w:t>2,450</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782" w:type="dxa"/>
            <w:tcBorders/>
            <w:shd w:fill="CCEEFF" w:val="clear"/>
            <w:vAlign w:val="bottom"/>
          </w:tcPr>
          <w:p>
            <w:pPr>
              <w:pStyle w:val="TableContents"/>
              <w:spacing w:before="0" w:after="283"/>
              <w:jc w:val="right"/>
              <w:rPr/>
            </w:pPr>
            <w:r>
              <w:rPr/>
              <w:t>2,749</w:t>
            </w:r>
          </w:p>
        </w:tc>
        <w:tc>
          <w:tcPr>
            <w:tcW w:w="118" w:type="dxa"/>
            <w:tcBorders/>
            <w:shd w:fill="CCEEFF"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Weighted average common stock and common stock equivalents (C)</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right"/>
              <w:rPr/>
            </w:pPr>
            <w:r>
              <w:rPr/>
              <w:t>43,482</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jc w:val="right"/>
              <w:rPr/>
            </w:pPr>
            <w:r>
              <w:rPr/>
              <w:t>42,557</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jc w:val="right"/>
              <w:rPr/>
            </w:pPr>
            <w:r>
              <w:rPr/>
              <w:t>43,393</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jc w:val="right"/>
              <w:rPr/>
            </w:pPr>
            <w:r>
              <w:rPr/>
              <w:t>41,923</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CCEEFF" w:val="clear"/>
            <w:vAlign w:val="bottom"/>
          </w:tcPr>
          <w:p>
            <w:pPr>
              <w:pStyle w:val="TableContents"/>
              <w:spacing w:before="0" w:after="0"/>
              <w:ind w:left="225" w:right="0" w:hanging="225"/>
              <w:rPr/>
            </w:pPr>
            <w:r>
              <w:rPr/>
              <w:t>Basic earnings per share (A/B)</w:t>
            </w:r>
          </w:p>
        </w:tc>
        <w:tc>
          <w:tcPr>
            <w:tcW w:w="402"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1" w:type="dxa"/>
            <w:tcBorders/>
            <w:shd w:fill="CCEEFF" w:val="clear"/>
            <w:vAlign w:val="bottom"/>
          </w:tcPr>
          <w:p>
            <w:pPr>
              <w:pStyle w:val="TableContents"/>
              <w:spacing w:before="0" w:after="283"/>
              <w:jc w:val="right"/>
              <w:rPr/>
            </w:pPr>
            <w:r>
              <w:rPr/>
              <w:t>0.16</w:t>
            </w:r>
          </w:p>
        </w:tc>
        <w:tc>
          <w:tcPr>
            <w:tcW w:w="111" w:type="dxa"/>
            <w:tcBorders/>
            <w:shd w:fill="CCEEFF" w:val="clear"/>
            <w:vAlign w:val="bottom"/>
          </w:tcPr>
          <w:p>
            <w:pPr>
              <w:pStyle w:val="TableContents"/>
              <w:spacing w:before="0" w:after="283"/>
              <w:rPr/>
            </w:pPr>
            <w:r>
              <w:rPr/>
              <w:t> </w:t>
            </w:r>
          </w:p>
        </w:tc>
        <w:tc>
          <w:tcPr>
            <w:tcW w:w="407" w:type="dxa"/>
            <w:tcBorders/>
            <w:shd w:fill="CCEEFF" w:val="clear"/>
            <w:vAlign w:val="bottom"/>
          </w:tcPr>
          <w:p>
            <w:pPr>
              <w:pStyle w:val="TableContents"/>
              <w:spacing w:before="0" w:after="283"/>
              <w:rPr/>
            </w:pPr>
            <w:r>
              <w:rPr/>
              <w:t> </w:t>
            </w:r>
          </w:p>
        </w:tc>
        <w:tc>
          <w:tcPr>
            <w:tcW w:w="162" w:type="dxa"/>
            <w:tcBorders/>
            <w:shd w:fill="CCEEFF" w:val="clear"/>
            <w:vAlign w:val="bottom"/>
          </w:tcPr>
          <w:p>
            <w:pPr>
              <w:pStyle w:val="TableContents"/>
              <w:spacing w:before="0" w:after="283"/>
              <w:jc w:val="left"/>
              <w:rPr/>
            </w:pPr>
            <w:r>
              <w:rPr/>
              <w:t>$</w:t>
            </w:r>
          </w:p>
        </w:tc>
        <w:tc>
          <w:tcPr>
            <w:tcW w:w="802" w:type="dxa"/>
            <w:tcBorders/>
            <w:shd w:fill="CCEEFF" w:val="clear"/>
            <w:vAlign w:val="bottom"/>
          </w:tcPr>
          <w:p>
            <w:pPr>
              <w:pStyle w:val="TableContents"/>
              <w:spacing w:before="0" w:after="283"/>
              <w:jc w:val="right"/>
              <w:rPr/>
            </w:pPr>
            <w:r>
              <w:rPr/>
              <w:t>0.14</w:t>
            </w:r>
          </w:p>
        </w:tc>
        <w:tc>
          <w:tcPr>
            <w:tcW w:w="106" w:type="dxa"/>
            <w:tcBorders/>
            <w:shd w:fill="CCEEFF" w:val="clear"/>
            <w:vAlign w:val="bottom"/>
          </w:tcPr>
          <w:p>
            <w:pPr>
              <w:pStyle w:val="TableContents"/>
              <w:spacing w:before="0" w:after="283"/>
              <w:rPr/>
            </w:pPr>
            <w:r>
              <w:rPr/>
              <w:t> </w:t>
            </w:r>
          </w:p>
        </w:tc>
        <w:tc>
          <w:tcPr>
            <w:tcW w:w="402"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0" w:type="dxa"/>
            <w:tcBorders/>
            <w:shd w:fill="CCEEFF" w:val="clear"/>
            <w:vAlign w:val="bottom"/>
          </w:tcPr>
          <w:p>
            <w:pPr>
              <w:pStyle w:val="TableContents"/>
              <w:spacing w:before="0" w:after="283"/>
              <w:jc w:val="right"/>
              <w:rPr/>
            </w:pPr>
            <w:r>
              <w:rPr/>
              <w:t>0.65</w:t>
            </w:r>
          </w:p>
        </w:tc>
        <w:tc>
          <w:tcPr>
            <w:tcW w:w="110"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782" w:type="dxa"/>
            <w:tcBorders/>
            <w:shd w:fill="CCEEFF" w:val="clear"/>
            <w:vAlign w:val="bottom"/>
          </w:tcPr>
          <w:p>
            <w:pPr>
              <w:pStyle w:val="TableContents"/>
              <w:spacing w:before="0" w:after="283"/>
              <w:jc w:val="right"/>
              <w:rPr/>
            </w:pPr>
            <w:r>
              <w:rPr/>
              <w:t>0.51</w:t>
            </w:r>
          </w:p>
        </w:tc>
        <w:tc>
          <w:tcPr>
            <w:tcW w:w="118" w:type="dxa"/>
            <w:tcBorders/>
            <w:shd w:fill="CCEEFF"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 </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802" w:type="dxa"/>
            <w:tcBorders/>
            <w:shd w:fill="auto" w:val="clear"/>
            <w:vAlign w:val="bottom"/>
          </w:tcPr>
          <w:p>
            <w:pPr>
              <w:pStyle w:val="TableContents"/>
              <w:spacing w:before="0" w:after="283"/>
              <w:rPr/>
            </w:pPr>
            <w:r>
              <w:rPr/>
              <w:t> </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782"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bottom"/>
          </w:tcPr>
          <w:p>
            <w:pPr>
              <w:pStyle w:val="TableContents"/>
              <w:spacing w:before="0" w:after="0"/>
              <w:ind w:left="225" w:right="0" w:hanging="225"/>
              <w:rPr/>
            </w:pPr>
            <w:r>
              <w:rPr/>
              <w:t>Diluted earnings per share (A/C)</w:t>
            </w:r>
          </w:p>
        </w:tc>
        <w:tc>
          <w:tcPr>
            <w:tcW w:w="402"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1" w:type="dxa"/>
            <w:tcBorders/>
            <w:shd w:fill="auto" w:val="clear"/>
            <w:vAlign w:val="bottom"/>
          </w:tcPr>
          <w:p>
            <w:pPr>
              <w:pStyle w:val="TableContents"/>
              <w:spacing w:before="0" w:after="283"/>
              <w:jc w:val="right"/>
              <w:rPr/>
            </w:pPr>
            <w:r>
              <w:rPr/>
              <w:t>0.16</w:t>
            </w:r>
          </w:p>
        </w:tc>
        <w:tc>
          <w:tcPr>
            <w:tcW w:w="111"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jc w:val="left"/>
              <w:rPr/>
            </w:pPr>
            <w:r>
              <w:rPr/>
              <w:t>$</w:t>
            </w:r>
          </w:p>
        </w:tc>
        <w:tc>
          <w:tcPr>
            <w:tcW w:w="802" w:type="dxa"/>
            <w:tcBorders/>
            <w:shd w:fill="auto" w:val="clear"/>
            <w:vAlign w:val="bottom"/>
          </w:tcPr>
          <w:p>
            <w:pPr>
              <w:pStyle w:val="TableContents"/>
              <w:spacing w:before="0" w:after="283"/>
              <w:jc w:val="right"/>
              <w:rPr/>
            </w:pPr>
            <w:r>
              <w:rPr/>
              <w:t>0.13</w:t>
            </w:r>
          </w:p>
        </w:tc>
        <w:tc>
          <w:tcPr>
            <w:tcW w:w="106" w:type="dxa"/>
            <w:tcBorders/>
            <w:shd w:fill="auto" w:val="clear"/>
            <w:vAlign w:val="bottom"/>
          </w:tcPr>
          <w:p>
            <w:pPr>
              <w:pStyle w:val="TableContents"/>
              <w:spacing w:before="0" w:after="283"/>
              <w:rPr/>
            </w:pPr>
            <w:r>
              <w:rPr/>
              <w:t> </w:t>
            </w:r>
          </w:p>
        </w:tc>
        <w:tc>
          <w:tcPr>
            <w:tcW w:w="402"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80" w:type="dxa"/>
            <w:tcBorders/>
            <w:shd w:fill="auto" w:val="clear"/>
            <w:vAlign w:val="bottom"/>
          </w:tcPr>
          <w:p>
            <w:pPr>
              <w:pStyle w:val="TableContents"/>
              <w:spacing w:before="0" w:after="283"/>
              <w:jc w:val="right"/>
              <w:rPr/>
            </w:pPr>
            <w:r>
              <w:rPr/>
              <w:t>0.62</w:t>
            </w:r>
          </w:p>
        </w:tc>
        <w:tc>
          <w:tcPr>
            <w:tcW w:w="11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jc w:val="left"/>
              <w:rPr/>
            </w:pPr>
            <w:r>
              <w:rPr/>
              <w:t>$</w:t>
            </w:r>
          </w:p>
        </w:tc>
        <w:tc>
          <w:tcPr>
            <w:tcW w:w="782" w:type="dxa"/>
            <w:tcBorders/>
            <w:shd w:fill="auto" w:val="clear"/>
            <w:vAlign w:val="bottom"/>
          </w:tcPr>
          <w:p>
            <w:pPr>
              <w:pStyle w:val="TableContents"/>
              <w:spacing w:before="0" w:after="283"/>
              <w:jc w:val="right"/>
              <w:rPr/>
            </w:pPr>
            <w:r>
              <w:rPr/>
              <w:t>0.48</w:t>
            </w:r>
          </w:p>
        </w:tc>
        <w:tc>
          <w:tcPr>
            <w:tcW w:w="118" w:type="dxa"/>
            <w:tcBorders/>
            <w:shd w:fill="auto" w:val="clear"/>
            <w:vAlign w:val="bottom"/>
          </w:tcPr>
          <w:p>
            <w:pPr>
              <w:pStyle w:val="TableContents"/>
              <w:spacing w:before="0" w:after="283"/>
              <w:rPr/>
            </w:pPr>
            <w:r>
              <w:rPr/>
              <w:t> </w:t>
            </w:r>
          </w:p>
        </w:tc>
      </w:tr>
      <w:tr>
        <w:trPr/>
        <w:tc>
          <w:tcPr>
            <w:tcW w:w="4338" w:type="dxa"/>
            <w:tcBorders/>
            <w:shd w:fill="auto" w:val="clear"/>
            <w:vAlign w:val="center"/>
          </w:tcPr>
          <w:p>
            <w:pPr>
              <w:pStyle w:val="TableContents"/>
              <w:spacing w:before="0" w:after="0"/>
              <w:ind w:left="225" w:right="0" w:hanging="225"/>
              <w:rPr/>
            </w:pPr>
            <w:r>
              <w:rPr/>
              <w:t> </w:t>
            </w:r>
          </w:p>
        </w:tc>
        <w:tc>
          <w:tcPr>
            <w:tcW w:w="402" w:type="dxa"/>
            <w:tcBorders/>
            <w:shd w:fill="auto" w:val="clear"/>
            <w:vAlign w:val="center"/>
          </w:tcPr>
          <w:p>
            <w:pPr>
              <w:pStyle w:val="TableContents"/>
              <w:spacing w:before="0" w:after="283"/>
              <w:rPr/>
            </w:pPr>
            <w:r>
              <w:rPr/>
              <w:t> </w:t>
            </w:r>
          </w:p>
        </w:tc>
        <w:tc>
          <w:tcPr>
            <w:tcW w:w="9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407" w:type="dxa"/>
            <w:tcBorders/>
            <w:shd w:fill="auto" w:val="clear"/>
            <w:vAlign w:val="center"/>
          </w:tcPr>
          <w:p>
            <w:pPr>
              <w:pStyle w:val="TableContents"/>
              <w:spacing w:before="0" w:after="283"/>
              <w:rPr/>
            </w:pPr>
            <w:r>
              <w:rPr/>
              <w:t> </w:t>
            </w:r>
          </w:p>
        </w:tc>
        <w:tc>
          <w:tcPr>
            <w:tcW w:w="96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6" w:type="dxa"/>
            <w:tcBorders/>
            <w:shd w:fill="auto" w:val="clear"/>
            <w:vAlign w:val="center"/>
          </w:tcPr>
          <w:p>
            <w:pPr>
              <w:pStyle w:val="TableContents"/>
              <w:spacing w:before="0" w:after="283"/>
              <w:rPr/>
            </w:pPr>
            <w:r>
              <w:rPr/>
              <w:t> </w:t>
            </w:r>
          </w:p>
        </w:tc>
        <w:tc>
          <w:tcPr>
            <w:tcW w:w="402" w:type="dxa"/>
            <w:tcBorders/>
            <w:shd w:fill="auto" w:val="clear"/>
            <w:vAlign w:val="center"/>
          </w:tcPr>
          <w:p>
            <w:pPr>
              <w:pStyle w:val="TableContents"/>
              <w:spacing w:before="0" w:after="283"/>
              <w:rPr/>
            </w:pPr>
            <w:r>
              <w:rPr/>
              <w:t> </w:t>
            </w:r>
          </w:p>
        </w:tc>
        <w:tc>
          <w:tcPr>
            <w:tcW w:w="9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94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Anti-dilutive options, warrants and restricted stock grants have been excluded from the computation of diluted earnings per share because the assumed proceeds upon exercise, as defined by SFAS No. 123(R), were greater than </w:t>
      </w:r>
    </w:p>
    <w:p>
      <w:pPr>
        <w:pStyle w:val="TextBody"/>
        <w:jc w:val="center"/>
        <w:rPr>
          <w:rFonts w:ascii="Times New Roman;Times;serif" w:hAnsi="Times New Roman;Times;serif"/>
          <w:sz w:val="17"/>
        </w:rPr>
      </w:pPr>
      <w:r>
        <w:rPr>
          <w:rFonts w:ascii="Times New Roman;Times;serif" w:hAnsi="Times New Roman;Times;serif"/>
          <w:sz w:val="17"/>
        </w:rPr>
        <w:t xml:space="preserve">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cost to re-acquire the same number of shares at the average market price, and therefore the effect would be anti-dilutive.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E: Investment in Unconsolidated Affiliate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2007, we owned 13,276,666 common shares of Albemarle &amp; Bond Holdings, plc (A&amp;B), or approximately 28.4% of the total outstanding shares. The investment is accounted for using the equity method. Since A&amp;Bs fiscal year ends three months prior to ours, we report the income from this investment on a three-month lag. A&amp;B files interim and annual financial reports for its fiscal periods ending December 31 and June 30. The income reported for our current year-to-date period ended June 30, 2007 represents our percentage interest in the results of A&amp;Bs operations from July 1, 2006 to March 31,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Below is summarized financial information for A&amp;Bs most recently reported results (</w:t>
      </w:r>
      <w:r>
        <w:rPr>
          <w:rFonts w:ascii="Times New Roman;Times;serif" w:hAnsi="Times New Roman;Times;serif"/>
          <w:i/>
          <w:sz w:val="17"/>
        </w:rPr>
        <w:t>using average exchange rates for the periods indicated</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6054"/>
        <w:gridCol w:w="409"/>
        <w:gridCol w:w="256"/>
        <w:gridCol w:w="1256"/>
        <w:gridCol w:w="151"/>
        <w:gridCol w:w="444"/>
        <w:gridCol w:w="256"/>
        <w:gridCol w:w="1259"/>
        <w:gridCol w:w="120"/>
      </w:tblGrid>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3622" w:type="dxa"/>
            <w:gridSpan w:val="6"/>
            <w:tcBorders>
              <w:bottom w:val="single" w:sz="2" w:space="0" w:color="000000"/>
            </w:tcBorders>
            <w:shd w:fill="auto" w:val="clear"/>
            <w:tcMar>
              <w:bottom w:w="28" w:type="dxa"/>
            </w:tcMar>
            <w:vAlign w:val="bottom"/>
          </w:tcPr>
          <w:p>
            <w:pPr>
              <w:pStyle w:val="TableContents"/>
              <w:spacing w:before="0" w:after="283"/>
              <w:jc w:val="center"/>
              <w:rPr/>
            </w:pPr>
            <w:r>
              <w:rPr/>
              <w:t>Six Months Ended December 31,</w:t>
            </w:r>
          </w:p>
        </w:tc>
        <w:tc>
          <w:tcPr>
            <w:tcW w:w="120" w:type="dxa"/>
            <w:tcBorders/>
            <w:shd w:fill="auto"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1512"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5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1515" w:type="dxa"/>
            <w:gridSpan w:val="2"/>
            <w:tcBorders>
              <w:bottom w:val="single" w:sz="2" w:space="0" w:color="000000"/>
            </w:tcBorders>
            <w:shd w:fill="auto" w:val="clear"/>
            <w:tcMar>
              <w:bottom w:w="28" w:type="dxa"/>
            </w:tcMar>
            <w:vAlign w:val="bottom"/>
          </w:tcPr>
          <w:p>
            <w:pPr>
              <w:pStyle w:val="TableContents"/>
              <w:spacing w:before="0" w:after="283"/>
              <w:jc w:val="right"/>
              <w:rPr/>
            </w:pPr>
            <w:r>
              <w:rPr/>
              <w:t>2005</w:t>
            </w:r>
          </w:p>
        </w:tc>
        <w:tc>
          <w:tcPr>
            <w:tcW w:w="120" w:type="dxa"/>
            <w:tcBorders/>
            <w:shd w:fill="auto"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3742" w:type="dxa"/>
            <w:gridSpan w:val="7"/>
            <w:tcBorders/>
            <w:shd w:fill="auto" w:val="clear"/>
            <w:vAlign w:val="bottom"/>
          </w:tcPr>
          <w:p>
            <w:pPr>
              <w:pStyle w:val="TableContents"/>
              <w:spacing w:before="0" w:after="283"/>
              <w:jc w:val="center"/>
              <w:rPr>
                <w:i/>
              </w:rPr>
            </w:pPr>
            <w:r>
              <w:rPr>
                <w:i/>
              </w:rPr>
              <w:t>(in thousands)</w:t>
            </w:r>
          </w:p>
        </w:tc>
      </w:tr>
      <w:tr>
        <w:trPr/>
        <w:tc>
          <w:tcPr>
            <w:tcW w:w="6054" w:type="dxa"/>
            <w:tcBorders/>
            <w:shd w:fill="CCEEFF" w:val="clear"/>
            <w:vAlign w:val="bottom"/>
          </w:tcPr>
          <w:p>
            <w:pPr>
              <w:pStyle w:val="TableContents"/>
              <w:spacing w:before="0" w:after="0"/>
              <w:ind w:left="225" w:right="0" w:hanging="225"/>
              <w:rPr/>
            </w:pPr>
            <w:r>
              <w:rPr/>
              <w:t>Turnover (gross revenues)</w:t>
            </w:r>
          </w:p>
        </w:tc>
        <w:tc>
          <w:tcPr>
            <w:tcW w:w="40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right"/>
              <w:rPr/>
            </w:pPr>
            <w:r>
              <w:rPr/>
              <w:t>$</w:t>
            </w:r>
          </w:p>
        </w:tc>
        <w:tc>
          <w:tcPr>
            <w:tcW w:w="1256" w:type="dxa"/>
            <w:tcBorders/>
            <w:shd w:fill="CCEEFF" w:val="clear"/>
            <w:vAlign w:val="bottom"/>
          </w:tcPr>
          <w:p>
            <w:pPr>
              <w:pStyle w:val="TableContents"/>
              <w:spacing w:before="0" w:after="283"/>
              <w:jc w:val="right"/>
              <w:rPr/>
            </w:pPr>
            <w:r>
              <w:rPr/>
              <w:t>32,853</w:t>
            </w:r>
          </w:p>
        </w:tc>
        <w:tc>
          <w:tcPr>
            <w:tcW w:w="151"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jc w:val="right"/>
              <w:rPr/>
            </w:pPr>
            <w:r>
              <w:rPr/>
              <w:t>$</w:t>
            </w:r>
          </w:p>
        </w:tc>
        <w:tc>
          <w:tcPr>
            <w:tcW w:w="1259" w:type="dxa"/>
            <w:tcBorders/>
            <w:shd w:fill="CCEEFF" w:val="clear"/>
            <w:vAlign w:val="bottom"/>
          </w:tcPr>
          <w:p>
            <w:pPr>
              <w:pStyle w:val="TableContents"/>
              <w:spacing w:before="0" w:after="283"/>
              <w:jc w:val="right"/>
              <w:rPr/>
            </w:pPr>
            <w:r>
              <w:rPr/>
              <w:t>26,391</w:t>
            </w:r>
          </w:p>
        </w:tc>
        <w:tc>
          <w:tcPr>
            <w:tcW w:w="120" w:type="dxa"/>
            <w:tcBorders/>
            <w:shd w:fill="CCEEFF" w:val="clear"/>
            <w:vAlign w:val="bottom"/>
          </w:tcPr>
          <w:p>
            <w:pPr>
              <w:pStyle w:val="TableContents"/>
              <w:spacing w:before="0" w:after="283"/>
              <w:rPr/>
            </w:pPr>
            <w:r>
              <w:rPr/>
              <w:t> </w:t>
            </w:r>
          </w:p>
        </w:tc>
      </w:tr>
      <w:tr>
        <w:trPr/>
        <w:tc>
          <w:tcPr>
            <w:tcW w:w="6054" w:type="dxa"/>
            <w:tcBorders/>
            <w:shd w:fill="auto" w:val="clear"/>
            <w:vAlign w:val="bottom"/>
          </w:tcPr>
          <w:p>
            <w:pPr>
              <w:pStyle w:val="TableContents"/>
              <w:spacing w:before="0" w:after="0"/>
              <w:ind w:left="225" w:right="0" w:hanging="225"/>
              <w:rPr/>
            </w:pPr>
            <w:r>
              <w:rPr/>
              <w:t>Gross profit</w:t>
            </w:r>
          </w:p>
        </w:tc>
        <w:tc>
          <w:tcPr>
            <w:tcW w:w="409"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6" w:type="dxa"/>
            <w:tcBorders/>
            <w:shd w:fill="auto" w:val="clear"/>
            <w:vAlign w:val="bottom"/>
          </w:tcPr>
          <w:p>
            <w:pPr>
              <w:pStyle w:val="TableContents"/>
              <w:spacing w:before="0" w:after="283"/>
              <w:jc w:val="right"/>
              <w:rPr/>
            </w:pPr>
            <w:r>
              <w:rPr/>
              <w:t>23,631</w:t>
            </w:r>
          </w:p>
        </w:tc>
        <w:tc>
          <w:tcPr>
            <w:tcW w:w="151" w:type="dxa"/>
            <w:tcBorders/>
            <w:shd w:fill="auto" w:val="clear"/>
            <w:vAlign w:val="bottom"/>
          </w:tcPr>
          <w:p>
            <w:pPr>
              <w:pStyle w:val="TableContents"/>
              <w:spacing w:before="0" w:after="283"/>
              <w:rPr/>
            </w:pPr>
            <w:r>
              <w:rPr/>
              <w:t> </w:t>
            </w:r>
          </w:p>
        </w:tc>
        <w:tc>
          <w:tcPr>
            <w:tcW w:w="444"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259" w:type="dxa"/>
            <w:tcBorders/>
            <w:shd w:fill="auto" w:val="clear"/>
            <w:vAlign w:val="bottom"/>
          </w:tcPr>
          <w:p>
            <w:pPr>
              <w:pStyle w:val="TableContents"/>
              <w:spacing w:before="0" w:after="283"/>
              <w:jc w:val="right"/>
              <w:rPr/>
            </w:pPr>
            <w:r>
              <w:rPr/>
              <w:t>18,207</w:t>
            </w:r>
          </w:p>
        </w:tc>
        <w:tc>
          <w:tcPr>
            <w:tcW w:w="120" w:type="dxa"/>
            <w:tcBorders/>
            <w:shd w:fill="auto" w:val="clear"/>
            <w:vAlign w:val="bottom"/>
          </w:tcPr>
          <w:p>
            <w:pPr>
              <w:pStyle w:val="TableContents"/>
              <w:spacing w:before="0" w:after="283"/>
              <w:rPr/>
            </w:pPr>
            <w:r>
              <w:rPr/>
              <w:t> </w:t>
            </w:r>
          </w:p>
        </w:tc>
      </w:tr>
      <w:tr>
        <w:trPr/>
        <w:tc>
          <w:tcPr>
            <w:tcW w:w="6054" w:type="dxa"/>
            <w:tcBorders/>
            <w:shd w:fill="CCEEFF" w:val="clear"/>
            <w:vAlign w:val="bottom"/>
          </w:tcPr>
          <w:p>
            <w:pPr>
              <w:pStyle w:val="TableContents"/>
              <w:spacing w:before="0" w:after="0"/>
              <w:ind w:left="225" w:right="0" w:hanging="225"/>
              <w:rPr/>
            </w:pPr>
            <w:r>
              <w:rPr/>
              <w:t>Profit after tax (net income)</w:t>
            </w:r>
          </w:p>
        </w:tc>
        <w:tc>
          <w:tcPr>
            <w:tcW w:w="409"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256" w:type="dxa"/>
            <w:tcBorders/>
            <w:shd w:fill="CCEEFF" w:val="clear"/>
            <w:vAlign w:val="bottom"/>
          </w:tcPr>
          <w:p>
            <w:pPr>
              <w:pStyle w:val="TableContents"/>
              <w:spacing w:before="0" w:after="283"/>
              <w:jc w:val="right"/>
              <w:rPr/>
            </w:pPr>
            <w:r>
              <w:rPr/>
              <w:t>5,148</w:t>
            </w:r>
          </w:p>
        </w:tc>
        <w:tc>
          <w:tcPr>
            <w:tcW w:w="151" w:type="dxa"/>
            <w:tcBorders/>
            <w:shd w:fill="CCEEFF" w:val="clear"/>
            <w:vAlign w:val="bottom"/>
          </w:tcPr>
          <w:p>
            <w:pPr>
              <w:pStyle w:val="TableContents"/>
              <w:spacing w:before="0" w:after="283"/>
              <w:rPr/>
            </w:pPr>
            <w:r>
              <w:rPr/>
              <w:t> </w:t>
            </w:r>
          </w:p>
        </w:tc>
        <w:tc>
          <w:tcPr>
            <w:tcW w:w="444"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259" w:type="dxa"/>
            <w:tcBorders/>
            <w:shd w:fill="CCEEFF" w:val="clear"/>
            <w:vAlign w:val="bottom"/>
          </w:tcPr>
          <w:p>
            <w:pPr>
              <w:pStyle w:val="TableContents"/>
              <w:spacing w:before="0" w:after="283"/>
              <w:jc w:val="right"/>
              <w:rPr/>
            </w:pPr>
            <w:r>
              <w:rPr/>
              <w:t>4,134</w:t>
            </w:r>
          </w:p>
        </w:tc>
        <w:tc>
          <w:tcPr>
            <w:tcW w:w="120" w:type="dxa"/>
            <w:tcBorders/>
            <w:shd w:fill="CCEEFF"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On July 11, 2007, we purchased 3,022,209 additional shares of A&amp;Bs common stock as part of a private placement of stock by A&amp;B. The purchase increased our ownership percentage to 29.95% of the outstanding shares of A&amp;B. Because we include A&amp;Bs earnings in our financial statements on a three-month lag as described above, our incremental share of A&amp;Bs results of operations will first be reflected in our results in the quarter ending December 31, 2007. For further discussion, see Note L, </w:t>
      </w:r>
      <w:r>
        <w:rPr>
          <w:rFonts w:ascii="Times New Roman;Times;serif" w:hAnsi="Times New Roman;Times;serif"/>
          <w:i/>
          <w:sz w:val="17"/>
        </w:rPr>
        <w:t>Subsequent Event</w:t>
      </w:r>
      <w:r>
        <w:rPr>
          <w:rFonts w:ascii="Times New Roman;Times;serif" w:hAnsi="Times New Roman;Times;serif"/>
          <w:sz w:val="17"/>
        </w:rPr>
        <w:t xml:space="preserve">.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F: Contingencies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Currently and from time to time, we are defendants in legal and regulatory actions. While we cannot determine the ultimate outcome of these actions, after consultation with counsel, we believe their resolution will not have a material adverse effect on our financial condition, results of operations or liquidity. However, we cannot give any assurance as to their ultimate outcome.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May 2007, the State of Texas filed suit against EZCORP, Inc. and its Texas affiliates in state district court in Bexar County alleging violations of the Texas Identity Theft statute, Deceptive Trade Practices Act, and a provision of the Business and Commerce Code by allegedly failing to safeguard and properly dispose of customers sensitive personal information. In late May 2007, we voluntarily entered into an Agreed Temporary Injunction regarding the safeguarding and disposal of the information and are in the process of negotiating a resolution. We have reviewed and enhanced our information security polices to address the States concerns.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G: Comprehensive Income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Comprehensive income includes net income and other revenues, expenses, gains and losses that are excluded from net income but are included as a component of total stockholders equity. Comprehensive income for the current quarter and current year-to-date period ended June 30, 2007 was $6.8 million and $27.8 million. For the comparable 2006 periods, comprehensive income was $5.7 million and $19.8 million, respectively. The difference between comprehensive income and net income results from the effect of foreign currency translation adjustments determined in accordance with SFAS No. 52, Foreign Currency Translation. At June 30, 2007, the accumulated balance of foreign currency activity excluded from net income was $3.5 million, net of tax of $1.2 million. The net $2.3 million is presented as Accumulated other comprehensive income in the current quarter balance sheet.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H: Long-term Debt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While we had no debt at June 30, 2007 and 2006, we have a $40.0 million revolving credit facility secured by our assets, which matures October 1, 2009. For any borrowed funds, we may choose a Eurodollar rate plus 100 to 200 basis points (depending on the leverage ratio) or the agent banks base rate. On the unused amount of the revolving </w:t>
      </w:r>
    </w:p>
    <w:p>
      <w:pPr>
        <w:pStyle w:val="TextBody"/>
        <w:jc w:val="center"/>
        <w:rPr>
          <w:rFonts w:ascii="Times New Roman;Times;serif" w:hAnsi="Times New Roman;Times;serif"/>
          <w:sz w:val="17"/>
        </w:rPr>
      </w:pPr>
      <w:r>
        <w:rPr>
          <w:rFonts w:ascii="Times New Roman;Times;serif" w:hAnsi="Times New Roman;Times;serif"/>
          <w:sz w:val="17"/>
        </w:rPr>
        <w:t xml:space="preserve">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facility, we pay a commitment fee of 25 to 30 basis points depending on the leverage ratio calculated at the end of each quarter. Terms of the agreement require, among other things, that we meet certain financial covenants. Payment of dividends and additional debt are allowed but restricted.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I: Goodwill and Other Intangible Assets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balance of each major class of indefinite-lived intangible asset at the specified dates: </w:t>
      </w:r>
    </w:p>
    <w:tbl>
      <w:tblPr>
        <w:tblW w:w="5000" w:type="pct"/>
        <w:jc w:val="center"/>
        <w:tblInd w:w="0" w:type="dxa"/>
        <w:tblCellMar>
          <w:top w:w="0" w:type="dxa"/>
          <w:left w:w="0" w:type="dxa"/>
          <w:bottom w:w="0" w:type="dxa"/>
          <w:right w:w="0" w:type="dxa"/>
        </w:tblCellMar>
      </w:tblPr>
      <w:tblGrid>
        <w:gridCol w:w="3964"/>
        <w:gridCol w:w="314"/>
        <w:gridCol w:w="253"/>
        <w:gridCol w:w="1241"/>
        <w:gridCol w:w="104"/>
        <w:gridCol w:w="314"/>
        <w:gridCol w:w="288"/>
        <w:gridCol w:w="1206"/>
        <w:gridCol w:w="104"/>
        <w:gridCol w:w="314"/>
        <w:gridCol w:w="386"/>
        <w:gridCol w:w="1603"/>
        <w:gridCol w:w="114"/>
      </w:tblGrid>
      <w:tr>
        <w:trPr/>
        <w:tc>
          <w:tcPr>
            <w:tcW w:w="396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396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94" w:type="dxa"/>
            <w:gridSpan w:val="2"/>
            <w:tcBorders>
              <w:bottom w:val="single" w:sz="2" w:space="0" w:color="000000"/>
            </w:tcBorders>
            <w:shd w:fill="auto" w:val="clear"/>
            <w:tcMar>
              <w:bottom w:w="28" w:type="dxa"/>
            </w:tcMar>
            <w:vAlign w:val="bottom"/>
          </w:tcPr>
          <w:p>
            <w:pPr>
              <w:pStyle w:val="TableContents"/>
              <w:spacing w:before="0" w:after="283"/>
              <w:jc w:val="right"/>
              <w:rPr/>
            </w:pPr>
            <w:r>
              <w:rPr/>
              <w:t>June 30, 2007</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494" w:type="dxa"/>
            <w:gridSpan w:val="2"/>
            <w:tcBorders>
              <w:bottom w:val="single" w:sz="2" w:space="0" w:color="000000"/>
            </w:tcBorders>
            <w:shd w:fill="auto" w:val="clear"/>
            <w:tcMar>
              <w:bottom w:w="28" w:type="dxa"/>
            </w:tcMar>
            <w:vAlign w:val="bottom"/>
          </w:tcPr>
          <w:p>
            <w:pPr>
              <w:pStyle w:val="TableContents"/>
              <w:spacing w:before="0" w:after="283"/>
              <w:jc w:val="right"/>
              <w:rPr/>
            </w:pPr>
            <w:r>
              <w:rPr/>
              <w:t>June 30, 2006</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989" w:type="dxa"/>
            <w:gridSpan w:val="2"/>
            <w:tcBorders>
              <w:bottom w:val="single" w:sz="2" w:space="0" w:color="000000"/>
            </w:tcBorders>
            <w:shd w:fill="auto" w:val="clear"/>
            <w:tcMar>
              <w:bottom w:w="28" w:type="dxa"/>
            </w:tcMar>
            <w:vAlign w:val="bottom"/>
          </w:tcPr>
          <w:p>
            <w:pPr>
              <w:pStyle w:val="TableContents"/>
              <w:spacing w:before="0" w:after="283"/>
              <w:jc w:val="right"/>
              <w:rPr/>
            </w:pPr>
            <w:r>
              <w:rPr/>
              <w:t>September 30, 2006</w:t>
            </w:r>
          </w:p>
        </w:tc>
        <w:tc>
          <w:tcPr>
            <w:tcW w:w="114" w:type="dxa"/>
            <w:tcBorders/>
            <w:shd w:fill="auto" w:val="clear"/>
            <w:vAlign w:val="bottom"/>
          </w:tcPr>
          <w:p>
            <w:pPr>
              <w:pStyle w:val="TableContents"/>
              <w:spacing w:before="0" w:after="283"/>
              <w:rPr/>
            </w:pPr>
            <w:r>
              <w:rPr/>
              <w:t> </w:t>
            </w:r>
          </w:p>
        </w:tc>
      </w:tr>
      <w:tr>
        <w:trPr/>
        <w:tc>
          <w:tcPr>
            <w:tcW w:w="396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5813" w:type="dxa"/>
            <w:gridSpan w:val="10"/>
            <w:tcBorders/>
            <w:shd w:fill="auto" w:val="clear"/>
            <w:vAlign w:val="bottom"/>
          </w:tcPr>
          <w:p>
            <w:pPr>
              <w:pStyle w:val="TableContents"/>
              <w:spacing w:before="0" w:after="283"/>
              <w:jc w:val="center"/>
              <w:rPr>
                <w:i/>
              </w:rPr>
            </w:pPr>
            <w:r>
              <w:rPr>
                <w:i/>
              </w:rPr>
              <w:t>(In thousands)</w:t>
            </w:r>
          </w:p>
        </w:tc>
        <w:tc>
          <w:tcPr>
            <w:tcW w:w="114" w:type="dxa"/>
            <w:tcBorders/>
            <w:shd w:fill="auto" w:val="clear"/>
            <w:vAlign w:val="bottom"/>
          </w:tcPr>
          <w:p>
            <w:pPr>
              <w:pStyle w:val="TableContents"/>
              <w:spacing w:before="0" w:after="283"/>
              <w:rPr/>
            </w:pPr>
            <w:r>
              <w:rPr/>
              <w:t> </w:t>
            </w:r>
          </w:p>
        </w:tc>
      </w:tr>
      <w:tr>
        <w:trPr/>
        <w:tc>
          <w:tcPr>
            <w:tcW w:w="3964" w:type="dxa"/>
            <w:tcBorders/>
            <w:shd w:fill="auto" w:val="clear"/>
            <w:vAlign w:val="bottom"/>
          </w:tcPr>
          <w:p>
            <w:pPr>
              <w:pStyle w:val="TableContents"/>
              <w:spacing w:before="0" w:after="0"/>
              <w:ind w:left="225" w:right="0" w:hanging="225"/>
              <w:rPr/>
            </w:pPr>
            <w:r>
              <w:rPr/>
              <w:t> </w:t>
            </w:r>
          </w:p>
        </w:tc>
        <w:tc>
          <w:tcPr>
            <w:tcW w:w="314"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03" w:type="dxa"/>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rPr/>
            </w:pPr>
            <w:r>
              <w:rPr/>
              <w:t> </w:t>
            </w:r>
          </w:p>
        </w:tc>
      </w:tr>
      <w:tr>
        <w:trPr/>
        <w:tc>
          <w:tcPr>
            <w:tcW w:w="3964" w:type="dxa"/>
            <w:tcBorders/>
            <w:shd w:fill="CCEEFF" w:val="clear"/>
            <w:vAlign w:val="bottom"/>
          </w:tcPr>
          <w:p>
            <w:pPr>
              <w:pStyle w:val="TableContents"/>
              <w:spacing w:before="0" w:after="0"/>
              <w:ind w:left="225" w:right="0" w:hanging="225"/>
              <w:rPr/>
            </w:pPr>
            <w:r>
              <w:rPr/>
              <w:t>Pawn licenses</w:t>
            </w:r>
          </w:p>
        </w:tc>
        <w:tc>
          <w:tcPr>
            <w:tcW w:w="314"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w:t>
            </w:r>
          </w:p>
        </w:tc>
        <w:tc>
          <w:tcPr>
            <w:tcW w:w="1241" w:type="dxa"/>
            <w:tcBorders/>
            <w:shd w:fill="CCEEFF" w:val="clear"/>
            <w:vAlign w:val="bottom"/>
          </w:tcPr>
          <w:p>
            <w:pPr>
              <w:pStyle w:val="TableContents"/>
              <w:spacing w:before="0" w:after="283"/>
              <w:jc w:val="right"/>
              <w:rPr/>
            </w:pPr>
            <w:r>
              <w:rPr/>
              <w:t>1,549</w:t>
            </w:r>
          </w:p>
        </w:tc>
        <w:tc>
          <w:tcPr>
            <w:tcW w:w="104"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1,549</w:t>
            </w:r>
          </w:p>
        </w:tc>
        <w:tc>
          <w:tcPr>
            <w:tcW w:w="104"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jc w:val="left"/>
              <w:rPr/>
            </w:pPr>
            <w:r>
              <w:rPr/>
              <w:t>$</w:t>
            </w:r>
          </w:p>
        </w:tc>
        <w:tc>
          <w:tcPr>
            <w:tcW w:w="1603" w:type="dxa"/>
            <w:tcBorders/>
            <w:shd w:fill="CCEEFF" w:val="clear"/>
            <w:vAlign w:val="bottom"/>
          </w:tcPr>
          <w:p>
            <w:pPr>
              <w:pStyle w:val="TableContents"/>
              <w:spacing w:before="0" w:after="283"/>
              <w:jc w:val="right"/>
              <w:rPr/>
            </w:pPr>
            <w:r>
              <w:rPr/>
              <w:t>1,549</w:t>
            </w:r>
          </w:p>
        </w:tc>
        <w:tc>
          <w:tcPr>
            <w:tcW w:w="114" w:type="dxa"/>
            <w:tcBorders/>
            <w:shd w:fill="CCEEFF" w:val="clear"/>
            <w:vAlign w:val="bottom"/>
          </w:tcPr>
          <w:p>
            <w:pPr>
              <w:pStyle w:val="TableContents"/>
              <w:spacing w:before="0" w:after="283"/>
              <w:rPr/>
            </w:pPr>
            <w:r>
              <w:rPr/>
              <w:t> </w:t>
            </w:r>
          </w:p>
        </w:tc>
      </w:tr>
      <w:tr>
        <w:trPr/>
        <w:tc>
          <w:tcPr>
            <w:tcW w:w="3964" w:type="dxa"/>
            <w:tcBorders/>
            <w:shd w:fill="auto" w:val="clear"/>
            <w:vAlign w:val="bottom"/>
          </w:tcPr>
          <w:p>
            <w:pPr>
              <w:pStyle w:val="TableContents"/>
              <w:spacing w:before="0" w:after="0"/>
              <w:ind w:left="225" w:right="0" w:hanging="225"/>
              <w:rPr/>
            </w:pPr>
            <w:r>
              <w:rPr/>
              <w:t>Goodwill</w:t>
            </w:r>
          </w:p>
        </w:tc>
        <w:tc>
          <w:tcPr>
            <w:tcW w:w="314"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 </w:t>
            </w:r>
          </w:p>
        </w:tc>
        <w:tc>
          <w:tcPr>
            <w:tcW w:w="1241" w:type="dxa"/>
            <w:tcBorders/>
            <w:shd w:fill="auto" w:val="clear"/>
            <w:vAlign w:val="bottom"/>
          </w:tcPr>
          <w:p>
            <w:pPr>
              <w:pStyle w:val="TableContents"/>
              <w:spacing w:before="0" w:after="283"/>
              <w:jc w:val="right"/>
              <w:rPr/>
            </w:pPr>
            <w:r>
              <w:rPr/>
              <w:t>16,211</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288" w:type="dxa"/>
            <w:tcBorders/>
            <w:shd w:fill="auto" w:val="clear"/>
            <w:vAlign w:val="bottom"/>
          </w:tcPr>
          <w:p>
            <w:pPr>
              <w:pStyle w:val="TableContents"/>
              <w:spacing w:before="0" w:after="283"/>
              <w:rPr/>
            </w:pPr>
            <w:r>
              <w:rPr/>
              <w:t> </w:t>
            </w:r>
          </w:p>
        </w:tc>
        <w:tc>
          <w:tcPr>
            <w:tcW w:w="1206" w:type="dxa"/>
            <w:tcBorders/>
            <w:shd w:fill="auto" w:val="clear"/>
            <w:vAlign w:val="bottom"/>
          </w:tcPr>
          <w:p>
            <w:pPr>
              <w:pStyle w:val="TableContents"/>
              <w:spacing w:before="0" w:after="283"/>
              <w:jc w:val="right"/>
              <w:rPr/>
            </w:pPr>
            <w:r>
              <w:rPr/>
              <w:t>631</w:t>
            </w:r>
          </w:p>
        </w:tc>
        <w:tc>
          <w:tcPr>
            <w:tcW w:w="104"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1603" w:type="dxa"/>
            <w:tcBorders/>
            <w:shd w:fill="auto" w:val="clear"/>
            <w:vAlign w:val="bottom"/>
          </w:tcPr>
          <w:p>
            <w:pPr>
              <w:pStyle w:val="TableContents"/>
              <w:spacing w:before="0" w:after="283"/>
              <w:jc w:val="right"/>
              <w:rPr/>
            </w:pPr>
            <w:r>
              <w:rPr/>
              <w:t>768</w:t>
            </w:r>
          </w:p>
        </w:tc>
        <w:tc>
          <w:tcPr>
            <w:tcW w:w="114" w:type="dxa"/>
            <w:tcBorders/>
            <w:shd w:fill="auto" w:val="clear"/>
            <w:vAlign w:val="bottom"/>
          </w:tcPr>
          <w:p>
            <w:pPr>
              <w:pStyle w:val="TableContents"/>
              <w:spacing w:before="0" w:after="283"/>
              <w:rPr/>
            </w:pPr>
            <w:r>
              <w:rPr/>
              <w:t> </w:t>
            </w:r>
          </w:p>
        </w:tc>
      </w:tr>
      <w:tr>
        <w:trPr/>
        <w:tc>
          <w:tcPr>
            <w:tcW w:w="3964"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14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4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98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r>
        <w:trPr/>
        <w:tc>
          <w:tcPr>
            <w:tcW w:w="3964" w:type="dxa"/>
            <w:tcBorders/>
            <w:shd w:fill="CCEEFF" w:val="clear"/>
            <w:vAlign w:val="bottom"/>
          </w:tcPr>
          <w:p>
            <w:pPr>
              <w:pStyle w:val="TableContents"/>
              <w:spacing w:before="0" w:after="0"/>
              <w:ind w:left="225" w:right="0" w:hanging="225"/>
              <w:rPr/>
            </w:pPr>
            <w:r>
              <w:rPr/>
              <w:t>Total</w:t>
            </w:r>
          </w:p>
        </w:tc>
        <w:tc>
          <w:tcPr>
            <w:tcW w:w="314"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jc w:val="left"/>
              <w:rPr/>
            </w:pPr>
            <w:r>
              <w:rPr/>
              <w:t>$</w:t>
            </w:r>
          </w:p>
        </w:tc>
        <w:tc>
          <w:tcPr>
            <w:tcW w:w="1241" w:type="dxa"/>
            <w:tcBorders/>
            <w:shd w:fill="CCEEFF" w:val="clear"/>
            <w:vAlign w:val="bottom"/>
          </w:tcPr>
          <w:p>
            <w:pPr>
              <w:pStyle w:val="TableContents"/>
              <w:spacing w:before="0" w:after="283"/>
              <w:jc w:val="right"/>
              <w:rPr/>
            </w:pPr>
            <w:r>
              <w:rPr/>
              <w:t>17,760</w:t>
            </w:r>
          </w:p>
        </w:tc>
        <w:tc>
          <w:tcPr>
            <w:tcW w:w="104"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288" w:type="dxa"/>
            <w:tcBorders/>
            <w:shd w:fill="CCEEFF" w:val="clear"/>
            <w:vAlign w:val="bottom"/>
          </w:tcPr>
          <w:p>
            <w:pPr>
              <w:pStyle w:val="TableContents"/>
              <w:spacing w:before="0" w:after="283"/>
              <w:jc w:val="left"/>
              <w:rPr/>
            </w:pPr>
            <w:r>
              <w:rPr/>
              <w:t>$</w:t>
            </w:r>
          </w:p>
        </w:tc>
        <w:tc>
          <w:tcPr>
            <w:tcW w:w="1206" w:type="dxa"/>
            <w:tcBorders/>
            <w:shd w:fill="CCEEFF" w:val="clear"/>
            <w:vAlign w:val="bottom"/>
          </w:tcPr>
          <w:p>
            <w:pPr>
              <w:pStyle w:val="TableContents"/>
              <w:spacing w:before="0" w:after="283"/>
              <w:jc w:val="right"/>
              <w:rPr/>
            </w:pPr>
            <w:r>
              <w:rPr/>
              <w:t>2,180</w:t>
            </w:r>
          </w:p>
        </w:tc>
        <w:tc>
          <w:tcPr>
            <w:tcW w:w="104"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jc w:val="left"/>
              <w:rPr/>
            </w:pPr>
            <w:r>
              <w:rPr/>
              <w:t>$</w:t>
            </w:r>
          </w:p>
        </w:tc>
        <w:tc>
          <w:tcPr>
            <w:tcW w:w="1603" w:type="dxa"/>
            <w:tcBorders/>
            <w:shd w:fill="CCEEFF" w:val="clear"/>
            <w:vAlign w:val="bottom"/>
          </w:tcPr>
          <w:p>
            <w:pPr>
              <w:pStyle w:val="TableContents"/>
              <w:spacing w:before="0" w:after="283"/>
              <w:jc w:val="right"/>
              <w:rPr/>
            </w:pPr>
            <w:r>
              <w:rPr/>
              <w:t>2,317</w:t>
            </w:r>
          </w:p>
        </w:tc>
        <w:tc>
          <w:tcPr>
            <w:tcW w:w="114" w:type="dxa"/>
            <w:tcBorders/>
            <w:shd w:fill="CCEEFF" w:val="clear"/>
            <w:vAlign w:val="bottom"/>
          </w:tcPr>
          <w:p>
            <w:pPr>
              <w:pStyle w:val="TableContents"/>
              <w:spacing w:before="0" w:after="283"/>
              <w:rPr/>
            </w:pPr>
            <w:r>
              <w:rPr/>
              <w:t> </w:t>
            </w:r>
          </w:p>
        </w:tc>
      </w:tr>
      <w:tr>
        <w:trPr/>
        <w:tc>
          <w:tcPr>
            <w:tcW w:w="3964" w:type="dxa"/>
            <w:tcBorders/>
            <w:shd w:fill="auto" w:val="clear"/>
            <w:vAlign w:val="center"/>
          </w:tcPr>
          <w:p>
            <w:pPr>
              <w:pStyle w:val="TableContents"/>
              <w:spacing w:before="0" w:after="0"/>
              <w:ind w:left="225" w:right="0" w:hanging="225"/>
              <w:rPr/>
            </w:pPr>
            <w:r>
              <w:rPr/>
              <w:t> </w:t>
            </w:r>
          </w:p>
        </w:tc>
        <w:tc>
          <w:tcPr>
            <w:tcW w:w="314" w:type="dxa"/>
            <w:tcBorders/>
            <w:shd w:fill="auto" w:val="clear"/>
            <w:vAlign w:val="center"/>
          </w:tcPr>
          <w:p>
            <w:pPr>
              <w:pStyle w:val="TableContents"/>
              <w:spacing w:before="0" w:after="283"/>
              <w:rPr/>
            </w:pPr>
            <w:r>
              <w:rPr/>
              <w:t> </w:t>
            </w:r>
          </w:p>
        </w:tc>
        <w:tc>
          <w:tcPr>
            <w:tcW w:w="14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4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4" w:type="dxa"/>
            <w:tcBorders/>
            <w:shd w:fill="auto" w:val="clear"/>
            <w:vAlign w:val="center"/>
          </w:tcPr>
          <w:p>
            <w:pPr>
              <w:pStyle w:val="TableContents"/>
              <w:spacing w:before="0" w:after="283"/>
              <w:rPr/>
            </w:pPr>
            <w:r>
              <w:rPr/>
              <w:t> </w:t>
            </w:r>
          </w:p>
        </w:tc>
        <w:tc>
          <w:tcPr>
            <w:tcW w:w="314" w:type="dxa"/>
            <w:tcBorders/>
            <w:shd w:fill="auto" w:val="clear"/>
            <w:vAlign w:val="center"/>
          </w:tcPr>
          <w:p>
            <w:pPr>
              <w:pStyle w:val="TableContents"/>
              <w:spacing w:before="0" w:after="283"/>
              <w:rPr/>
            </w:pPr>
            <w:r>
              <w:rPr/>
              <w:t> </w:t>
            </w:r>
          </w:p>
        </w:tc>
        <w:tc>
          <w:tcPr>
            <w:tcW w:w="198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the gross carrying amount and accumulated amortization for each major class of definite-lived intangible asset at the specified dates: </w:t>
      </w:r>
    </w:p>
    <w:tbl>
      <w:tblPr>
        <w:tblW w:w="5000" w:type="pct"/>
        <w:jc w:val="center"/>
        <w:tblInd w:w="0" w:type="dxa"/>
        <w:tblCellMar>
          <w:top w:w="0" w:type="dxa"/>
          <w:left w:w="0" w:type="dxa"/>
          <w:bottom w:w="0" w:type="dxa"/>
          <w:right w:w="0" w:type="dxa"/>
        </w:tblCellMar>
      </w:tblPr>
      <w:tblGrid>
        <w:gridCol w:w="1674"/>
        <w:gridCol w:w="176"/>
        <w:gridCol w:w="182"/>
        <w:gridCol w:w="753"/>
        <w:gridCol w:w="79"/>
        <w:gridCol w:w="176"/>
        <w:gridCol w:w="301"/>
        <w:gridCol w:w="1021"/>
        <w:gridCol w:w="111"/>
        <w:gridCol w:w="176"/>
        <w:gridCol w:w="182"/>
        <w:gridCol w:w="752"/>
        <w:gridCol w:w="79"/>
        <w:gridCol w:w="176"/>
        <w:gridCol w:w="301"/>
        <w:gridCol w:w="1021"/>
        <w:gridCol w:w="111"/>
        <w:gridCol w:w="176"/>
        <w:gridCol w:w="198"/>
        <w:gridCol w:w="821"/>
        <w:gridCol w:w="98"/>
        <w:gridCol w:w="195"/>
        <w:gridCol w:w="299"/>
        <w:gridCol w:w="1023"/>
        <w:gridCol w:w="124"/>
      </w:tblGrid>
      <w:tr>
        <w:trPr/>
        <w:tc>
          <w:tcPr>
            <w:tcW w:w="167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167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12"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 2007</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511"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 2006</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2634" w:type="dxa"/>
            <w:gridSpan w:val="6"/>
            <w:tcBorders>
              <w:bottom w:val="single" w:sz="2" w:space="0" w:color="000000"/>
            </w:tcBorders>
            <w:shd w:fill="auto" w:val="clear"/>
            <w:tcMar>
              <w:bottom w:w="28" w:type="dxa"/>
            </w:tcMar>
            <w:vAlign w:val="bottom"/>
          </w:tcPr>
          <w:p>
            <w:pPr>
              <w:pStyle w:val="TableContents"/>
              <w:spacing w:before="0" w:after="283"/>
              <w:jc w:val="center"/>
              <w:rPr/>
            </w:pPr>
            <w:r>
              <w:rPr/>
              <w:t>September 30, 2006</w:t>
            </w:r>
          </w:p>
        </w:tc>
        <w:tc>
          <w:tcPr>
            <w:tcW w:w="124" w:type="dxa"/>
            <w:tcBorders/>
            <w:shd w:fill="auto" w:val="clear"/>
            <w:vAlign w:val="bottom"/>
          </w:tcPr>
          <w:p>
            <w:pPr>
              <w:pStyle w:val="TableContents"/>
              <w:spacing w:before="0" w:after="283"/>
              <w:rPr/>
            </w:pPr>
            <w:r>
              <w:rPr/>
              <w:t> </w:t>
            </w:r>
          </w:p>
        </w:tc>
      </w:tr>
      <w:tr>
        <w:trPr/>
        <w:tc>
          <w:tcPr>
            <w:tcW w:w="167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5" w:type="dxa"/>
            <w:gridSpan w:val="2"/>
            <w:tcBorders/>
            <w:shd w:fill="auto" w:val="clear"/>
            <w:vAlign w:val="bottom"/>
          </w:tcPr>
          <w:p>
            <w:pPr>
              <w:pStyle w:val="TableContents"/>
              <w:spacing w:before="0" w:after="283"/>
              <w:jc w:val="right"/>
              <w:rPr/>
            </w:pPr>
            <w:r>
              <w:rPr/>
              <w:t>Carrying</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spacing w:before="0" w:after="283"/>
              <w:jc w:val="right"/>
              <w:rPr/>
            </w:pPr>
            <w:r>
              <w:rPr/>
              <w:t>Accumulated</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4" w:type="dxa"/>
            <w:gridSpan w:val="2"/>
            <w:tcBorders/>
            <w:shd w:fill="auto" w:val="clear"/>
            <w:vAlign w:val="bottom"/>
          </w:tcPr>
          <w:p>
            <w:pPr>
              <w:pStyle w:val="TableContents"/>
              <w:spacing w:before="0" w:after="283"/>
              <w:jc w:val="right"/>
              <w:rPr/>
            </w:pPr>
            <w:r>
              <w:rPr/>
              <w:t>Carrying</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spacing w:before="0" w:after="283"/>
              <w:jc w:val="right"/>
              <w:rPr/>
            </w:pPr>
            <w:r>
              <w:rPr/>
              <w:t>Accumulated</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9" w:type="dxa"/>
            <w:gridSpan w:val="2"/>
            <w:tcBorders/>
            <w:shd w:fill="auto" w:val="clear"/>
            <w:vAlign w:val="bottom"/>
          </w:tcPr>
          <w:p>
            <w:pPr>
              <w:pStyle w:val="TableContents"/>
              <w:spacing w:before="0" w:after="283"/>
              <w:jc w:val="right"/>
              <w:rPr/>
            </w:pPr>
            <w:r>
              <w:rPr/>
              <w:t>Carrying</w:t>
            </w:r>
          </w:p>
        </w:tc>
        <w:tc>
          <w:tcPr>
            <w:tcW w:w="9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22" w:type="dxa"/>
            <w:gridSpan w:val="2"/>
            <w:tcBorders/>
            <w:shd w:fill="auto" w:val="clear"/>
            <w:vAlign w:val="bottom"/>
          </w:tcPr>
          <w:p>
            <w:pPr>
              <w:pStyle w:val="TableContents"/>
              <w:spacing w:before="0" w:after="283"/>
              <w:jc w:val="right"/>
              <w:rPr/>
            </w:pPr>
            <w:r>
              <w:rPr/>
              <w:t>Accumulated</w:t>
            </w:r>
          </w:p>
        </w:tc>
        <w:tc>
          <w:tcPr>
            <w:tcW w:w="124" w:type="dxa"/>
            <w:tcBorders/>
            <w:shd w:fill="auto" w:val="clear"/>
            <w:vAlign w:val="bottom"/>
          </w:tcPr>
          <w:p>
            <w:pPr>
              <w:pStyle w:val="TableContents"/>
              <w:spacing w:before="0" w:after="283"/>
              <w:rPr/>
            </w:pPr>
            <w:r>
              <w:rPr/>
              <w:t> </w:t>
            </w:r>
          </w:p>
        </w:tc>
      </w:tr>
      <w:tr>
        <w:trPr/>
        <w:tc>
          <w:tcPr>
            <w:tcW w:w="167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5" w:type="dxa"/>
            <w:gridSpan w:val="2"/>
            <w:tcBorders>
              <w:bottom w:val="single" w:sz="2" w:space="0" w:color="000000"/>
            </w:tcBorders>
            <w:shd w:fill="auto" w:val="clear"/>
            <w:tcMar>
              <w:bottom w:w="28" w:type="dxa"/>
            </w:tcMar>
            <w:vAlign w:val="bottom"/>
          </w:tcPr>
          <w:p>
            <w:pPr>
              <w:pStyle w:val="TableContents"/>
              <w:spacing w:before="0" w:after="283"/>
              <w:jc w:val="right"/>
              <w:rPr/>
            </w:pPr>
            <w:r>
              <w:rPr/>
              <w:t>Amount</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right"/>
              <w:rPr/>
            </w:pPr>
            <w:r>
              <w:rPr/>
              <w:t>Amortization</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934" w:type="dxa"/>
            <w:gridSpan w:val="2"/>
            <w:tcBorders>
              <w:bottom w:val="single" w:sz="2" w:space="0" w:color="000000"/>
            </w:tcBorders>
            <w:shd w:fill="auto" w:val="clear"/>
            <w:tcMar>
              <w:bottom w:w="28" w:type="dxa"/>
            </w:tcMar>
            <w:vAlign w:val="bottom"/>
          </w:tcPr>
          <w:p>
            <w:pPr>
              <w:pStyle w:val="TableContents"/>
              <w:spacing w:before="0" w:after="283"/>
              <w:jc w:val="right"/>
              <w:rPr/>
            </w:pPr>
            <w:r>
              <w:rPr/>
              <w:t>Amount</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right"/>
              <w:rPr/>
            </w:pPr>
            <w:r>
              <w:rPr/>
              <w:t>Amortization</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019" w:type="dxa"/>
            <w:gridSpan w:val="2"/>
            <w:tcBorders>
              <w:bottom w:val="single" w:sz="2" w:space="0" w:color="000000"/>
            </w:tcBorders>
            <w:shd w:fill="auto" w:val="clear"/>
            <w:tcMar>
              <w:bottom w:w="28" w:type="dxa"/>
            </w:tcMar>
            <w:vAlign w:val="bottom"/>
          </w:tcPr>
          <w:p>
            <w:pPr>
              <w:pStyle w:val="TableContents"/>
              <w:spacing w:before="0" w:after="283"/>
              <w:jc w:val="right"/>
              <w:rPr/>
            </w:pPr>
            <w:r>
              <w:rPr/>
              <w:t>Amount</w:t>
            </w:r>
          </w:p>
        </w:tc>
        <w:tc>
          <w:tcPr>
            <w:tcW w:w="9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right"/>
              <w:rPr/>
            </w:pPr>
            <w:r>
              <w:rPr/>
              <w:t>Amortization</w:t>
            </w:r>
          </w:p>
        </w:tc>
        <w:tc>
          <w:tcPr>
            <w:tcW w:w="124" w:type="dxa"/>
            <w:tcBorders/>
            <w:shd w:fill="auto" w:val="clear"/>
            <w:vAlign w:val="bottom"/>
          </w:tcPr>
          <w:p>
            <w:pPr>
              <w:pStyle w:val="TableContents"/>
              <w:spacing w:before="0" w:after="283"/>
              <w:rPr/>
            </w:pPr>
            <w:r>
              <w:rPr/>
              <w:t> </w:t>
            </w:r>
          </w:p>
        </w:tc>
      </w:tr>
      <w:tr>
        <w:trPr/>
        <w:tc>
          <w:tcPr>
            <w:tcW w:w="1674"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8231" w:type="dxa"/>
            <w:gridSpan w:val="22"/>
            <w:tcBorders/>
            <w:shd w:fill="auto" w:val="clear"/>
            <w:vAlign w:val="bottom"/>
          </w:tcPr>
          <w:p>
            <w:pPr>
              <w:pStyle w:val="TableContents"/>
              <w:spacing w:before="0" w:after="283"/>
              <w:jc w:val="center"/>
              <w:rPr>
                <w:i/>
              </w:rPr>
            </w:pPr>
            <w:r>
              <w:rPr>
                <w:i/>
              </w:rPr>
              <w:t>(In thousands)</w:t>
            </w:r>
          </w:p>
        </w:tc>
        <w:tc>
          <w:tcPr>
            <w:tcW w:w="124" w:type="dxa"/>
            <w:tcBorders/>
            <w:shd w:fill="auto" w:val="clear"/>
            <w:vAlign w:val="bottom"/>
          </w:tcPr>
          <w:p>
            <w:pPr>
              <w:pStyle w:val="TableContents"/>
              <w:spacing w:before="0" w:after="283"/>
              <w:rPr/>
            </w:pPr>
            <w:r>
              <w:rPr/>
              <w:t> </w:t>
            </w:r>
          </w:p>
        </w:tc>
      </w:tr>
      <w:tr>
        <w:trPr/>
        <w:tc>
          <w:tcPr>
            <w:tcW w:w="1674" w:type="dxa"/>
            <w:tcBorders/>
            <w:shd w:fill="auto" w:val="clear"/>
            <w:vAlign w:val="bottom"/>
          </w:tcPr>
          <w:p>
            <w:pPr>
              <w:pStyle w:val="TableContents"/>
              <w:spacing w:before="0" w:after="0"/>
              <w:ind w:left="225" w:right="0" w:hanging="225"/>
              <w:rPr/>
            </w:pPr>
            <w:r>
              <w:rPr/>
              <w:t> </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rPr/>
            </w:pPr>
            <w:r>
              <w:rPr/>
              <w:t> </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rPr/>
            </w:pPr>
            <w:r>
              <w:rPr/>
              <w:t> </w:t>
            </w:r>
          </w:p>
        </w:tc>
        <w:tc>
          <w:tcPr>
            <w:tcW w:w="9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r>
      <w:tr>
        <w:trPr/>
        <w:tc>
          <w:tcPr>
            <w:tcW w:w="1674" w:type="dxa"/>
            <w:tcBorders/>
            <w:shd w:fill="CCEEFF" w:val="clear"/>
            <w:vAlign w:val="bottom"/>
          </w:tcPr>
          <w:p>
            <w:pPr>
              <w:pStyle w:val="TableContents"/>
              <w:spacing w:before="0" w:after="0"/>
              <w:ind w:left="225" w:right="0" w:hanging="225"/>
              <w:rPr/>
            </w:pPr>
            <w:r>
              <w:rPr/>
              <w:t>License application fees</w:t>
            </w:r>
          </w:p>
        </w:tc>
        <w:tc>
          <w:tcPr>
            <w:tcW w:w="17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345</w:t>
            </w:r>
          </w:p>
        </w:tc>
        <w:tc>
          <w:tcPr>
            <w:tcW w:w="7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21" w:type="dxa"/>
            <w:tcBorders/>
            <w:shd w:fill="CCEEFF" w:val="clear"/>
            <w:vAlign w:val="bottom"/>
          </w:tcPr>
          <w:p>
            <w:pPr>
              <w:pStyle w:val="TableContents"/>
              <w:spacing w:before="0" w:after="283"/>
              <w:jc w:val="right"/>
              <w:rPr/>
            </w:pPr>
            <w:r>
              <w:rPr/>
              <w:t>(281</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345</w:t>
            </w:r>
          </w:p>
        </w:tc>
        <w:tc>
          <w:tcPr>
            <w:tcW w:w="7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21" w:type="dxa"/>
            <w:tcBorders/>
            <w:shd w:fill="CCEEFF" w:val="clear"/>
            <w:vAlign w:val="bottom"/>
          </w:tcPr>
          <w:p>
            <w:pPr>
              <w:pStyle w:val="TableContents"/>
              <w:spacing w:before="0" w:after="283"/>
              <w:jc w:val="right"/>
              <w:rPr/>
            </w:pPr>
            <w:r>
              <w:rPr/>
              <w:t>(250</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345</w:t>
            </w:r>
          </w:p>
        </w:tc>
        <w:tc>
          <w:tcPr>
            <w:tcW w:w="9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left"/>
              <w:rPr/>
            </w:pPr>
            <w:r>
              <w:rPr/>
              <w:t>$</w:t>
            </w:r>
          </w:p>
        </w:tc>
        <w:tc>
          <w:tcPr>
            <w:tcW w:w="1023" w:type="dxa"/>
            <w:tcBorders/>
            <w:shd w:fill="CCEEFF" w:val="clear"/>
            <w:vAlign w:val="bottom"/>
          </w:tcPr>
          <w:p>
            <w:pPr>
              <w:pStyle w:val="TableContents"/>
              <w:spacing w:before="0" w:after="283"/>
              <w:jc w:val="right"/>
              <w:rPr/>
            </w:pPr>
            <w:r>
              <w:rPr/>
              <w:t>(257</w:t>
            </w:r>
          </w:p>
        </w:tc>
        <w:tc>
          <w:tcPr>
            <w:tcW w:w="124" w:type="dxa"/>
            <w:tcBorders/>
            <w:shd w:fill="CCEEFF" w:val="clear"/>
            <w:vAlign w:val="bottom"/>
          </w:tcPr>
          <w:p>
            <w:pPr>
              <w:pStyle w:val="TableContents"/>
              <w:spacing w:before="0" w:after="283"/>
              <w:rPr/>
            </w:pPr>
            <w:r>
              <w:rPr/>
              <w:t>)</w:t>
            </w:r>
          </w:p>
        </w:tc>
      </w:tr>
      <w:tr>
        <w:trPr/>
        <w:tc>
          <w:tcPr>
            <w:tcW w:w="1674" w:type="dxa"/>
            <w:tcBorders/>
            <w:shd w:fill="auto" w:val="clear"/>
            <w:vAlign w:val="bottom"/>
          </w:tcPr>
          <w:p>
            <w:pPr>
              <w:pStyle w:val="TableContents"/>
              <w:spacing w:before="0" w:after="0"/>
              <w:ind w:left="225" w:right="0" w:hanging="225"/>
              <w:rPr/>
            </w:pPr>
            <w:r>
              <w:rPr/>
              <w:t>Real estate finders fees</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556</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 </w:t>
            </w:r>
          </w:p>
        </w:tc>
        <w:tc>
          <w:tcPr>
            <w:tcW w:w="1021" w:type="dxa"/>
            <w:tcBorders/>
            <w:shd w:fill="auto" w:val="clear"/>
            <w:vAlign w:val="bottom"/>
          </w:tcPr>
          <w:p>
            <w:pPr>
              <w:pStyle w:val="TableContents"/>
              <w:spacing w:before="0" w:after="283"/>
              <w:jc w:val="right"/>
              <w:rPr/>
            </w:pPr>
            <w:r>
              <w:rPr/>
              <w:t>(323</w:t>
            </w:r>
          </w:p>
        </w:tc>
        <w:tc>
          <w:tcPr>
            <w:tcW w:w="111"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556</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jc w:val="left"/>
              <w:rPr/>
            </w:pPr>
            <w:r>
              <w:rPr/>
              <w:t> </w:t>
            </w:r>
          </w:p>
        </w:tc>
        <w:tc>
          <w:tcPr>
            <w:tcW w:w="1021" w:type="dxa"/>
            <w:tcBorders/>
            <w:shd w:fill="auto" w:val="clear"/>
            <w:vAlign w:val="bottom"/>
          </w:tcPr>
          <w:p>
            <w:pPr>
              <w:pStyle w:val="TableContents"/>
              <w:spacing w:before="0" w:after="283"/>
              <w:jc w:val="right"/>
              <w:rPr/>
            </w:pPr>
            <w:r>
              <w:rPr/>
              <w:t>(306</w:t>
            </w:r>
          </w:p>
        </w:tc>
        <w:tc>
          <w:tcPr>
            <w:tcW w:w="111" w:type="dxa"/>
            <w:tcBorders/>
            <w:shd w:fill="auto" w:val="clear"/>
            <w:vAlign w:val="bottom"/>
          </w:tcPr>
          <w:p>
            <w:pPr>
              <w:pStyle w:val="TableContents"/>
              <w:spacing w:before="0" w:after="283"/>
              <w:rPr/>
            </w:pPr>
            <w:r>
              <w:rPr/>
              <w:t>)</w:t>
            </w:r>
          </w:p>
        </w:tc>
        <w:tc>
          <w:tcPr>
            <w:tcW w:w="1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556</w:t>
            </w:r>
          </w:p>
        </w:tc>
        <w:tc>
          <w:tcPr>
            <w:tcW w:w="9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jc w:val="left"/>
              <w:rPr/>
            </w:pPr>
            <w:r>
              <w:rPr/>
              <w:t> </w:t>
            </w:r>
          </w:p>
        </w:tc>
        <w:tc>
          <w:tcPr>
            <w:tcW w:w="1023" w:type="dxa"/>
            <w:tcBorders/>
            <w:shd w:fill="auto" w:val="clear"/>
            <w:vAlign w:val="bottom"/>
          </w:tcPr>
          <w:p>
            <w:pPr>
              <w:pStyle w:val="TableContents"/>
              <w:spacing w:before="0" w:after="283"/>
              <w:jc w:val="right"/>
              <w:rPr/>
            </w:pPr>
            <w:r>
              <w:rPr/>
              <w:t>(311</w:t>
            </w:r>
          </w:p>
        </w:tc>
        <w:tc>
          <w:tcPr>
            <w:tcW w:w="124" w:type="dxa"/>
            <w:tcBorders/>
            <w:shd w:fill="auto" w:val="clear"/>
            <w:vAlign w:val="bottom"/>
          </w:tcPr>
          <w:p>
            <w:pPr>
              <w:pStyle w:val="TableContents"/>
              <w:spacing w:before="0" w:after="283"/>
              <w:rPr/>
            </w:pPr>
            <w:r>
              <w:rPr/>
              <w:t>)</w:t>
            </w:r>
          </w:p>
        </w:tc>
      </w:tr>
      <w:tr>
        <w:trPr/>
        <w:tc>
          <w:tcPr>
            <w:tcW w:w="1674" w:type="dxa"/>
            <w:tcBorders/>
            <w:shd w:fill="CCEEFF" w:val="clear"/>
            <w:vAlign w:val="bottom"/>
          </w:tcPr>
          <w:p>
            <w:pPr>
              <w:pStyle w:val="TableContents"/>
              <w:spacing w:before="0" w:after="0"/>
              <w:ind w:left="225" w:right="0" w:hanging="225"/>
              <w:rPr/>
            </w:pPr>
            <w:r>
              <w:rPr/>
              <w:t>Non-compete agreements</w:t>
            </w:r>
          </w:p>
        </w:tc>
        <w:tc>
          <w:tcPr>
            <w:tcW w:w="17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53" w:type="dxa"/>
            <w:tcBorders/>
            <w:shd w:fill="CCEEFF" w:val="clear"/>
            <w:vAlign w:val="bottom"/>
          </w:tcPr>
          <w:p>
            <w:pPr>
              <w:pStyle w:val="TableContents"/>
              <w:spacing w:before="0" w:after="283"/>
              <w:jc w:val="right"/>
              <w:rPr/>
            </w:pPr>
            <w:r>
              <w:rPr/>
              <w:t>898</w:t>
            </w:r>
          </w:p>
        </w:tc>
        <w:tc>
          <w:tcPr>
            <w:tcW w:w="7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(293</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752" w:type="dxa"/>
            <w:tcBorders/>
            <w:shd w:fill="CCEEFF" w:val="clear"/>
            <w:vAlign w:val="bottom"/>
          </w:tcPr>
          <w:p>
            <w:pPr>
              <w:pStyle w:val="TableContents"/>
              <w:spacing w:before="0" w:after="283"/>
              <w:jc w:val="right"/>
              <w:rPr/>
            </w:pPr>
            <w:r>
              <w:rPr/>
              <w:t>388</w:t>
            </w:r>
          </w:p>
        </w:tc>
        <w:tc>
          <w:tcPr>
            <w:tcW w:w="7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(272</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821" w:type="dxa"/>
            <w:tcBorders/>
            <w:shd w:fill="CCEEFF" w:val="clear"/>
            <w:vAlign w:val="bottom"/>
          </w:tcPr>
          <w:p>
            <w:pPr>
              <w:pStyle w:val="TableContents"/>
              <w:spacing w:before="0" w:after="283"/>
              <w:jc w:val="right"/>
              <w:rPr/>
            </w:pPr>
            <w:r>
              <w:rPr/>
              <w:t>398</w:t>
            </w:r>
          </w:p>
        </w:tc>
        <w:tc>
          <w:tcPr>
            <w:tcW w:w="9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left"/>
              <w:rPr/>
            </w:pPr>
            <w:r>
              <w:rPr/>
              <w:t> </w:t>
            </w:r>
          </w:p>
        </w:tc>
        <w:tc>
          <w:tcPr>
            <w:tcW w:w="1023" w:type="dxa"/>
            <w:tcBorders/>
            <w:shd w:fill="CCEEFF" w:val="clear"/>
            <w:vAlign w:val="bottom"/>
          </w:tcPr>
          <w:p>
            <w:pPr>
              <w:pStyle w:val="TableContents"/>
              <w:spacing w:before="0" w:after="283"/>
              <w:jc w:val="right"/>
              <w:rPr/>
            </w:pPr>
            <w:r>
              <w:rPr/>
              <w:t>(277</w:t>
            </w:r>
          </w:p>
        </w:tc>
        <w:tc>
          <w:tcPr>
            <w:tcW w:w="124" w:type="dxa"/>
            <w:tcBorders/>
            <w:shd w:fill="CCEEFF" w:val="clear"/>
            <w:vAlign w:val="bottom"/>
          </w:tcPr>
          <w:p>
            <w:pPr>
              <w:pStyle w:val="TableContents"/>
              <w:spacing w:before="0" w:after="283"/>
              <w:rPr/>
            </w:pPr>
            <w:r>
              <w:rPr/>
              <w:t>)</w:t>
            </w:r>
          </w:p>
        </w:tc>
      </w:tr>
      <w:tr>
        <w:trPr/>
        <w:tc>
          <w:tcPr>
            <w:tcW w:w="1674" w:type="dxa"/>
            <w:tcBorders/>
            <w:shd w:fill="auto" w:val="clear"/>
            <w:vAlign w:val="bottom"/>
          </w:tcPr>
          <w:p>
            <w:pPr>
              <w:pStyle w:val="TableContents"/>
              <w:spacing w:before="0" w:after="0"/>
              <w:ind w:left="225" w:right="0" w:hanging="225"/>
              <w:rPr/>
            </w:pPr>
            <w:r>
              <w:rPr/>
              <w:t>Customer list</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3" w:type="dxa"/>
            <w:tcBorders/>
            <w:shd w:fill="auto" w:val="clear"/>
            <w:vAlign w:val="bottom"/>
          </w:tcPr>
          <w:p>
            <w:pPr>
              <w:pStyle w:val="TableContents"/>
              <w:spacing w:before="0" w:after="283"/>
              <w:jc w:val="right"/>
              <w:rPr/>
            </w:pPr>
            <w:r>
              <w:rPr/>
              <w:t>20</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752" w:type="dxa"/>
            <w:tcBorders/>
            <w:shd w:fill="auto" w:val="clear"/>
            <w:vAlign w:val="bottom"/>
          </w:tcPr>
          <w:p>
            <w:pPr>
              <w:pStyle w:val="TableContents"/>
              <w:spacing w:before="0" w:after="283"/>
              <w:jc w:val="right"/>
              <w:rPr/>
            </w:pPr>
            <w:r>
              <w:rPr/>
              <w:t></w:t>
            </w:r>
          </w:p>
        </w:tc>
        <w:tc>
          <w:tcPr>
            <w:tcW w:w="79"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301" w:type="dxa"/>
            <w:tcBorders/>
            <w:shd w:fill="auto" w:val="clear"/>
            <w:vAlign w:val="bottom"/>
          </w:tcPr>
          <w:p>
            <w:pPr>
              <w:pStyle w:val="TableContents"/>
              <w:spacing w:before="0" w:after="283"/>
              <w:rPr/>
            </w:pPr>
            <w:r>
              <w:rPr/>
              <w:t> </w:t>
            </w:r>
          </w:p>
        </w:tc>
        <w:tc>
          <w:tcPr>
            <w:tcW w:w="1021" w:type="dxa"/>
            <w:tcBorders/>
            <w:shd w:fill="auto" w:val="clear"/>
            <w:vAlign w:val="bottom"/>
          </w:tcPr>
          <w:p>
            <w:pPr>
              <w:pStyle w:val="TableContents"/>
              <w:spacing w:before="0" w:after="283"/>
              <w:jc w:val="right"/>
              <w:rPr/>
            </w:pPr>
            <w:r>
              <w:rPr/>
              <w:t></w:t>
            </w:r>
          </w:p>
        </w:tc>
        <w:tc>
          <w:tcPr>
            <w:tcW w:w="111" w:type="dxa"/>
            <w:tcBorders/>
            <w:shd w:fill="auto" w:val="clear"/>
            <w:vAlign w:val="bottom"/>
          </w:tcPr>
          <w:p>
            <w:pPr>
              <w:pStyle w:val="TableContents"/>
              <w:spacing w:before="0" w:after="283"/>
              <w:rPr/>
            </w:pPr>
            <w:r>
              <w:rPr/>
              <w:t> </w:t>
            </w:r>
          </w:p>
        </w:tc>
        <w:tc>
          <w:tcPr>
            <w:tcW w:w="176"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821" w:type="dxa"/>
            <w:tcBorders/>
            <w:shd w:fill="auto" w:val="clear"/>
            <w:vAlign w:val="bottom"/>
          </w:tcPr>
          <w:p>
            <w:pPr>
              <w:pStyle w:val="TableContents"/>
              <w:spacing w:before="0" w:after="283"/>
              <w:jc w:val="right"/>
              <w:rPr/>
            </w:pPr>
            <w:r>
              <w:rPr/>
              <w:t></w:t>
            </w:r>
          </w:p>
        </w:tc>
        <w:tc>
          <w:tcPr>
            <w:tcW w:w="98"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299" w:type="dxa"/>
            <w:tcBorders/>
            <w:shd w:fill="auto" w:val="clear"/>
            <w:vAlign w:val="bottom"/>
          </w:tcPr>
          <w:p>
            <w:pPr>
              <w:pStyle w:val="TableContents"/>
              <w:spacing w:before="0" w:after="283"/>
              <w:rPr/>
            </w:pPr>
            <w:r>
              <w:rPr/>
              <w:t> </w:t>
            </w:r>
          </w:p>
        </w:tc>
        <w:tc>
          <w:tcPr>
            <w:tcW w:w="1023" w:type="dxa"/>
            <w:tcBorders/>
            <w:shd w:fill="auto" w:val="clear"/>
            <w:vAlign w:val="bottom"/>
          </w:tcPr>
          <w:p>
            <w:pPr>
              <w:pStyle w:val="TableContents"/>
              <w:spacing w:before="0" w:after="283"/>
              <w:jc w:val="right"/>
              <w:rPr/>
            </w:pPr>
            <w:r>
              <w:rPr/>
              <w:t></w:t>
            </w:r>
          </w:p>
        </w:tc>
        <w:tc>
          <w:tcPr>
            <w:tcW w:w="124" w:type="dxa"/>
            <w:tcBorders/>
            <w:shd w:fill="auto" w:val="clear"/>
            <w:vAlign w:val="bottom"/>
          </w:tcPr>
          <w:p>
            <w:pPr>
              <w:pStyle w:val="TableContents"/>
              <w:spacing w:before="0" w:after="283"/>
              <w:rPr/>
            </w:pPr>
            <w:r>
              <w:rPr/>
              <w:t> </w:t>
            </w:r>
          </w:p>
        </w:tc>
      </w:tr>
      <w:tr>
        <w:trPr/>
        <w:tc>
          <w:tcPr>
            <w:tcW w:w="1674"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01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r>
        <w:trPr/>
        <w:tc>
          <w:tcPr>
            <w:tcW w:w="1674" w:type="dxa"/>
            <w:tcBorders/>
            <w:shd w:fill="CCEEFF" w:val="clear"/>
            <w:vAlign w:val="bottom"/>
          </w:tcPr>
          <w:p>
            <w:pPr>
              <w:pStyle w:val="TableContents"/>
              <w:spacing w:before="0" w:after="0"/>
              <w:ind w:left="225" w:right="0" w:hanging="225"/>
              <w:rPr/>
            </w:pPr>
            <w:r>
              <w:rPr/>
              <w:t>Total</w:t>
            </w:r>
          </w:p>
        </w:tc>
        <w:tc>
          <w:tcPr>
            <w:tcW w:w="17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753" w:type="dxa"/>
            <w:tcBorders/>
            <w:shd w:fill="CCEEFF" w:val="clear"/>
            <w:vAlign w:val="bottom"/>
          </w:tcPr>
          <w:p>
            <w:pPr>
              <w:pStyle w:val="TableContents"/>
              <w:spacing w:before="0" w:after="283"/>
              <w:jc w:val="right"/>
              <w:rPr/>
            </w:pPr>
            <w:r>
              <w:rPr/>
              <w:t>1,819</w:t>
            </w:r>
          </w:p>
        </w:tc>
        <w:tc>
          <w:tcPr>
            <w:tcW w:w="7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21" w:type="dxa"/>
            <w:tcBorders/>
            <w:shd w:fill="CCEEFF" w:val="clear"/>
            <w:vAlign w:val="bottom"/>
          </w:tcPr>
          <w:p>
            <w:pPr>
              <w:pStyle w:val="TableContents"/>
              <w:spacing w:before="0" w:after="283"/>
              <w:jc w:val="right"/>
              <w:rPr/>
            </w:pPr>
            <w:r>
              <w:rPr/>
              <w:t>(897</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jc w:val="left"/>
              <w:rPr/>
            </w:pPr>
            <w:r>
              <w:rPr/>
              <w:t>$</w:t>
            </w:r>
          </w:p>
        </w:tc>
        <w:tc>
          <w:tcPr>
            <w:tcW w:w="752" w:type="dxa"/>
            <w:tcBorders/>
            <w:shd w:fill="CCEEFF" w:val="clear"/>
            <w:vAlign w:val="bottom"/>
          </w:tcPr>
          <w:p>
            <w:pPr>
              <w:pStyle w:val="TableContents"/>
              <w:spacing w:before="0" w:after="283"/>
              <w:jc w:val="right"/>
              <w:rPr/>
            </w:pPr>
            <w:r>
              <w:rPr/>
              <w:t>1,289</w:t>
            </w:r>
          </w:p>
        </w:tc>
        <w:tc>
          <w:tcPr>
            <w:tcW w:w="79"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rPr/>
            </w:pPr>
            <w:r>
              <w:rPr/>
              <w:t> </w:t>
            </w:r>
          </w:p>
        </w:tc>
        <w:tc>
          <w:tcPr>
            <w:tcW w:w="301" w:type="dxa"/>
            <w:tcBorders/>
            <w:shd w:fill="CCEEFF" w:val="clear"/>
            <w:vAlign w:val="bottom"/>
          </w:tcPr>
          <w:p>
            <w:pPr>
              <w:pStyle w:val="TableContents"/>
              <w:spacing w:before="0" w:after="283"/>
              <w:jc w:val="left"/>
              <w:rPr/>
            </w:pPr>
            <w:r>
              <w:rPr/>
              <w:t>$</w:t>
            </w:r>
          </w:p>
        </w:tc>
        <w:tc>
          <w:tcPr>
            <w:tcW w:w="1021" w:type="dxa"/>
            <w:tcBorders/>
            <w:shd w:fill="CCEEFF" w:val="clear"/>
            <w:vAlign w:val="bottom"/>
          </w:tcPr>
          <w:p>
            <w:pPr>
              <w:pStyle w:val="TableContents"/>
              <w:spacing w:before="0" w:after="283"/>
              <w:jc w:val="right"/>
              <w:rPr/>
            </w:pPr>
            <w:r>
              <w:rPr/>
              <w:t>(828</w:t>
            </w:r>
          </w:p>
        </w:tc>
        <w:tc>
          <w:tcPr>
            <w:tcW w:w="111" w:type="dxa"/>
            <w:tcBorders/>
            <w:shd w:fill="CCEEFF" w:val="clear"/>
            <w:vAlign w:val="bottom"/>
          </w:tcPr>
          <w:p>
            <w:pPr>
              <w:pStyle w:val="TableContents"/>
              <w:spacing w:before="0" w:after="283"/>
              <w:rPr/>
            </w:pPr>
            <w:r>
              <w:rPr/>
              <w:t>)</w:t>
            </w:r>
          </w:p>
        </w:tc>
        <w:tc>
          <w:tcPr>
            <w:tcW w:w="176"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821" w:type="dxa"/>
            <w:tcBorders/>
            <w:shd w:fill="CCEEFF" w:val="clear"/>
            <w:vAlign w:val="bottom"/>
          </w:tcPr>
          <w:p>
            <w:pPr>
              <w:pStyle w:val="TableContents"/>
              <w:spacing w:before="0" w:after="283"/>
              <w:jc w:val="right"/>
              <w:rPr/>
            </w:pPr>
            <w:r>
              <w:rPr/>
              <w:t>1,299</w:t>
            </w:r>
          </w:p>
        </w:tc>
        <w:tc>
          <w:tcPr>
            <w:tcW w:w="98"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299" w:type="dxa"/>
            <w:tcBorders/>
            <w:shd w:fill="CCEEFF" w:val="clear"/>
            <w:vAlign w:val="bottom"/>
          </w:tcPr>
          <w:p>
            <w:pPr>
              <w:pStyle w:val="TableContents"/>
              <w:spacing w:before="0" w:after="283"/>
              <w:jc w:val="left"/>
              <w:rPr/>
            </w:pPr>
            <w:r>
              <w:rPr/>
              <w:t>$</w:t>
            </w:r>
          </w:p>
        </w:tc>
        <w:tc>
          <w:tcPr>
            <w:tcW w:w="1023" w:type="dxa"/>
            <w:tcBorders/>
            <w:shd w:fill="CCEEFF" w:val="clear"/>
            <w:vAlign w:val="bottom"/>
          </w:tcPr>
          <w:p>
            <w:pPr>
              <w:pStyle w:val="TableContents"/>
              <w:spacing w:before="0" w:after="283"/>
              <w:jc w:val="right"/>
              <w:rPr/>
            </w:pPr>
            <w:r>
              <w:rPr/>
              <w:t>(845</w:t>
            </w:r>
          </w:p>
        </w:tc>
        <w:tc>
          <w:tcPr>
            <w:tcW w:w="124" w:type="dxa"/>
            <w:tcBorders/>
            <w:shd w:fill="CCEEFF" w:val="clear"/>
            <w:vAlign w:val="bottom"/>
          </w:tcPr>
          <w:p>
            <w:pPr>
              <w:pStyle w:val="TableContents"/>
              <w:spacing w:before="0" w:after="283"/>
              <w:rPr/>
            </w:pPr>
            <w:r>
              <w:rPr/>
              <w:t>)</w:t>
            </w:r>
          </w:p>
        </w:tc>
      </w:tr>
      <w:tr>
        <w:trPr/>
        <w:tc>
          <w:tcPr>
            <w:tcW w:w="1674" w:type="dxa"/>
            <w:tcBorders/>
            <w:shd w:fill="auto" w:val="clear"/>
            <w:vAlign w:val="center"/>
          </w:tcPr>
          <w:p>
            <w:pPr>
              <w:pStyle w:val="TableContents"/>
              <w:spacing w:before="0" w:after="0"/>
              <w:ind w:left="225" w:right="0" w:hanging="225"/>
              <w:rPr/>
            </w:pPr>
            <w:r>
              <w:rPr/>
              <w:t> </w:t>
            </w:r>
          </w:p>
        </w:tc>
        <w:tc>
          <w:tcPr>
            <w:tcW w:w="176" w:type="dxa"/>
            <w:tcBorders/>
            <w:shd w:fill="auto" w:val="clear"/>
            <w:vAlign w:val="center"/>
          </w:tcPr>
          <w:p>
            <w:pPr>
              <w:pStyle w:val="TableContents"/>
              <w:spacing w:before="0" w:after="283"/>
              <w:rPr/>
            </w:pPr>
            <w:r>
              <w:rPr/>
              <w:t> </w:t>
            </w:r>
          </w:p>
        </w:tc>
        <w:tc>
          <w:tcPr>
            <w:tcW w:w="9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9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79"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1" w:type="dxa"/>
            <w:tcBorders/>
            <w:shd w:fill="auto" w:val="clear"/>
            <w:vAlign w:val="center"/>
          </w:tcPr>
          <w:p>
            <w:pPr>
              <w:pStyle w:val="TableContents"/>
              <w:spacing w:before="0" w:after="283"/>
              <w:rPr/>
            </w:pPr>
            <w:r>
              <w:rPr/>
              <w:t> </w:t>
            </w:r>
          </w:p>
        </w:tc>
        <w:tc>
          <w:tcPr>
            <w:tcW w:w="176" w:type="dxa"/>
            <w:tcBorders/>
            <w:shd w:fill="auto" w:val="clear"/>
            <w:vAlign w:val="center"/>
          </w:tcPr>
          <w:p>
            <w:pPr>
              <w:pStyle w:val="TableContents"/>
              <w:spacing w:before="0" w:after="283"/>
              <w:rPr/>
            </w:pPr>
            <w:r>
              <w:rPr/>
              <w:t> </w:t>
            </w:r>
          </w:p>
        </w:tc>
        <w:tc>
          <w:tcPr>
            <w:tcW w:w="101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8" w:type="dxa"/>
            <w:tcBorders/>
            <w:shd w:fill="auto" w:val="clear"/>
            <w:vAlign w:val="center"/>
          </w:tcPr>
          <w:p>
            <w:pPr>
              <w:pStyle w:val="TableContents"/>
              <w:spacing w:before="0" w:after="283"/>
              <w:rPr/>
            </w:pPr>
            <w:r>
              <w:rPr/>
              <w:t> </w:t>
            </w:r>
          </w:p>
        </w:tc>
        <w:tc>
          <w:tcPr>
            <w:tcW w:w="195"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Total amortization expense from definite-lived intangible assets for the current quarter and year-to-date periods ended June 30, 2007 was approximately $17,000 and $52,000. For the comparable 2006 periods, amortization expense was approximately $17,000 and $51,000. We estimate amortization expense will be $62,000 in the remaining three months of fiscal 2007. The expected increase from prior quarters is primarily due to the amortization of intangible assets acquired from Jumping Jack Cash. The following table presents our estimate of amortization expense for definite-lived intangible assets for the next four full fiscal years </w:t>
      </w:r>
      <w:r>
        <w:rPr>
          <w:rFonts w:ascii="Times New Roman;Times;serif" w:hAnsi="Times New Roman;Times;serif"/>
          <w:i/>
          <w:sz w:val="17"/>
        </w:rPr>
        <w:t>(in thousands):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256"/>
        <w:gridCol w:w="409"/>
        <w:gridCol w:w="704"/>
        <w:gridCol w:w="1408"/>
        <w:gridCol w:w="428"/>
      </w:tblGrid>
      <w:tr>
        <w:trPr/>
        <w:tc>
          <w:tcPr>
            <w:tcW w:w="7256" w:type="dxa"/>
            <w:tcBorders/>
            <w:shd w:fill="auto" w:val="clear"/>
            <w:vAlign w:val="bottom"/>
          </w:tcPr>
          <w:p>
            <w:pPr>
              <w:pStyle w:val="TableContents"/>
              <w:spacing w:before="0" w:after="283"/>
              <w:rPr/>
            </w:pPr>
            <w:r>
              <w:rPr/>
              <w:t> </w:t>
            </w:r>
          </w:p>
        </w:tc>
        <w:tc>
          <w:tcPr>
            <w:tcW w:w="409"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rPr/>
            </w:pPr>
            <w:r>
              <w:rPr/>
              <w:t> </w:t>
            </w:r>
          </w:p>
        </w:tc>
        <w:tc>
          <w:tcPr>
            <w:tcW w:w="1408" w:type="dxa"/>
            <w:tcBorders/>
            <w:shd w:fill="auto" w:val="clear"/>
            <w:vAlign w:val="bottom"/>
          </w:tcPr>
          <w:p>
            <w:pPr>
              <w:pStyle w:val="TableContents"/>
              <w:spacing w:before="0" w:after="283"/>
              <w:rPr/>
            </w:pPr>
            <w:r>
              <w:rPr/>
              <w:t> </w:t>
            </w:r>
          </w:p>
        </w:tc>
        <w:tc>
          <w:tcPr>
            <w:tcW w:w="428" w:type="dxa"/>
            <w:tcBorders/>
            <w:shd w:fill="auto" w:val="clear"/>
            <w:vAlign w:val="bottom"/>
          </w:tcPr>
          <w:p>
            <w:pPr>
              <w:pStyle w:val="TableContents"/>
              <w:spacing w:before="0" w:after="283"/>
              <w:rPr/>
            </w:pPr>
            <w:r>
              <w:rPr/>
              <w:t> </w:t>
            </w:r>
          </w:p>
        </w:tc>
      </w:tr>
      <w:tr>
        <w:trPr/>
        <w:tc>
          <w:tcPr>
            <w:tcW w:w="7256" w:type="dxa"/>
            <w:tcBorders>
              <w:bottom w:val="single" w:sz="2" w:space="0" w:color="000000"/>
            </w:tcBorders>
            <w:shd w:fill="auto" w:val="clear"/>
            <w:tcMar>
              <w:bottom w:w="28" w:type="dxa"/>
            </w:tcMar>
            <w:vAlign w:val="bottom"/>
          </w:tcPr>
          <w:p>
            <w:pPr>
              <w:pStyle w:val="TableContents"/>
              <w:spacing w:before="0" w:after="283"/>
              <w:jc w:val="center"/>
              <w:rPr/>
            </w:pPr>
            <w:r>
              <w:rPr/>
              <w:t>Fiscal Year</w:t>
            </w:r>
          </w:p>
        </w:tc>
        <w:tc>
          <w:tcPr>
            <w:tcW w:w="409" w:type="dxa"/>
            <w:tcBorders/>
            <w:shd w:fill="auto" w:val="clear"/>
            <w:vAlign w:val="bottom"/>
          </w:tcPr>
          <w:p>
            <w:pPr>
              <w:pStyle w:val="TableContents"/>
              <w:spacing w:before="0" w:after="283"/>
              <w:rPr/>
            </w:pPr>
            <w:r>
              <w:rPr/>
              <w:t> </w:t>
            </w:r>
          </w:p>
        </w:tc>
        <w:tc>
          <w:tcPr>
            <w:tcW w:w="2540" w:type="dxa"/>
            <w:gridSpan w:val="3"/>
            <w:tcBorders>
              <w:bottom w:val="single" w:sz="2" w:space="0" w:color="000000"/>
            </w:tcBorders>
            <w:shd w:fill="auto" w:val="clear"/>
            <w:tcMar>
              <w:bottom w:w="28" w:type="dxa"/>
            </w:tcMar>
            <w:vAlign w:val="bottom"/>
          </w:tcPr>
          <w:p>
            <w:pPr>
              <w:pStyle w:val="TableContents"/>
              <w:spacing w:before="0" w:after="283"/>
              <w:jc w:val="center"/>
              <w:rPr/>
            </w:pPr>
            <w:r>
              <w:rPr/>
              <w:t>Amortization Expense</w:t>
            </w:r>
          </w:p>
        </w:tc>
      </w:tr>
      <w:tr>
        <w:trPr/>
        <w:tc>
          <w:tcPr>
            <w:tcW w:w="7256" w:type="dxa"/>
            <w:tcBorders/>
            <w:shd w:fill="CCEEFF" w:val="clear"/>
            <w:vAlign w:val="bottom"/>
          </w:tcPr>
          <w:p>
            <w:pPr>
              <w:pStyle w:val="TableContents"/>
              <w:spacing w:before="0" w:after="0"/>
              <w:ind w:left="225" w:right="0" w:hanging="225"/>
              <w:rPr/>
            </w:pPr>
            <w:r>
              <w:rPr/>
              <w:t>2008</w:t>
            </w:r>
          </w:p>
        </w:tc>
        <w:tc>
          <w:tcPr>
            <w:tcW w:w="409"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w:t>
            </w:r>
          </w:p>
        </w:tc>
        <w:tc>
          <w:tcPr>
            <w:tcW w:w="1408" w:type="dxa"/>
            <w:tcBorders/>
            <w:shd w:fill="CCEEFF" w:val="clear"/>
            <w:vAlign w:val="bottom"/>
          </w:tcPr>
          <w:p>
            <w:pPr>
              <w:pStyle w:val="TableContents"/>
              <w:spacing w:before="0" w:after="283"/>
              <w:jc w:val="right"/>
              <w:rPr/>
            </w:pPr>
            <w:r>
              <w:rPr/>
              <w:t>168</w:t>
            </w:r>
          </w:p>
        </w:tc>
        <w:tc>
          <w:tcPr>
            <w:tcW w:w="428" w:type="dxa"/>
            <w:tcBorders/>
            <w:shd w:fill="CCEEFF" w:val="clear"/>
            <w:vAlign w:val="bottom"/>
          </w:tcPr>
          <w:p>
            <w:pPr>
              <w:pStyle w:val="TableContents"/>
              <w:spacing w:before="0" w:after="283"/>
              <w:rPr/>
            </w:pPr>
            <w:r>
              <w:rPr/>
              <w:t> </w:t>
            </w:r>
          </w:p>
        </w:tc>
      </w:tr>
      <w:tr>
        <w:trPr/>
        <w:tc>
          <w:tcPr>
            <w:tcW w:w="7256" w:type="dxa"/>
            <w:tcBorders/>
            <w:shd w:fill="auto" w:val="clear"/>
            <w:vAlign w:val="bottom"/>
          </w:tcPr>
          <w:p>
            <w:pPr>
              <w:pStyle w:val="TableContents"/>
              <w:spacing w:before="0" w:after="0"/>
              <w:ind w:left="225" w:right="0" w:hanging="225"/>
              <w:rPr/>
            </w:pPr>
            <w:r>
              <w:rPr/>
              <w:t>2009</w:t>
            </w:r>
          </w:p>
        </w:tc>
        <w:tc>
          <w:tcPr>
            <w:tcW w:w="409"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w:t>
            </w:r>
          </w:p>
        </w:tc>
        <w:tc>
          <w:tcPr>
            <w:tcW w:w="1408" w:type="dxa"/>
            <w:tcBorders/>
            <w:shd w:fill="auto" w:val="clear"/>
            <w:vAlign w:val="bottom"/>
          </w:tcPr>
          <w:p>
            <w:pPr>
              <w:pStyle w:val="TableContents"/>
              <w:spacing w:before="0" w:after="283"/>
              <w:jc w:val="right"/>
              <w:rPr/>
            </w:pPr>
            <w:r>
              <w:rPr/>
              <w:t>159</w:t>
            </w:r>
          </w:p>
        </w:tc>
        <w:tc>
          <w:tcPr>
            <w:tcW w:w="428" w:type="dxa"/>
            <w:tcBorders/>
            <w:shd w:fill="auto" w:val="clear"/>
            <w:vAlign w:val="bottom"/>
          </w:tcPr>
          <w:p>
            <w:pPr>
              <w:pStyle w:val="TableContents"/>
              <w:spacing w:before="0" w:after="283"/>
              <w:rPr/>
            </w:pPr>
            <w:r>
              <w:rPr/>
              <w:t> </w:t>
            </w:r>
          </w:p>
        </w:tc>
      </w:tr>
      <w:tr>
        <w:trPr/>
        <w:tc>
          <w:tcPr>
            <w:tcW w:w="7256" w:type="dxa"/>
            <w:tcBorders/>
            <w:shd w:fill="CCEEFF" w:val="clear"/>
            <w:vAlign w:val="bottom"/>
          </w:tcPr>
          <w:p>
            <w:pPr>
              <w:pStyle w:val="TableContents"/>
              <w:spacing w:before="0" w:after="0"/>
              <w:ind w:left="225" w:right="0" w:hanging="225"/>
              <w:rPr/>
            </w:pPr>
            <w:r>
              <w:rPr/>
              <w:t>2010</w:t>
            </w:r>
          </w:p>
        </w:tc>
        <w:tc>
          <w:tcPr>
            <w:tcW w:w="409" w:type="dxa"/>
            <w:tcBorders/>
            <w:shd w:fill="CCEEFF" w:val="clear"/>
            <w:vAlign w:val="bottom"/>
          </w:tcPr>
          <w:p>
            <w:pPr>
              <w:pStyle w:val="TableContents"/>
              <w:spacing w:before="0" w:after="283"/>
              <w:rPr/>
            </w:pPr>
            <w:r>
              <w:rPr/>
              <w:t> </w:t>
            </w:r>
          </w:p>
        </w:tc>
        <w:tc>
          <w:tcPr>
            <w:tcW w:w="704" w:type="dxa"/>
            <w:tcBorders/>
            <w:shd w:fill="CCEEFF" w:val="clear"/>
            <w:vAlign w:val="bottom"/>
          </w:tcPr>
          <w:p>
            <w:pPr>
              <w:pStyle w:val="TableContents"/>
              <w:spacing w:before="0" w:after="283"/>
              <w:jc w:val="right"/>
              <w:rPr/>
            </w:pPr>
            <w:r>
              <w:rPr/>
              <w:t>$</w:t>
            </w:r>
          </w:p>
        </w:tc>
        <w:tc>
          <w:tcPr>
            <w:tcW w:w="1408" w:type="dxa"/>
            <w:tcBorders/>
            <w:shd w:fill="CCEEFF" w:val="clear"/>
            <w:vAlign w:val="bottom"/>
          </w:tcPr>
          <w:p>
            <w:pPr>
              <w:pStyle w:val="TableContents"/>
              <w:spacing w:before="0" w:after="283"/>
              <w:jc w:val="right"/>
              <w:rPr/>
            </w:pPr>
            <w:r>
              <w:rPr/>
              <w:t>144</w:t>
            </w:r>
          </w:p>
        </w:tc>
        <w:tc>
          <w:tcPr>
            <w:tcW w:w="428" w:type="dxa"/>
            <w:tcBorders/>
            <w:shd w:fill="CCEEFF" w:val="clear"/>
            <w:vAlign w:val="bottom"/>
          </w:tcPr>
          <w:p>
            <w:pPr>
              <w:pStyle w:val="TableContents"/>
              <w:spacing w:before="0" w:after="283"/>
              <w:rPr/>
            </w:pPr>
            <w:r>
              <w:rPr/>
              <w:t> </w:t>
            </w:r>
          </w:p>
        </w:tc>
      </w:tr>
      <w:tr>
        <w:trPr/>
        <w:tc>
          <w:tcPr>
            <w:tcW w:w="7256" w:type="dxa"/>
            <w:tcBorders/>
            <w:shd w:fill="auto" w:val="clear"/>
            <w:vAlign w:val="bottom"/>
          </w:tcPr>
          <w:p>
            <w:pPr>
              <w:pStyle w:val="TableContents"/>
              <w:spacing w:before="0" w:after="0"/>
              <w:ind w:left="225" w:right="0" w:hanging="225"/>
              <w:rPr/>
            </w:pPr>
            <w:r>
              <w:rPr/>
              <w:t>2011</w:t>
            </w:r>
          </w:p>
        </w:tc>
        <w:tc>
          <w:tcPr>
            <w:tcW w:w="409" w:type="dxa"/>
            <w:tcBorders/>
            <w:shd w:fill="auto" w:val="clear"/>
            <w:vAlign w:val="bottom"/>
          </w:tcPr>
          <w:p>
            <w:pPr>
              <w:pStyle w:val="TableContents"/>
              <w:spacing w:before="0" w:after="283"/>
              <w:rPr/>
            </w:pPr>
            <w:r>
              <w:rPr/>
              <w:t> </w:t>
            </w:r>
          </w:p>
        </w:tc>
        <w:tc>
          <w:tcPr>
            <w:tcW w:w="704" w:type="dxa"/>
            <w:tcBorders/>
            <w:shd w:fill="auto" w:val="clear"/>
            <w:vAlign w:val="bottom"/>
          </w:tcPr>
          <w:p>
            <w:pPr>
              <w:pStyle w:val="TableContents"/>
              <w:spacing w:before="0" w:after="283"/>
              <w:jc w:val="right"/>
              <w:rPr/>
            </w:pPr>
            <w:r>
              <w:rPr/>
              <w:t>$</w:t>
            </w:r>
          </w:p>
        </w:tc>
        <w:tc>
          <w:tcPr>
            <w:tcW w:w="1408" w:type="dxa"/>
            <w:tcBorders/>
            <w:shd w:fill="auto" w:val="clear"/>
            <w:vAlign w:val="bottom"/>
          </w:tcPr>
          <w:p>
            <w:pPr>
              <w:pStyle w:val="TableContents"/>
              <w:spacing w:before="0" w:after="283"/>
              <w:jc w:val="right"/>
              <w:rPr/>
            </w:pPr>
            <w:r>
              <w:rPr/>
              <w:t>138</w:t>
            </w:r>
          </w:p>
        </w:tc>
        <w:tc>
          <w:tcPr>
            <w:tcW w:w="428"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As acquisitions and dispositions occur in the future, amortization expense may vary from these estimates.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J: Common Stock, Warrants, Options, and Share-based Compensation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income includes the following share-based compensation expense, determined in accordance with the fair value provisions of SFAS No. 123(R): </w:t>
      </w:r>
    </w:p>
    <w:tbl>
      <w:tblPr>
        <w:tblW w:w="5000" w:type="pct"/>
        <w:jc w:val="center"/>
        <w:tblInd w:w="0" w:type="dxa"/>
        <w:tblCellMar>
          <w:top w:w="0" w:type="dxa"/>
          <w:left w:w="0" w:type="dxa"/>
          <w:bottom w:w="0" w:type="dxa"/>
          <w:right w:w="0" w:type="dxa"/>
        </w:tblCellMar>
      </w:tblPr>
      <w:tblGrid>
        <w:gridCol w:w="4145"/>
        <w:gridCol w:w="367"/>
        <w:gridCol w:w="206"/>
        <w:gridCol w:w="891"/>
        <w:gridCol w:w="160"/>
        <w:gridCol w:w="386"/>
        <w:gridCol w:w="206"/>
        <w:gridCol w:w="712"/>
        <w:gridCol w:w="129"/>
        <w:gridCol w:w="367"/>
        <w:gridCol w:w="184"/>
        <w:gridCol w:w="803"/>
        <w:gridCol w:w="145"/>
        <w:gridCol w:w="376"/>
        <w:gridCol w:w="184"/>
        <w:gridCol w:w="806"/>
        <w:gridCol w:w="138"/>
      </w:tblGrid>
      <w:tr>
        <w:trPr/>
        <w:tc>
          <w:tcPr>
            <w:tcW w:w="4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891"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712" w:type="dxa"/>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806"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561" w:type="dxa"/>
            <w:gridSpan w:val="6"/>
            <w:tcBorders/>
            <w:shd w:fill="auto" w:val="clear"/>
            <w:vAlign w:val="bottom"/>
          </w:tcPr>
          <w:p>
            <w:pPr>
              <w:pStyle w:val="TableContents"/>
              <w:spacing w:before="0" w:after="283"/>
              <w:jc w:val="center"/>
              <w:rPr/>
            </w:pPr>
            <w:r>
              <w:rPr/>
              <w:t>Three Months Ended</w:t>
            </w:r>
          </w:p>
        </w:tc>
        <w:tc>
          <w:tcPr>
            <w:tcW w:w="12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498" w:type="dxa"/>
            <w:gridSpan w:val="6"/>
            <w:tcBorders/>
            <w:shd w:fill="auto" w:val="clear"/>
            <w:vAlign w:val="bottom"/>
          </w:tcPr>
          <w:p>
            <w:pPr>
              <w:pStyle w:val="TableContents"/>
              <w:spacing w:before="0" w:after="283"/>
              <w:jc w:val="center"/>
              <w:rPr/>
            </w:pPr>
            <w:r>
              <w:rPr/>
              <w:t>Nine Months Ended</w:t>
            </w:r>
          </w:p>
        </w:tc>
        <w:tc>
          <w:tcPr>
            <w:tcW w:w="138"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561"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2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2498"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38"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097"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60" w:type="dxa"/>
            <w:tcBorders/>
            <w:shd w:fill="auto" w:val="clear"/>
            <w:vAlign w:val="bottom"/>
          </w:tcPr>
          <w:p>
            <w:pPr>
              <w:pStyle w:val="TableContents"/>
              <w:spacing w:before="0" w:after="283"/>
              <w:rPr/>
            </w:pPr>
            <w:r>
              <w:rPr/>
              <w:t> </w:t>
            </w:r>
          </w:p>
        </w:tc>
        <w:tc>
          <w:tcPr>
            <w:tcW w:w="386" w:type="dxa"/>
            <w:tcBorders/>
            <w:shd w:fill="auto" w:val="clear"/>
            <w:vAlign w:val="bottom"/>
          </w:tcPr>
          <w:p>
            <w:pPr>
              <w:pStyle w:val="TableContents"/>
              <w:spacing w:before="0" w:after="283"/>
              <w:rPr/>
            </w:pPr>
            <w:r>
              <w:rPr/>
              <w:t> </w:t>
            </w:r>
          </w:p>
        </w:tc>
        <w:tc>
          <w:tcPr>
            <w:tcW w:w="918"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29"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987"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45" w:type="dxa"/>
            <w:tcBorders/>
            <w:shd w:fill="auto" w:val="clear"/>
            <w:vAlign w:val="bottom"/>
          </w:tcPr>
          <w:p>
            <w:pPr>
              <w:pStyle w:val="TableContents"/>
              <w:spacing w:before="0" w:after="283"/>
              <w:rPr/>
            </w:pPr>
            <w:r>
              <w:rPr/>
              <w:t> </w:t>
            </w:r>
          </w:p>
        </w:tc>
        <w:tc>
          <w:tcPr>
            <w:tcW w:w="376" w:type="dxa"/>
            <w:tcBorders/>
            <w:shd w:fill="auto" w:val="clear"/>
            <w:vAlign w:val="bottom"/>
          </w:tcPr>
          <w:p>
            <w:pPr>
              <w:pStyle w:val="TableContents"/>
              <w:spacing w:before="0" w:after="283"/>
              <w:rPr/>
            </w:pPr>
            <w:r>
              <w:rPr/>
              <w:t> </w:t>
            </w:r>
          </w:p>
        </w:tc>
        <w:tc>
          <w:tcPr>
            <w:tcW w:w="990"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38" w:type="dxa"/>
            <w:tcBorders/>
            <w:shd w:fill="auto"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5555" w:type="dxa"/>
            <w:gridSpan w:val="14"/>
            <w:tcBorders/>
            <w:shd w:fill="auto" w:val="clear"/>
            <w:vAlign w:val="bottom"/>
          </w:tcPr>
          <w:p>
            <w:pPr>
              <w:pStyle w:val="TableContents"/>
              <w:spacing w:before="0" w:after="283"/>
              <w:jc w:val="center"/>
              <w:rPr>
                <w:i/>
              </w:rPr>
            </w:pPr>
            <w:r>
              <w:rPr>
                <w:i/>
              </w:rPr>
              <w:t>(in thousands)</w:t>
            </w:r>
          </w:p>
        </w:tc>
        <w:tc>
          <w:tcPr>
            <w:tcW w:w="138" w:type="dxa"/>
            <w:tcBorders/>
            <w:shd w:fill="auto" w:val="clear"/>
            <w:vAlign w:val="bottom"/>
          </w:tcPr>
          <w:p>
            <w:pPr>
              <w:pStyle w:val="TableContents"/>
              <w:spacing w:before="0" w:after="283"/>
              <w:rPr/>
            </w:pPr>
            <w:r>
              <w:rPr/>
              <w:t> </w:t>
            </w:r>
          </w:p>
        </w:tc>
      </w:tr>
      <w:tr>
        <w:trPr/>
        <w:tc>
          <w:tcPr>
            <w:tcW w:w="4145" w:type="dxa"/>
            <w:tcBorders/>
            <w:shd w:fill="CCEEFF" w:val="clear"/>
            <w:vAlign w:val="bottom"/>
          </w:tcPr>
          <w:p>
            <w:pPr>
              <w:pStyle w:val="TableContents"/>
              <w:spacing w:before="0" w:after="0"/>
              <w:ind w:left="225" w:right="0" w:hanging="225"/>
              <w:rPr/>
            </w:pPr>
            <w:r>
              <w:rPr/>
              <w:t>Gross compensation cost</w:t>
            </w:r>
          </w:p>
        </w:tc>
        <w:tc>
          <w:tcPr>
            <w:tcW w:w="36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91" w:type="dxa"/>
            <w:tcBorders/>
            <w:shd w:fill="CCEEFF" w:val="clear"/>
            <w:vAlign w:val="bottom"/>
          </w:tcPr>
          <w:p>
            <w:pPr>
              <w:pStyle w:val="TableContents"/>
              <w:spacing w:before="0" w:after="283"/>
              <w:jc w:val="right"/>
              <w:rPr/>
            </w:pPr>
            <w:r>
              <w:rPr/>
              <w:t>1,061</w:t>
            </w:r>
          </w:p>
        </w:tc>
        <w:tc>
          <w:tcPr>
            <w:tcW w:w="16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712" w:type="dxa"/>
            <w:tcBorders/>
            <w:shd w:fill="CCEEFF" w:val="clear"/>
            <w:vAlign w:val="bottom"/>
          </w:tcPr>
          <w:p>
            <w:pPr>
              <w:pStyle w:val="TableContents"/>
              <w:spacing w:before="0" w:after="283"/>
              <w:jc w:val="right"/>
              <w:rPr/>
            </w:pPr>
            <w:r>
              <w:rPr/>
              <w:t>206</w:t>
            </w:r>
          </w:p>
        </w:tc>
        <w:tc>
          <w:tcPr>
            <w:tcW w:w="12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2,726</w:t>
            </w:r>
          </w:p>
        </w:tc>
        <w:tc>
          <w:tcPr>
            <w:tcW w:w="145"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1,099</w:t>
            </w:r>
          </w:p>
        </w:tc>
        <w:tc>
          <w:tcPr>
            <w:tcW w:w="138" w:type="dxa"/>
            <w:tcBorders/>
            <w:shd w:fill="CCEEFF" w:val="clear"/>
            <w:vAlign w:val="bottom"/>
          </w:tcPr>
          <w:p>
            <w:pPr>
              <w:pStyle w:val="TableContents"/>
              <w:spacing w:before="0" w:after="283"/>
              <w:rPr/>
            </w:pPr>
            <w:r>
              <w:rPr/>
              <w:t> </w:t>
            </w:r>
          </w:p>
        </w:tc>
      </w:tr>
      <w:tr>
        <w:trPr/>
        <w:tc>
          <w:tcPr>
            <w:tcW w:w="4145" w:type="dxa"/>
            <w:tcBorders/>
            <w:shd w:fill="auto" w:val="clear"/>
            <w:vAlign w:val="bottom"/>
          </w:tcPr>
          <w:p>
            <w:pPr>
              <w:pStyle w:val="TableContents"/>
              <w:spacing w:before="0" w:after="0"/>
              <w:ind w:left="225" w:right="0" w:hanging="225"/>
              <w:rPr/>
            </w:pPr>
            <w:r>
              <w:rPr/>
              <w:t>Income tax benefit</w:t>
            </w:r>
          </w:p>
        </w:tc>
        <w:tc>
          <w:tcPr>
            <w:tcW w:w="36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891" w:type="dxa"/>
            <w:tcBorders/>
            <w:shd w:fill="auto" w:val="clear"/>
            <w:vAlign w:val="bottom"/>
          </w:tcPr>
          <w:p>
            <w:pPr>
              <w:pStyle w:val="TableContents"/>
              <w:spacing w:before="0" w:after="283"/>
              <w:jc w:val="right"/>
              <w:rPr/>
            </w:pPr>
            <w:r>
              <w:rPr/>
              <w:t>(322</w:t>
            </w:r>
          </w:p>
        </w:tc>
        <w:tc>
          <w:tcPr>
            <w:tcW w:w="160" w:type="dxa"/>
            <w:tcBorders/>
            <w:shd w:fill="auto" w:val="clear"/>
            <w:vAlign w:val="bottom"/>
          </w:tcPr>
          <w:p>
            <w:pPr>
              <w:pStyle w:val="TableContents"/>
              <w:spacing w:before="0" w:after="283"/>
              <w:rPr/>
            </w:pPr>
            <w:r>
              <w:rPr/>
              <w:t>)</w:t>
            </w:r>
          </w:p>
        </w:tc>
        <w:tc>
          <w:tcPr>
            <w:tcW w:w="386"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712" w:type="dxa"/>
            <w:tcBorders/>
            <w:shd w:fill="auto" w:val="clear"/>
            <w:vAlign w:val="bottom"/>
          </w:tcPr>
          <w:p>
            <w:pPr>
              <w:pStyle w:val="TableContents"/>
              <w:spacing w:before="0" w:after="283"/>
              <w:jc w:val="right"/>
              <w:rPr/>
            </w:pPr>
            <w:r>
              <w:rPr/>
              <w:t>(7</w:t>
            </w:r>
          </w:p>
        </w:tc>
        <w:tc>
          <w:tcPr>
            <w:tcW w:w="129" w:type="dxa"/>
            <w:tcBorders/>
            <w:shd w:fill="auto" w:val="clear"/>
            <w:vAlign w:val="bottom"/>
          </w:tcPr>
          <w:p>
            <w:pPr>
              <w:pStyle w:val="TableContents"/>
              <w:spacing w:before="0" w:after="283"/>
              <w:rPr/>
            </w:pPr>
            <w:r>
              <w:rPr/>
              <w:t>)</w:t>
            </w:r>
          </w:p>
        </w:tc>
        <w:tc>
          <w:tcPr>
            <w:tcW w:w="367"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803" w:type="dxa"/>
            <w:tcBorders/>
            <w:shd w:fill="auto" w:val="clear"/>
            <w:vAlign w:val="bottom"/>
          </w:tcPr>
          <w:p>
            <w:pPr>
              <w:pStyle w:val="TableContents"/>
              <w:spacing w:before="0" w:after="283"/>
              <w:jc w:val="right"/>
              <w:rPr/>
            </w:pPr>
            <w:r>
              <w:rPr/>
              <w:t>(858</w:t>
            </w:r>
          </w:p>
        </w:tc>
        <w:tc>
          <w:tcPr>
            <w:tcW w:w="145" w:type="dxa"/>
            <w:tcBorders/>
            <w:shd w:fill="auto" w:val="clear"/>
            <w:vAlign w:val="bottom"/>
          </w:tcPr>
          <w:p>
            <w:pPr>
              <w:pStyle w:val="TableContents"/>
              <w:spacing w:before="0" w:after="283"/>
              <w:rPr/>
            </w:pPr>
            <w:r>
              <w:rPr/>
              <w:t>)</w:t>
            </w:r>
          </w:p>
        </w:tc>
        <w:tc>
          <w:tcPr>
            <w:tcW w:w="37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jc w:val="left"/>
              <w:rPr/>
            </w:pPr>
            <w:r>
              <w:rPr/>
              <w:t> </w:t>
            </w:r>
          </w:p>
        </w:tc>
        <w:tc>
          <w:tcPr>
            <w:tcW w:w="806" w:type="dxa"/>
            <w:tcBorders/>
            <w:shd w:fill="auto" w:val="clear"/>
            <w:vAlign w:val="bottom"/>
          </w:tcPr>
          <w:p>
            <w:pPr>
              <w:pStyle w:val="TableContents"/>
              <w:spacing w:before="0" w:after="283"/>
              <w:jc w:val="right"/>
              <w:rPr/>
            </w:pPr>
            <w:r>
              <w:rPr/>
              <w:t>(116</w:t>
            </w:r>
          </w:p>
        </w:tc>
        <w:tc>
          <w:tcPr>
            <w:tcW w:w="138" w:type="dxa"/>
            <w:tcBorders/>
            <w:shd w:fill="auto" w:val="clear"/>
            <w:vAlign w:val="bottom"/>
          </w:tcPr>
          <w:p>
            <w:pPr>
              <w:pStyle w:val="TableContents"/>
              <w:spacing w:before="0" w:after="283"/>
              <w:rPr/>
            </w:pPr>
            <w:r>
              <w:rPr/>
              <w:t>)</w:t>
            </w:r>
          </w:p>
        </w:tc>
      </w:tr>
      <w:tr>
        <w:trPr/>
        <w:tc>
          <w:tcPr>
            <w:tcW w:w="4145" w:type="dxa"/>
            <w:tcBorders/>
            <w:shd w:fill="auto" w:val="clear"/>
            <w:vAlign w:val="center"/>
          </w:tcPr>
          <w:p>
            <w:pPr>
              <w:pStyle w:val="TableContents"/>
              <w:spacing w:before="0" w:after="0"/>
              <w:ind w:left="225" w:right="0" w:hanging="225"/>
              <w:rPr/>
            </w:pPr>
            <w:r>
              <w:rPr/>
              <w:t> </w:t>
            </w:r>
          </w:p>
        </w:tc>
        <w:tc>
          <w:tcPr>
            <w:tcW w:w="367" w:type="dxa"/>
            <w:tcBorders/>
            <w:shd w:fill="auto" w:val="clear"/>
            <w:vAlign w:val="center"/>
          </w:tcPr>
          <w:p>
            <w:pPr>
              <w:pStyle w:val="TableContents"/>
              <w:spacing w:before="0" w:after="283"/>
              <w:rPr/>
            </w:pPr>
            <w:r>
              <w:rPr/>
              <w:t> </w:t>
            </w:r>
          </w:p>
        </w:tc>
        <w:tc>
          <w:tcPr>
            <w:tcW w:w="10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1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145" w:type="dxa"/>
            <w:tcBorders/>
            <w:shd w:fill="CCEEFF" w:val="clear"/>
            <w:vAlign w:val="bottom"/>
          </w:tcPr>
          <w:p>
            <w:pPr>
              <w:pStyle w:val="TableContents"/>
              <w:spacing w:before="0" w:after="0"/>
              <w:ind w:left="225" w:right="0" w:hanging="225"/>
              <w:rPr/>
            </w:pPr>
            <w:r>
              <w:rPr/>
              <w:t>Share-based compensation cost, net of tax benefit</w:t>
            </w:r>
          </w:p>
        </w:tc>
        <w:tc>
          <w:tcPr>
            <w:tcW w:w="36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891" w:type="dxa"/>
            <w:tcBorders/>
            <w:shd w:fill="CCEEFF" w:val="clear"/>
            <w:vAlign w:val="bottom"/>
          </w:tcPr>
          <w:p>
            <w:pPr>
              <w:pStyle w:val="TableContents"/>
              <w:spacing w:before="0" w:after="283"/>
              <w:jc w:val="right"/>
              <w:rPr/>
            </w:pPr>
            <w:r>
              <w:rPr/>
              <w:t>739</w:t>
            </w:r>
          </w:p>
        </w:tc>
        <w:tc>
          <w:tcPr>
            <w:tcW w:w="160" w:type="dxa"/>
            <w:tcBorders/>
            <w:shd w:fill="CCEEFF" w:val="clear"/>
            <w:vAlign w:val="bottom"/>
          </w:tcPr>
          <w:p>
            <w:pPr>
              <w:pStyle w:val="TableContents"/>
              <w:spacing w:before="0" w:after="283"/>
              <w:rPr/>
            </w:pPr>
            <w:r>
              <w:rPr/>
              <w:t> </w:t>
            </w:r>
          </w:p>
        </w:tc>
        <w:tc>
          <w:tcPr>
            <w:tcW w:w="386"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712" w:type="dxa"/>
            <w:tcBorders/>
            <w:shd w:fill="CCEEFF" w:val="clear"/>
            <w:vAlign w:val="bottom"/>
          </w:tcPr>
          <w:p>
            <w:pPr>
              <w:pStyle w:val="TableContents"/>
              <w:spacing w:before="0" w:after="283"/>
              <w:jc w:val="right"/>
              <w:rPr/>
            </w:pPr>
            <w:r>
              <w:rPr/>
              <w:t>199</w:t>
            </w:r>
          </w:p>
        </w:tc>
        <w:tc>
          <w:tcPr>
            <w:tcW w:w="129" w:type="dxa"/>
            <w:tcBorders/>
            <w:shd w:fill="CCEEFF" w:val="clear"/>
            <w:vAlign w:val="bottom"/>
          </w:tcPr>
          <w:p>
            <w:pPr>
              <w:pStyle w:val="TableContents"/>
              <w:spacing w:before="0" w:after="283"/>
              <w:rPr/>
            </w:pPr>
            <w:r>
              <w:rPr/>
              <w:t> </w:t>
            </w:r>
          </w:p>
        </w:tc>
        <w:tc>
          <w:tcPr>
            <w:tcW w:w="367"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3" w:type="dxa"/>
            <w:tcBorders/>
            <w:shd w:fill="CCEEFF" w:val="clear"/>
            <w:vAlign w:val="bottom"/>
          </w:tcPr>
          <w:p>
            <w:pPr>
              <w:pStyle w:val="TableContents"/>
              <w:spacing w:before="0" w:after="283"/>
              <w:jc w:val="right"/>
              <w:rPr/>
            </w:pPr>
            <w:r>
              <w:rPr/>
              <w:t>1,868</w:t>
            </w:r>
          </w:p>
        </w:tc>
        <w:tc>
          <w:tcPr>
            <w:tcW w:w="145" w:type="dxa"/>
            <w:tcBorders/>
            <w:shd w:fill="CCEEFF" w:val="clear"/>
            <w:vAlign w:val="bottom"/>
          </w:tcPr>
          <w:p>
            <w:pPr>
              <w:pStyle w:val="TableContents"/>
              <w:spacing w:before="0" w:after="283"/>
              <w:rPr/>
            </w:pPr>
            <w:r>
              <w:rPr/>
              <w:t> </w:t>
            </w:r>
          </w:p>
        </w:tc>
        <w:tc>
          <w:tcPr>
            <w:tcW w:w="37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w:t>
            </w:r>
          </w:p>
        </w:tc>
        <w:tc>
          <w:tcPr>
            <w:tcW w:w="806" w:type="dxa"/>
            <w:tcBorders/>
            <w:shd w:fill="CCEEFF" w:val="clear"/>
            <w:vAlign w:val="bottom"/>
          </w:tcPr>
          <w:p>
            <w:pPr>
              <w:pStyle w:val="TableContents"/>
              <w:spacing w:before="0" w:after="283"/>
              <w:jc w:val="right"/>
              <w:rPr/>
            </w:pPr>
            <w:r>
              <w:rPr/>
              <w:t>983</w:t>
            </w:r>
          </w:p>
        </w:tc>
        <w:tc>
          <w:tcPr>
            <w:tcW w:w="138" w:type="dxa"/>
            <w:tcBorders/>
            <w:shd w:fill="CCEEFF" w:val="clear"/>
            <w:vAlign w:val="bottom"/>
          </w:tcPr>
          <w:p>
            <w:pPr>
              <w:pStyle w:val="TableContents"/>
              <w:spacing w:before="0" w:after="283"/>
              <w:rPr/>
            </w:pPr>
            <w:r>
              <w:rPr/>
              <w:t> </w:t>
            </w:r>
          </w:p>
        </w:tc>
      </w:tr>
      <w:tr>
        <w:trPr/>
        <w:tc>
          <w:tcPr>
            <w:tcW w:w="4145" w:type="dxa"/>
            <w:tcBorders/>
            <w:shd w:fill="auto" w:val="clear"/>
            <w:vAlign w:val="center"/>
          </w:tcPr>
          <w:p>
            <w:pPr>
              <w:pStyle w:val="TableContents"/>
              <w:spacing w:before="0" w:after="0"/>
              <w:ind w:left="225" w:right="0" w:hanging="225"/>
              <w:rPr/>
            </w:pPr>
            <w:r>
              <w:rPr/>
              <w:t> </w:t>
            </w:r>
          </w:p>
        </w:tc>
        <w:tc>
          <w:tcPr>
            <w:tcW w:w="367" w:type="dxa"/>
            <w:tcBorders/>
            <w:shd w:fill="auto" w:val="clear"/>
            <w:vAlign w:val="center"/>
          </w:tcPr>
          <w:p>
            <w:pPr>
              <w:pStyle w:val="TableContents"/>
              <w:spacing w:before="0" w:after="283"/>
              <w:rPr/>
            </w:pPr>
            <w:r>
              <w:rPr/>
              <w:t> </w:t>
            </w:r>
          </w:p>
        </w:tc>
        <w:tc>
          <w:tcPr>
            <w:tcW w:w="10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60" w:type="dxa"/>
            <w:tcBorders/>
            <w:shd w:fill="auto" w:val="clear"/>
            <w:vAlign w:val="center"/>
          </w:tcPr>
          <w:p>
            <w:pPr>
              <w:pStyle w:val="TableContents"/>
              <w:spacing w:before="0" w:after="283"/>
              <w:rPr/>
            </w:pPr>
            <w:r>
              <w:rPr/>
              <w:t> </w:t>
            </w:r>
          </w:p>
        </w:tc>
        <w:tc>
          <w:tcPr>
            <w:tcW w:w="386" w:type="dxa"/>
            <w:tcBorders/>
            <w:shd w:fill="auto" w:val="clear"/>
            <w:vAlign w:val="center"/>
          </w:tcPr>
          <w:p>
            <w:pPr>
              <w:pStyle w:val="TableContents"/>
              <w:spacing w:before="0" w:after="283"/>
              <w:rPr/>
            </w:pPr>
            <w:r>
              <w:rPr/>
              <w:t> </w:t>
            </w:r>
          </w:p>
        </w:tc>
        <w:tc>
          <w:tcPr>
            <w:tcW w:w="91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9" w:type="dxa"/>
            <w:tcBorders/>
            <w:shd w:fill="auto" w:val="clear"/>
            <w:vAlign w:val="center"/>
          </w:tcPr>
          <w:p>
            <w:pPr>
              <w:pStyle w:val="TableContents"/>
              <w:spacing w:before="0" w:after="283"/>
              <w:rPr/>
            </w:pPr>
            <w:r>
              <w:rPr/>
              <w:t> </w:t>
            </w:r>
          </w:p>
        </w:tc>
        <w:tc>
          <w:tcPr>
            <w:tcW w:w="367" w:type="dxa"/>
            <w:tcBorders/>
            <w:shd w:fill="auto" w:val="clear"/>
            <w:vAlign w:val="center"/>
          </w:tcPr>
          <w:p>
            <w:pPr>
              <w:pStyle w:val="TableContents"/>
              <w:spacing w:before="0" w:after="283"/>
              <w:rPr/>
            </w:pPr>
            <w:r>
              <w:rPr/>
              <w:t> </w:t>
            </w:r>
          </w:p>
        </w:tc>
        <w:tc>
          <w:tcPr>
            <w:tcW w:w="9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5" w:type="dxa"/>
            <w:tcBorders/>
            <w:shd w:fill="auto" w:val="clear"/>
            <w:vAlign w:val="center"/>
          </w:tcPr>
          <w:p>
            <w:pPr>
              <w:pStyle w:val="TableContents"/>
              <w:spacing w:before="0" w:after="283"/>
              <w:rPr/>
            </w:pPr>
            <w:r>
              <w:rPr/>
              <w:t> </w:t>
            </w:r>
          </w:p>
        </w:tc>
        <w:tc>
          <w:tcPr>
            <w:tcW w:w="376" w:type="dxa"/>
            <w:tcBorders/>
            <w:shd w:fill="auto" w:val="clear"/>
            <w:vAlign w:val="center"/>
          </w:tcPr>
          <w:p>
            <w:pPr>
              <w:pStyle w:val="TableContents"/>
              <w:spacing w:before="0" w:after="283"/>
              <w:rPr/>
            </w:pPr>
            <w:r>
              <w:rPr/>
              <w:t> </w:t>
            </w:r>
          </w:p>
        </w:tc>
        <w:tc>
          <w:tcPr>
            <w:tcW w:w="9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Stock option and warrant exercises resulted in the issuance of 49,846 shares of Class A Non-voting Common Stock in the current quarter for total proceeds of $0.2 million. For the current year-to-date period, 812,347 shares of Common Stock were issued for total proceeds of $1.5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2006, the Compensation Committee of our Board of Directors approved an award of 675,000 shares of restricted stock to our Chairman of the Board, and 945,000 shares of restricted stock to our Chief Executive Officer. The award was effective October 2, 2006. The cumulative market value of the two grants on the award date was $21 million, and 20% of the shares will vest every two years for a ten-year period if certain company performance requirements are achieved. If the bi-annual performance requirements are not met, the unvested shares will be added to subsequent vesting dates. In the event that the performance requirements for vesting are not achieved for any vesting date by the end of our fiscal year ending September 30, 2016, all unvested shares will be forfeited and cancelled.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September 2006, the Compensation Committee of our Board of Directors approved an award of 137,250 shares of restricted stock to key individuals. The award was effective October 2, 2006. The shares will vest October 2, 2010, and the market value of the restricted stock on the award date was $1.8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November 2006, our Board of Directors approved a three-for-one stock split of our two classes of common stock to shareholders of record as of November 27, 2006. The additional shares were distributed on December 11, 2006. Shares and amounts per share in this report have been adjusted retroactively to reflect the split.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June 1, 2007, the Compensation Committee of our Board of Directors granted to a new independent board member a non-qualified option to acquire 1,666 shares of our Class A Non-voting Common Stock. The option vests in one year and has an exercise price of $15.05 per share. </w:t>
      </w:r>
    </w:p>
    <w:p>
      <w:pPr>
        <w:pStyle w:val="TextBody"/>
        <w:jc w:val="center"/>
        <w:rPr>
          <w:rFonts w:ascii="Times New Roman;Times;serif" w:hAnsi="Times New Roman;Times;serif"/>
          <w:sz w:val="17"/>
        </w:rPr>
      </w:pPr>
      <w:r>
        <w:rPr>
          <w:rFonts w:ascii="Times New Roman;Times;serif" w:hAnsi="Times New Roman;Times;serif"/>
          <w:sz w:val="17"/>
        </w:rPr>
        <w:t xml:space="preserve">10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K: Operating Segment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Prior to October 1, 2006, we had a single reportable segment. Effective October 1, 2006, we reorganized our business and internal reporting to manage it as two reportable segments with operating results reported separately for each segment. The two reportable segments are: </w:t>
      </w:r>
    </w:p>
    <w:tbl>
      <w:tblPr>
        <w:tblW w:w="5000" w:type="pct"/>
        <w:jc w:val="left"/>
        <w:tblInd w:w="0" w:type="dxa"/>
        <w:tblCellMar>
          <w:top w:w="0" w:type="dxa"/>
          <w:left w:w="0" w:type="dxa"/>
          <w:bottom w:w="0" w:type="dxa"/>
          <w:right w:w="0" w:type="dxa"/>
        </w:tblCellMar>
      </w:tblPr>
      <w:tblGrid>
        <w:gridCol w:w="202"/>
        <w:gridCol w:w="305"/>
        <w:gridCol w:w="101"/>
        <w:gridCol w:w="9597"/>
      </w:tblGrid>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EZPAWN Operations: This segment offers pawn loans and related sales in all 298 of our pawn stores and offers signature loans in seven EZMONEY stores and 80 of our pawn stores.</w:t>
            </w:r>
          </w:p>
        </w:tc>
      </w:tr>
      <w:tr>
        <w:trPr/>
        <w:tc>
          <w:tcPr>
            <w:tcW w:w="202" w:type="dxa"/>
            <w:tcBorders/>
            <w:shd w:fill="auto" w:val="clear"/>
            <w:vAlign w:val="center"/>
          </w:tcPr>
          <w:p>
            <w:pPr>
              <w:pStyle w:val="TableContents"/>
              <w:spacing w:before="0" w:after="283"/>
              <w:rPr/>
            </w:pPr>
            <w:r>
              <w:rPr/>
              <w:t> </w:t>
            </w:r>
          </w:p>
        </w:tc>
        <w:tc>
          <w:tcPr>
            <w:tcW w:w="10003" w:type="dxa"/>
            <w:gridSpan w:val="3"/>
            <w:tcBorders/>
            <w:shd w:fill="auto" w:val="clear"/>
          </w:tcPr>
          <w:p>
            <w:pPr>
              <w:pStyle w:val="TableContents"/>
              <w:spacing w:before="0" w:after="283"/>
              <w:rPr>
                <w:sz w:val="4"/>
                <w:szCs w:val="4"/>
              </w:rPr>
            </w:pPr>
            <w:r>
              <w:rPr>
                <w:sz w:val="4"/>
                <w:szCs w:val="4"/>
              </w:rPr>
            </w:r>
          </w:p>
        </w:tc>
      </w:tr>
      <w:tr>
        <w:trPr/>
        <w:tc>
          <w:tcPr>
            <w:tcW w:w="20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b/>
              </w:rPr>
            </w:pPr>
            <w:r>
              <w:rPr>
                <w:b/>
              </w:rPr>
              <w:t></w:t>
            </w:r>
          </w:p>
        </w:tc>
        <w:tc>
          <w:tcPr>
            <w:tcW w:w="101" w:type="dxa"/>
            <w:tcBorders/>
            <w:shd w:fill="auto" w:val="clear"/>
          </w:tcPr>
          <w:p>
            <w:pPr>
              <w:pStyle w:val="TableContents"/>
              <w:spacing w:before="0" w:after="283"/>
              <w:rPr/>
            </w:pPr>
            <w:r>
              <w:rPr/>
              <w:t> </w:t>
            </w:r>
          </w:p>
        </w:tc>
        <w:tc>
          <w:tcPr>
            <w:tcW w:w="9597" w:type="dxa"/>
            <w:tcBorders/>
            <w:shd w:fill="auto" w:val="clear"/>
          </w:tcPr>
          <w:p>
            <w:pPr>
              <w:pStyle w:val="TableContents"/>
              <w:spacing w:before="0" w:after="283"/>
              <w:rPr/>
            </w:pPr>
            <w:r>
              <w:rPr/>
              <w:t>EZMONEY Operations: This segment offers signature loans in 383 of our EZMONEY stores.</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are no inter-segment revenues, and the amounts below were determined in accordance with the same accounting principles used in our consolidated financial statements. The following tables present operating segment information: </w:t>
      </w:r>
    </w:p>
    <w:tbl>
      <w:tblPr>
        <w:tblW w:w="5000" w:type="pct"/>
        <w:jc w:val="center"/>
        <w:tblInd w:w="0" w:type="dxa"/>
        <w:tblCellMar>
          <w:top w:w="0" w:type="dxa"/>
          <w:left w:w="0" w:type="dxa"/>
          <w:bottom w:w="0" w:type="dxa"/>
          <w:right w:w="0" w:type="dxa"/>
        </w:tblCellMar>
      </w:tblPr>
      <w:tblGrid>
        <w:gridCol w:w="5050"/>
        <w:gridCol w:w="391"/>
        <w:gridCol w:w="190"/>
        <w:gridCol w:w="940"/>
        <w:gridCol w:w="110"/>
        <w:gridCol w:w="391"/>
        <w:gridCol w:w="210"/>
        <w:gridCol w:w="1032"/>
        <w:gridCol w:w="110"/>
        <w:gridCol w:w="391"/>
        <w:gridCol w:w="214"/>
        <w:gridCol w:w="1058"/>
        <w:gridCol w:w="118"/>
      </w:tblGrid>
      <w:tr>
        <w:trPr/>
        <w:tc>
          <w:tcPr>
            <w:tcW w:w="50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130" w:type="dxa"/>
            <w:gridSpan w:val="2"/>
            <w:tcBorders/>
            <w:shd w:fill="auto" w:val="clear"/>
            <w:vAlign w:val="bottom"/>
          </w:tcPr>
          <w:p>
            <w:pPr>
              <w:pStyle w:val="TableContents"/>
              <w:spacing w:before="0" w:after="283"/>
              <w:jc w:val="right"/>
              <w:rPr/>
            </w:pPr>
            <w:r>
              <w:rPr/>
              <w:t>EZPAWN</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42" w:type="dxa"/>
            <w:gridSpan w:val="2"/>
            <w:tcBorders/>
            <w:shd w:fill="auto" w:val="clear"/>
            <w:vAlign w:val="bottom"/>
          </w:tcPr>
          <w:p>
            <w:pPr>
              <w:pStyle w:val="TableContents"/>
              <w:spacing w:before="0" w:after="283"/>
              <w:jc w:val="right"/>
              <w:rPr/>
            </w:pPr>
            <w:r>
              <w:rPr/>
              <w:t>EZMONEY</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2" w:type="dxa"/>
            <w:gridSpan w:val="2"/>
            <w:tcBorders/>
            <w:shd w:fill="auto" w:val="clear"/>
            <w:vAlign w:val="bottom"/>
          </w:tcPr>
          <w:p>
            <w:pPr>
              <w:pStyle w:val="TableContents"/>
              <w:spacing w:before="0" w:after="283"/>
              <w:jc w:val="right"/>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130"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42"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1272"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4646" w:type="dxa"/>
            <w:gridSpan w:val="10"/>
            <w:tcBorders/>
            <w:shd w:fill="auto" w:val="clear"/>
            <w:vAlign w:val="bottom"/>
          </w:tcPr>
          <w:p>
            <w:pPr>
              <w:pStyle w:val="TableContents"/>
              <w:spacing w:before="0" w:after="283"/>
              <w:jc w:val="center"/>
              <w:rPr>
                <w:i/>
              </w:rPr>
            </w:pPr>
            <w:r>
              <w:rPr>
                <w:i/>
              </w:rPr>
              <w:t>(in thousands)</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225" w:right="0" w:hanging="225"/>
              <w:rPr>
                <w:b/>
              </w:rPr>
            </w:pPr>
            <w:r>
              <w:rPr>
                <w:b/>
              </w:rPr>
              <w:t>Three Months Ended June 30, 2007:</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Revenues:</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450" w:right="0" w:hanging="225"/>
              <w:rPr/>
            </w:pPr>
            <w:r>
              <w:rPr/>
              <w:t>Sales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40" w:type="dxa"/>
            <w:tcBorders/>
            <w:shd w:fill="CCEEFF" w:val="clear"/>
            <w:vAlign w:val="bottom"/>
          </w:tcPr>
          <w:p>
            <w:pPr>
              <w:pStyle w:val="TableContents"/>
              <w:spacing w:before="0" w:after="283"/>
              <w:jc w:val="right"/>
              <w:rPr/>
            </w:pPr>
            <w:r>
              <w:rPr/>
              <w:t>42,676</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42,676</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450" w:right="0" w:hanging="225"/>
              <w:rPr/>
            </w:pPr>
            <w:r>
              <w:rPr/>
              <w:t>Pawn service charges</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16,978</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16,978</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450" w:right="0" w:hanging="225"/>
              <w:rPr/>
            </w:pPr>
            <w:r>
              <w:rPr/>
              <w:t>Signature loan fees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808</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26,216</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27,024</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450" w:right="0" w:hanging="225"/>
              <w:rPr/>
            </w:pPr>
            <w:r>
              <w:rPr/>
              <w:t>Other</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315</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315</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675" w:right="0" w:hanging="225"/>
              <w:rPr/>
            </w:pPr>
            <w:r>
              <w:rPr/>
              <w:t>Total revenues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60,777</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26,216</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86,993</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Cost of goods sold</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25,421</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25,421</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675" w:right="0" w:hanging="225"/>
              <w:rPr/>
            </w:pPr>
            <w:r>
              <w:rPr/>
              <w:t>Net revenues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35,356</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26,216</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61,572</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Store operating expenses:</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450" w:right="0" w:hanging="225"/>
              <w:rPr/>
            </w:pPr>
            <w:r>
              <w:rPr/>
              <w:t>Operations expense</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21,613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9,982</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31,595</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450" w:right="0" w:hanging="225"/>
              <w:rPr/>
            </w:pPr>
            <w:r>
              <w:rPr/>
              <w:t>Signature loan bad debt</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570</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9,572</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10,142</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675" w:right="0" w:hanging="225"/>
              <w:rPr/>
            </w:pPr>
            <w:r>
              <w:rPr/>
              <w:t>Total store operating expenses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22,183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19,554</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41,737</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auto" w:val="clear"/>
            <w:vAlign w:val="bottom"/>
          </w:tcPr>
          <w:p>
            <w:pPr>
              <w:pStyle w:val="TableContents"/>
              <w:spacing w:before="0" w:after="0"/>
              <w:ind w:left="675" w:right="0" w:hanging="225"/>
              <w:rPr/>
            </w:pPr>
            <w:r>
              <w:rPr/>
              <w:t>Store operating income</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40" w:type="dxa"/>
            <w:tcBorders/>
            <w:shd w:fill="auto" w:val="clear"/>
            <w:vAlign w:val="bottom"/>
          </w:tcPr>
          <w:p>
            <w:pPr>
              <w:pStyle w:val="TableContents"/>
              <w:spacing w:before="0" w:after="283"/>
              <w:jc w:val="right"/>
              <w:rPr/>
            </w:pPr>
            <w:r>
              <w:rPr/>
              <w:t>13,173</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6,662</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19,835</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225" w:right="0" w:hanging="225"/>
              <w:rPr>
                <w:b/>
              </w:rPr>
            </w:pPr>
            <w:r>
              <w:rPr>
                <w:b/>
              </w:rPr>
              <w:t>Three Months Ended June 30, 2006:</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rPr/>
            </w:pPr>
            <w:r>
              <w:rPr/>
              <w:t> </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Revenues:</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450" w:right="0" w:hanging="225"/>
              <w:rPr/>
            </w:pPr>
            <w:r>
              <w:rPr/>
              <w:t>Sales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jc w:val="left"/>
              <w:rPr/>
            </w:pPr>
            <w:r>
              <w:rPr/>
              <w:t>$</w:t>
            </w:r>
          </w:p>
        </w:tc>
        <w:tc>
          <w:tcPr>
            <w:tcW w:w="940" w:type="dxa"/>
            <w:tcBorders/>
            <w:shd w:fill="CCEEFF" w:val="clear"/>
            <w:vAlign w:val="bottom"/>
          </w:tcPr>
          <w:p>
            <w:pPr>
              <w:pStyle w:val="TableContents"/>
              <w:spacing w:before="0" w:after="283"/>
              <w:jc w:val="right"/>
              <w:rPr/>
            </w:pPr>
            <w:r>
              <w:rPr/>
              <w:t>40,640</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jc w:val="left"/>
              <w:rPr/>
            </w:pPr>
            <w:r>
              <w:rPr/>
              <w:t>$</w:t>
            </w:r>
          </w:p>
        </w:tc>
        <w:tc>
          <w:tcPr>
            <w:tcW w:w="1032"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jc w:val="left"/>
              <w:rPr/>
            </w:pPr>
            <w:r>
              <w:rPr/>
              <w:t>$</w:t>
            </w:r>
          </w:p>
        </w:tc>
        <w:tc>
          <w:tcPr>
            <w:tcW w:w="1058" w:type="dxa"/>
            <w:tcBorders/>
            <w:shd w:fill="CCEEFF" w:val="clear"/>
            <w:vAlign w:val="bottom"/>
          </w:tcPr>
          <w:p>
            <w:pPr>
              <w:pStyle w:val="TableContents"/>
              <w:spacing w:before="0" w:after="283"/>
              <w:jc w:val="right"/>
              <w:rPr/>
            </w:pPr>
            <w:r>
              <w:rPr/>
              <w:t>40,640</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450" w:right="0" w:hanging="225"/>
              <w:rPr/>
            </w:pPr>
            <w:r>
              <w:rPr/>
              <w:t>Pawn service charges</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15,021</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15,021</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450" w:right="0" w:hanging="225"/>
              <w:rPr/>
            </w:pPr>
            <w:r>
              <w:rPr/>
              <w:t>Signature loan fees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838</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16,983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17,821</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450" w:right="0" w:hanging="225"/>
              <w:rPr/>
            </w:pPr>
            <w:r>
              <w:rPr/>
              <w:t>Other</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304</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304</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675" w:right="0" w:hanging="225"/>
              <w:rPr/>
            </w:pPr>
            <w:r>
              <w:rPr/>
              <w:t>Total revenues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56,803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16,983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73,786</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Cost of goods sold</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23,698</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23,698</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675" w:right="0" w:hanging="225"/>
              <w:rPr/>
            </w:pPr>
            <w:r>
              <w:rPr/>
              <w:t>Net revenues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33,105</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16,983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50,088</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 </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225" w:right="0" w:hanging="225"/>
              <w:rPr/>
            </w:pPr>
            <w:r>
              <w:rPr/>
              <w:t>Store operating expenses:</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450" w:right="0" w:hanging="225"/>
              <w:rPr/>
            </w:pPr>
            <w:r>
              <w:rPr/>
              <w:t>Operations expense</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20,747</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6,797</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27,544</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bottom"/>
          </w:tcPr>
          <w:p>
            <w:pPr>
              <w:pStyle w:val="TableContents"/>
              <w:spacing w:before="0" w:after="0"/>
              <w:ind w:left="450" w:right="0" w:hanging="225"/>
              <w:rPr/>
            </w:pPr>
            <w:r>
              <w:rPr/>
              <w:t>Signature loan bad debt</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c>
          <w:tcPr>
            <w:tcW w:w="940" w:type="dxa"/>
            <w:tcBorders/>
            <w:shd w:fill="auto" w:val="clear"/>
            <w:vAlign w:val="bottom"/>
          </w:tcPr>
          <w:p>
            <w:pPr>
              <w:pStyle w:val="TableContents"/>
              <w:spacing w:before="0" w:after="283"/>
              <w:jc w:val="right"/>
              <w:rPr/>
            </w:pPr>
            <w:r>
              <w:rPr/>
              <w:t>406</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rPr/>
            </w:pPr>
            <w:r>
              <w:rPr/>
              <w:t> </w:t>
            </w:r>
          </w:p>
        </w:tc>
        <w:tc>
          <w:tcPr>
            <w:tcW w:w="1032" w:type="dxa"/>
            <w:tcBorders/>
            <w:shd w:fill="auto" w:val="clear"/>
            <w:vAlign w:val="bottom"/>
          </w:tcPr>
          <w:p>
            <w:pPr>
              <w:pStyle w:val="TableContents"/>
              <w:spacing w:before="0" w:after="283"/>
              <w:jc w:val="right"/>
              <w:rPr/>
            </w:pPr>
            <w:r>
              <w:rPr/>
              <w:t>5,125</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rPr/>
            </w:pPr>
            <w:r>
              <w:rPr/>
              <w:t> </w:t>
            </w:r>
          </w:p>
        </w:tc>
        <w:tc>
          <w:tcPr>
            <w:tcW w:w="1058" w:type="dxa"/>
            <w:tcBorders/>
            <w:shd w:fill="auto" w:val="clear"/>
            <w:vAlign w:val="bottom"/>
          </w:tcPr>
          <w:p>
            <w:pPr>
              <w:pStyle w:val="TableContents"/>
              <w:spacing w:before="0" w:after="283"/>
              <w:jc w:val="right"/>
              <w:rPr/>
            </w:pPr>
            <w:r>
              <w:rPr/>
              <w:t>5,531</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CCEEFF" w:val="clear"/>
            <w:vAlign w:val="bottom"/>
          </w:tcPr>
          <w:p>
            <w:pPr>
              <w:pStyle w:val="TableContents"/>
              <w:spacing w:before="0" w:after="0"/>
              <w:ind w:left="675" w:right="0" w:hanging="225"/>
              <w:rPr/>
            </w:pPr>
            <w:r>
              <w:rPr/>
              <w:t>Total store operating expenses</w:t>
            </w:r>
          </w:p>
        </w:tc>
        <w:tc>
          <w:tcPr>
            <w:tcW w:w="391" w:type="dxa"/>
            <w:tcBorders/>
            <w:shd w:fill="CCEEFF" w:val="clear"/>
            <w:vAlign w:val="bottom"/>
          </w:tcPr>
          <w:p>
            <w:pPr>
              <w:pStyle w:val="TableContents"/>
              <w:spacing w:before="0" w:after="283"/>
              <w:rPr/>
            </w:pPr>
            <w:r>
              <w:rPr/>
              <w:t> </w:t>
            </w:r>
          </w:p>
        </w:tc>
        <w:tc>
          <w:tcPr>
            <w:tcW w:w="190" w:type="dxa"/>
            <w:tcBorders/>
            <w:shd w:fill="CCEEFF" w:val="clear"/>
            <w:vAlign w:val="bottom"/>
          </w:tcPr>
          <w:p>
            <w:pPr>
              <w:pStyle w:val="TableContents"/>
              <w:spacing w:before="0" w:after="283"/>
              <w:rPr/>
            </w:pPr>
            <w:r>
              <w:rPr/>
              <w:t> </w:t>
            </w:r>
          </w:p>
        </w:tc>
        <w:tc>
          <w:tcPr>
            <w:tcW w:w="940" w:type="dxa"/>
            <w:tcBorders/>
            <w:shd w:fill="CCEEFF" w:val="clear"/>
            <w:vAlign w:val="bottom"/>
          </w:tcPr>
          <w:p>
            <w:pPr>
              <w:pStyle w:val="TableContents"/>
              <w:spacing w:before="0" w:after="283"/>
              <w:jc w:val="right"/>
              <w:rPr/>
            </w:pPr>
            <w:r>
              <w:rPr/>
              <w:t>21,153</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0" w:type="dxa"/>
            <w:tcBorders/>
            <w:shd w:fill="CCEEFF" w:val="clear"/>
            <w:vAlign w:val="bottom"/>
          </w:tcPr>
          <w:p>
            <w:pPr>
              <w:pStyle w:val="TableContents"/>
              <w:spacing w:before="0" w:after="283"/>
              <w:rPr/>
            </w:pPr>
            <w:r>
              <w:rPr/>
              <w:t> </w:t>
            </w:r>
          </w:p>
        </w:tc>
        <w:tc>
          <w:tcPr>
            <w:tcW w:w="1032" w:type="dxa"/>
            <w:tcBorders/>
            <w:shd w:fill="CCEEFF" w:val="clear"/>
            <w:vAlign w:val="bottom"/>
          </w:tcPr>
          <w:p>
            <w:pPr>
              <w:pStyle w:val="TableContents"/>
              <w:spacing w:before="0" w:after="283"/>
              <w:jc w:val="right"/>
              <w:rPr/>
            </w:pPr>
            <w:r>
              <w:rPr/>
              <w:t>11,922</w:t>
            </w:r>
          </w:p>
        </w:tc>
        <w:tc>
          <w:tcPr>
            <w:tcW w:w="110" w:type="dxa"/>
            <w:tcBorders/>
            <w:shd w:fill="CCEEFF" w:val="clear"/>
            <w:vAlign w:val="bottom"/>
          </w:tcPr>
          <w:p>
            <w:pPr>
              <w:pStyle w:val="TableContents"/>
              <w:spacing w:before="0" w:after="283"/>
              <w:rPr/>
            </w:pPr>
            <w:r>
              <w:rPr/>
              <w:t> </w:t>
            </w:r>
          </w:p>
        </w:tc>
        <w:tc>
          <w:tcPr>
            <w:tcW w:w="391" w:type="dxa"/>
            <w:tcBorders/>
            <w:shd w:fill="CCEEFF" w:val="clear"/>
            <w:vAlign w:val="bottom"/>
          </w:tcPr>
          <w:p>
            <w:pPr>
              <w:pStyle w:val="TableContents"/>
              <w:spacing w:before="0" w:after="283"/>
              <w:rPr/>
            </w:pPr>
            <w:r>
              <w:rPr/>
              <w:t> </w:t>
            </w:r>
          </w:p>
        </w:tc>
        <w:tc>
          <w:tcPr>
            <w:tcW w:w="214" w:type="dxa"/>
            <w:tcBorders/>
            <w:shd w:fill="CCEEFF" w:val="clear"/>
            <w:vAlign w:val="bottom"/>
          </w:tcPr>
          <w:p>
            <w:pPr>
              <w:pStyle w:val="TableContents"/>
              <w:spacing w:before="0" w:after="283"/>
              <w:rPr/>
            </w:pPr>
            <w:r>
              <w:rPr/>
              <w:t> </w:t>
            </w:r>
          </w:p>
        </w:tc>
        <w:tc>
          <w:tcPr>
            <w:tcW w:w="1058" w:type="dxa"/>
            <w:tcBorders/>
            <w:shd w:fill="CCEEFF" w:val="clear"/>
            <w:vAlign w:val="bottom"/>
          </w:tcPr>
          <w:p>
            <w:pPr>
              <w:pStyle w:val="TableContents"/>
              <w:spacing w:before="0" w:after="283"/>
              <w:jc w:val="right"/>
              <w:rPr/>
            </w:pPr>
            <w:r>
              <w:rPr/>
              <w:t>33,075</w:t>
            </w:r>
          </w:p>
        </w:tc>
        <w:tc>
          <w:tcPr>
            <w:tcW w:w="118" w:type="dxa"/>
            <w:tcBorders/>
            <w:shd w:fill="CCEEFF"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r>
        <w:trPr/>
        <w:tc>
          <w:tcPr>
            <w:tcW w:w="5050" w:type="dxa"/>
            <w:tcBorders/>
            <w:shd w:fill="auto" w:val="clear"/>
            <w:vAlign w:val="bottom"/>
          </w:tcPr>
          <w:p>
            <w:pPr>
              <w:pStyle w:val="TableContents"/>
              <w:spacing w:before="0" w:after="0"/>
              <w:ind w:left="675" w:right="0" w:hanging="225"/>
              <w:rPr/>
            </w:pPr>
            <w:r>
              <w:rPr/>
              <w:t>Store operating income</w:t>
            </w:r>
          </w:p>
        </w:tc>
        <w:tc>
          <w:tcPr>
            <w:tcW w:w="391"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jc w:val="left"/>
              <w:rPr/>
            </w:pPr>
            <w:r>
              <w:rPr/>
              <w:t>$</w:t>
            </w:r>
          </w:p>
        </w:tc>
        <w:tc>
          <w:tcPr>
            <w:tcW w:w="940" w:type="dxa"/>
            <w:tcBorders/>
            <w:shd w:fill="auto" w:val="clear"/>
            <w:vAlign w:val="bottom"/>
          </w:tcPr>
          <w:p>
            <w:pPr>
              <w:pStyle w:val="TableContents"/>
              <w:spacing w:before="0" w:after="283"/>
              <w:jc w:val="right"/>
              <w:rPr/>
            </w:pPr>
            <w:r>
              <w:rPr/>
              <w:t>11,952</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0" w:type="dxa"/>
            <w:tcBorders/>
            <w:shd w:fill="auto" w:val="clear"/>
            <w:vAlign w:val="bottom"/>
          </w:tcPr>
          <w:p>
            <w:pPr>
              <w:pStyle w:val="TableContents"/>
              <w:spacing w:before="0" w:after="283"/>
              <w:jc w:val="left"/>
              <w:rPr/>
            </w:pPr>
            <w:r>
              <w:rPr/>
              <w:t>$</w:t>
            </w:r>
          </w:p>
        </w:tc>
        <w:tc>
          <w:tcPr>
            <w:tcW w:w="1032" w:type="dxa"/>
            <w:tcBorders/>
            <w:shd w:fill="auto" w:val="clear"/>
            <w:vAlign w:val="bottom"/>
          </w:tcPr>
          <w:p>
            <w:pPr>
              <w:pStyle w:val="TableContents"/>
              <w:spacing w:before="0" w:after="283"/>
              <w:jc w:val="right"/>
              <w:rPr/>
            </w:pPr>
            <w:r>
              <w:rPr/>
              <w:t>5,061</w:t>
            </w:r>
          </w:p>
        </w:tc>
        <w:tc>
          <w:tcPr>
            <w:tcW w:w="110" w:type="dxa"/>
            <w:tcBorders/>
            <w:shd w:fill="auto" w:val="clear"/>
            <w:vAlign w:val="bottom"/>
          </w:tcPr>
          <w:p>
            <w:pPr>
              <w:pStyle w:val="TableContents"/>
              <w:spacing w:before="0" w:after="283"/>
              <w:rPr/>
            </w:pPr>
            <w:r>
              <w:rPr/>
              <w:t> </w:t>
            </w:r>
          </w:p>
        </w:tc>
        <w:tc>
          <w:tcPr>
            <w:tcW w:w="391" w:type="dxa"/>
            <w:tcBorders/>
            <w:shd w:fill="auto" w:val="clear"/>
            <w:vAlign w:val="bottom"/>
          </w:tcPr>
          <w:p>
            <w:pPr>
              <w:pStyle w:val="TableContents"/>
              <w:spacing w:before="0" w:after="283"/>
              <w:rPr/>
            </w:pPr>
            <w:r>
              <w:rPr/>
              <w:t> </w:t>
            </w:r>
          </w:p>
        </w:tc>
        <w:tc>
          <w:tcPr>
            <w:tcW w:w="214" w:type="dxa"/>
            <w:tcBorders/>
            <w:shd w:fill="auto" w:val="clear"/>
            <w:vAlign w:val="bottom"/>
          </w:tcPr>
          <w:p>
            <w:pPr>
              <w:pStyle w:val="TableContents"/>
              <w:spacing w:before="0" w:after="283"/>
              <w:jc w:val="left"/>
              <w:rPr/>
            </w:pPr>
            <w:r>
              <w:rPr/>
              <w:t>$</w:t>
            </w:r>
          </w:p>
        </w:tc>
        <w:tc>
          <w:tcPr>
            <w:tcW w:w="1058" w:type="dxa"/>
            <w:tcBorders/>
            <w:shd w:fill="auto" w:val="clear"/>
            <w:vAlign w:val="bottom"/>
          </w:tcPr>
          <w:p>
            <w:pPr>
              <w:pStyle w:val="TableContents"/>
              <w:spacing w:before="0" w:after="283"/>
              <w:jc w:val="right"/>
              <w:rPr/>
            </w:pPr>
            <w:r>
              <w:rPr/>
              <w:t>17,013</w:t>
            </w:r>
          </w:p>
        </w:tc>
        <w:tc>
          <w:tcPr>
            <w:tcW w:w="118" w:type="dxa"/>
            <w:tcBorders/>
            <w:shd w:fill="auto" w:val="clear"/>
            <w:vAlign w:val="bottom"/>
          </w:tcPr>
          <w:p>
            <w:pPr>
              <w:pStyle w:val="TableContents"/>
              <w:spacing w:before="0" w:after="283"/>
              <w:rPr/>
            </w:pPr>
            <w:r>
              <w:rPr/>
              <w:t> </w:t>
            </w:r>
          </w:p>
        </w:tc>
      </w:tr>
      <w:tr>
        <w:trPr/>
        <w:tc>
          <w:tcPr>
            <w:tcW w:w="5050" w:type="dxa"/>
            <w:tcBorders/>
            <w:shd w:fill="auto" w:val="clear"/>
            <w:vAlign w:val="center"/>
          </w:tcPr>
          <w:p>
            <w:pPr>
              <w:pStyle w:val="TableContents"/>
              <w:spacing w:before="0" w:after="0"/>
              <w:ind w:left="450" w:right="0" w:hanging="225"/>
              <w:rPr/>
            </w:pPr>
            <w:r>
              <w:rPr/>
              <w:t> </w:t>
            </w:r>
          </w:p>
        </w:tc>
        <w:tc>
          <w:tcPr>
            <w:tcW w:w="391" w:type="dxa"/>
            <w:tcBorders/>
            <w:shd w:fill="auto" w:val="clear"/>
            <w:vAlign w:val="center"/>
          </w:tcPr>
          <w:p>
            <w:pPr>
              <w:pStyle w:val="TableContents"/>
              <w:spacing w:before="0" w:after="283"/>
              <w:rPr/>
            </w:pPr>
            <w:r>
              <w:rPr/>
              <w:t> </w:t>
            </w:r>
          </w:p>
        </w:tc>
        <w:tc>
          <w:tcPr>
            <w:tcW w:w="113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91" w:type="dxa"/>
            <w:tcBorders/>
            <w:shd w:fill="auto" w:val="clear"/>
            <w:vAlign w:val="center"/>
          </w:tcPr>
          <w:p>
            <w:pPr>
              <w:pStyle w:val="TableContents"/>
              <w:spacing w:before="0" w:after="283"/>
              <w:rPr/>
            </w:pPr>
            <w:r>
              <w:rPr/>
              <w:t> </w:t>
            </w:r>
          </w:p>
        </w:tc>
        <w:tc>
          <w:tcPr>
            <w:tcW w:w="127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8"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5009"/>
        <w:gridCol w:w="388"/>
        <w:gridCol w:w="177"/>
        <w:gridCol w:w="968"/>
        <w:gridCol w:w="110"/>
        <w:gridCol w:w="388"/>
        <w:gridCol w:w="213"/>
        <w:gridCol w:w="1047"/>
        <w:gridCol w:w="110"/>
        <w:gridCol w:w="388"/>
        <w:gridCol w:w="198"/>
        <w:gridCol w:w="1092"/>
        <w:gridCol w:w="117"/>
      </w:tblGrid>
      <w:tr>
        <w:trPr/>
        <w:tc>
          <w:tcPr>
            <w:tcW w:w="50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145" w:type="dxa"/>
            <w:gridSpan w:val="2"/>
            <w:tcBorders/>
            <w:shd w:fill="auto" w:val="clear"/>
            <w:vAlign w:val="bottom"/>
          </w:tcPr>
          <w:p>
            <w:pPr>
              <w:pStyle w:val="TableContents"/>
              <w:spacing w:before="0" w:after="283"/>
              <w:jc w:val="right"/>
              <w:rPr/>
            </w:pPr>
            <w:r>
              <w:rPr/>
              <w:t>EZPAWN</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0" w:type="dxa"/>
            <w:gridSpan w:val="2"/>
            <w:tcBorders/>
            <w:shd w:fill="auto" w:val="clear"/>
            <w:vAlign w:val="bottom"/>
          </w:tcPr>
          <w:p>
            <w:pPr>
              <w:pStyle w:val="TableContents"/>
              <w:spacing w:before="0" w:after="283"/>
              <w:jc w:val="right"/>
              <w:rPr/>
            </w:pPr>
            <w:r>
              <w:rPr/>
              <w:t>EZMONEY</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90" w:type="dxa"/>
            <w:gridSpan w:val="2"/>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145"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60"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290"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4691" w:type="dxa"/>
            <w:gridSpan w:val="10"/>
            <w:tcBorders/>
            <w:shd w:fill="auto" w:val="clear"/>
            <w:vAlign w:val="bottom"/>
          </w:tcPr>
          <w:p>
            <w:pPr>
              <w:pStyle w:val="TableContents"/>
              <w:spacing w:before="0" w:after="283"/>
              <w:jc w:val="center"/>
              <w:rPr>
                <w:i/>
              </w:rPr>
            </w:pPr>
            <w:r>
              <w:rPr>
                <w:i/>
              </w:rPr>
              <w:t>(in thousands)</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225" w:right="0" w:hanging="225"/>
              <w:rPr>
                <w:b/>
              </w:rPr>
            </w:pPr>
            <w:r>
              <w:rPr>
                <w:b/>
              </w:rPr>
              <w:t>Nine Months Ended June 30, 2007:</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Revenues:</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450" w:right="0" w:hanging="225"/>
              <w:rPr/>
            </w:pPr>
            <w:r>
              <w:rPr/>
              <w:t>Sales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968" w:type="dxa"/>
            <w:tcBorders/>
            <w:shd w:fill="CCEEFF" w:val="clear"/>
            <w:vAlign w:val="bottom"/>
          </w:tcPr>
          <w:p>
            <w:pPr>
              <w:pStyle w:val="TableContents"/>
              <w:spacing w:before="0" w:after="283"/>
              <w:jc w:val="right"/>
              <w:rPr/>
            </w:pPr>
            <w:r>
              <w:rPr/>
              <w:t>141,688</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047"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92" w:type="dxa"/>
            <w:tcBorders/>
            <w:shd w:fill="CCEEFF" w:val="clear"/>
            <w:vAlign w:val="bottom"/>
          </w:tcPr>
          <w:p>
            <w:pPr>
              <w:pStyle w:val="TableContents"/>
              <w:spacing w:before="0" w:after="283"/>
              <w:jc w:val="right"/>
              <w:rPr/>
            </w:pPr>
            <w:r>
              <w:rPr/>
              <w:t>141,688</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450" w:right="0" w:hanging="225"/>
              <w:rPr/>
            </w:pPr>
            <w:r>
              <w:rPr/>
              <w:t>Pawn service charges</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51,496</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51,496</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450" w:right="0" w:hanging="225"/>
              <w:rPr/>
            </w:pPr>
            <w:r>
              <w:rPr/>
              <w:t>Signature loan fees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2,554</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71,578</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74,132</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450" w:right="0" w:hanging="225"/>
              <w:rPr/>
            </w:pPr>
            <w:r>
              <w:rPr/>
              <w:t>Other</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1,007</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1,007</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675" w:right="0" w:hanging="225"/>
              <w:rPr/>
            </w:pPr>
            <w:r>
              <w:rPr/>
              <w:t>Total revenues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196,745</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71,578</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268,323</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Cost of goods sold</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85,618</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85,618</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675" w:right="0" w:hanging="225"/>
              <w:rPr/>
            </w:pPr>
            <w:r>
              <w:rPr/>
              <w:t>Net revenues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111,127</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71,578</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182,705</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Store operating expenses:</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450" w:right="0" w:hanging="225"/>
              <w:rPr/>
            </w:pPr>
            <w:r>
              <w:rPr/>
              <w:t>Operations expense</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64,926</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29,161</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94,087</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450" w:right="0" w:hanging="225"/>
              <w:rPr/>
            </w:pPr>
            <w:r>
              <w:rPr/>
              <w:t>Signature loan bad debt</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1,070</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18,016</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19,086</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675" w:right="0" w:hanging="225"/>
              <w:rPr/>
            </w:pPr>
            <w:r>
              <w:rPr/>
              <w:t>Total store operating expenses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65,996</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47,177</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113,173</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auto" w:val="clear"/>
            <w:vAlign w:val="bottom"/>
          </w:tcPr>
          <w:p>
            <w:pPr>
              <w:pStyle w:val="TableContents"/>
              <w:spacing w:before="0" w:after="0"/>
              <w:ind w:left="675" w:right="0" w:hanging="225"/>
              <w:rPr/>
            </w:pPr>
            <w:r>
              <w:rPr/>
              <w:t>Store operating income</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968" w:type="dxa"/>
            <w:tcBorders/>
            <w:shd w:fill="auto" w:val="clear"/>
            <w:vAlign w:val="bottom"/>
          </w:tcPr>
          <w:p>
            <w:pPr>
              <w:pStyle w:val="TableContents"/>
              <w:spacing w:before="0" w:after="283"/>
              <w:jc w:val="right"/>
              <w:rPr/>
            </w:pPr>
            <w:r>
              <w:rPr/>
              <w:t>45,131</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047" w:type="dxa"/>
            <w:tcBorders/>
            <w:shd w:fill="auto" w:val="clear"/>
            <w:vAlign w:val="bottom"/>
          </w:tcPr>
          <w:p>
            <w:pPr>
              <w:pStyle w:val="TableContents"/>
              <w:spacing w:before="0" w:after="283"/>
              <w:jc w:val="right"/>
              <w:rPr/>
            </w:pPr>
            <w:r>
              <w:rPr/>
              <w:t>24,401</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92" w:type="dxa"/>
            <w:tcBorders/>
            <w:shd w:fill="auto" w:val="clear"/>
            <w:vAlign w:val="bottom"/>
          </w:tcPr>
          <w:p>
            <w:pPr>
              <w:pStyle w:val="TableContents"/>
              <w:spacing w:before="0" w:after="283"/>
              <w:jc w:val="right"/>
              <w:rPr/>
            </w:pPr>
            <w:r>
              <w:rPr/>
              <w:t>69,532</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225" w:right="0" w:hanging="225"/>
              <w:rPr>
                <w:b/>
              </w:rPr>
            </w:pPr>
            <w:r>
              <w:rPr>
                <w:b/>
              </w:rPr>
              <w:t>Nine Months Ended June 30, 2006:</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Revenues:</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450" w:right="0" w:hanging="225"/>
              <w:rPr/>
            </w:pPr>
            <w:r>
              <w:rPr/>
              <w:t>Sales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w:t>
            </w:r>
          </w:p>
        </w:tc>
        <w:tc>
          <w:tcPr>
            <w:tcW w:w="968" w:type="dxa"/>
            <w:tcBorders/>
            <w:shd w:fill="CCEEFF" w:val="clear"/>
            <w:vAlign w:val="bottom"/>
          </w:tcPr>
          <w:p>
            <w:pPr>
              <w:pStyle w:val="TableContents"/>
              <w:spacing w:before="0" w:after="283"/>
              <w:jc w:val="right"/>
              <w:rPr/>
            </w:pPr>
            <w:r>
              <w:rPr/>
              <w:t>130,598</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jc w:val="left"/>
              <w:rPr/>
            </w:pPr>
            <w:r>
              <w:rPr/>
              <w:t>$</w:t>
            </w:r>
          </w:p>
        </w:tc>
        <w:tc>
          <w:tcPr>
            <w:tcW w:w="1047" w:type="dxa"/>
            <w:tcBorders/>
            <w:shd w:fill="CCEEFF" w:val="clear"/>
            <w:vAlign w:val="bottom"/>
          </w:tcPr>
          <w:p>
            <w:pPr>
              <w:pStyle w:val="TableContents"/>
              <w:spacing w:before="0" w:after="283"/>
              <w:jc w:val="right"/>
              <w:rPr/>
            </w:pPr>
            <w:r>
              <w:rPr/>
              <w:t></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jc w:val="left"/>
              <w:rPr/>
            </w:pPr>
            <w:r>
              <w:rPr/>
              <w:t>$</w:t>
            </w:r>
          </w:p>
        </w:tc>
        <w:tc>
          <w:tcPr>
            <w:tcW w:w="1092" w:type="dxa"/>
            <w:tcBorders/>
            <w:shd w:fill="CCEEFF" w:val="clear"/>
            <w:vAlign w:val="bottom"/>
          </w:tcPr>
          <w:p>
            <w:pPr>
              <w:pStyle w:val="TableContents"/>
              <w:spacing w:before="0" w:after="283"/>
              <w:jc w:val="right"/>
              <w:rPr/>
            </w:pPr>
            <w:r>
              <w:rPr/>
              <w:t>130,598</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450" w:right="0" w:hanging="225"/>
              <w:rPr/>
            </w:pPr>
            <w:r>
              <w:rPr/>
              <w:t>Pawn service charges</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46,988</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46,988</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450" w:right="0" w:hanging="225"/>
              <w:rPr/>
            </w:pPr>
            <w:r>
              <w:rPr/>
              <w:t>Signature loan fees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2,237</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47,712</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49,949</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450" w:right="0" w:hanging="225"/>
              <w:rPr/>
            </w:pPr>
            <w:r>
              <w:rPr/>
              <w:t>Other</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962</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962</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675" w:right="0" w:hanging="225"/>
              <w:rPr/>
            </w:pPr>
            <w:r>
              <w:rPr/>
              <w:t>Total revenues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180,785</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47,712</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228,497</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Cost of goods sold</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77,696</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77,696</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675" w:right="0" w:hanging="225"/>
              <w:rPr/>
            </w:pPr>
            <w:r>
              <w:rPr/>
              <w:t>Net revenues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103,089</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47,712</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150,801</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 </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225" w:right="0" w:hanging="225"/>
              <w:rPr/>
            </w:pPr>
            <w:r>
              <w:rPr/>
              <w:t>Store operating expenses:</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450" w:right="0" w:hanging="225"/>
              <w:rPr/>
            </w:pPr>
            <w:r>
              <w:rPr/>
              <w:t>Operations expense</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63,401</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18,694</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82,095</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bottom"/>
          </w:tcPr>
          <w:p>
            <w:pPr>
              <w:pStyle w:val="TableContents"/>
              <w:spacing w:before="0" w:after="0"/>
              <w:ind w:left="450" w:right="0" w:hanging="225"/>
              <w:rPr/>
            </w:pPr>
            <w:r>
              <w:rPr/>
              <w:t>Signature loan bad debt</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rPr/>
            </w:pPr>
            <w:r>
              <w:rPr/>
              <w:t> </w:t>
            </w:r>
          </w:p>
        </w:tc>
        <w:tc>
          <w:tcPr>
            <w:tcW w:w="968" w:type="dxa"/>
            <w:tcBorders/>
            <w:shd w:fill="auto" w:val="clear"/>
            <w:vAlign w:val="bottom"/>
          </w:tcPr>
          <w:p>
            <w:pPr>
              <w:pStyle w:val="TableContents"/>
              <w:spacing w:before="0" w:after="283"/>
              <w:jc w:val="right"/>
              <w:rPr/>
            </w:pPr>
            <w:r>
              <w:rPr/>
              <w:t>920</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rPr/>
            </w:pPr>
            <w:r>
              <w:rPr/>
              <w:t> </w:t>
            </w:r>
          </w:p>
        </w:tc>
        <w:tc>
          <w:tcPr>
            <w:tcW w:w="1047" w:type="dxa"/>
            <w:tcBorders/>
            <w:shd w:fill="auto" w:val="clear"/>
            <w:vAlign w:val="bottom"/>
          </w:tcPr>
          <w:p>
            <w:pPr>
              <w:pStyle w:val="TableContents"/>
              <w:spacing w:before="0" w:after="283"/>
              <w:jc w:val="right"/>
              <w:rPr/>
            </w:pPr>
            <w:r>
              <w:rPr/>
              <w:t>11,142</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rPr/>
            </w:pPr>
            <w:r>
              <w:rPr/>
              <w:t> </w:t>
            </w:r>
          </w:p>
        </w:tc>
        <w:tc>
          <w:tcPr>
            <w:tcW w:w="1092" w:type="dxa"/>
            <w:tcBorders/>
            <w:shd w:fill="auto" w:val="clear"/>
            <w:vAlign w:val="bottom"/>
          </w:tcPr>
          <w:p>
            <w:pPr>
              <w:pStyle w:val="TableContents"/>
              <w:spacing w:before="0" w:after="283"/>
              <w:jc w:val="right"/>
              <w:rPr/>
            </w:pPr>
            <w:r>
              <w:rPr/>
              <w:t>12,062</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CCEEFF" w:val="clear"/>
            <w:vAlign w:val="bottom"/>
          </w:tcPr>
          <w:p>
            <w:pPr>
              <w:pStyle w:val="TableContents"/>
              <w:spacing w:before="0" w:after="0"/>
              <w:ind w:left="675" w:right="0" w:hanging="225"/>
              <w:rPr/>
            </w:pPr>
            <w:r>
              <w:rPr/>
              <w:t>Total store operating expenses</w:t>
            </w:r>
          </w:p>
        </w:tc>
        <w:tc>
          <w:tcPr>
            <w:tcW w:w="388"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rPr/>
            </w:pPr>
            <w:r>
              <w:rPr/>
              <w:t> </w:t>
            </w:r>
          </w:p>
        </w:tc>
        <w:tc>
          <w:tcPr>
            <w:tcW w:w="968" w:type="dxa"/>
            <w:tcBorders/>
            <w:shd w:fill="CCEEFF" w:val="clear"/>
            <w:vAlign w:val="bottom"/>
          </w:tcPr>
          <w:p>
            <w:pPr>
              <w:pStyle w:val="TableContents"/>
              <w:spacing w:before="0" w:after="283"/>
              <w:jc w:val="right"/>
              <w:rPr/>
            </w:pPr>
            <w:r>
              <w:rPr/>
              <w:t>64,321</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213" w:type="dxa"/>
            <w:tcBorders/>
            <w:shd w:fill="CCEEFF" w:val="clear"/>
            <w:vAlign w:val="bottom"/>
          </w:tcPr>
          <w:p>
            <w:pPr>
              <w:pStyle w:val="TableContents"/>
              <w:spacing w:before="0" w:after="283"/>
              <w:rPr/>
            </w:pPr>
            <w:r>
              <w:rPr/>
              <w:t> </w:t>
            </w:r>
          </w:p>
        </w:tc>
        <w:tc>
          <w:tcPr>
            <w:tcW w:w="1047" w:type="dxa"/>
            <w:tcBorders/>
            <w:shd w:fill="CCEEFF" w:val="clear"/>
            <w:vAlign w:val="bottom"/>
          </w:tcPr>
          <w:p>
            <w:pPr>
              <w:pStyle w:val="TableContents"/>
              <w:spacing w:before="0" w:after="283"/>
              <w:jc w:val="right"/>
              <w:rPr/>
            </w:pPr>
            <w:r>
              <w:rPr/>
              <w:t>29,836</w:t>
            </w:r>
          </w:p>
        </w:tc>
        <w:tc>
          <w:tcPr>
            <w:tcW w:w="11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pPr>
            <w:r>
              <w:rPr/>
              <w:t> </w:t>
            </w:r>
          </w:p>
        </w:tc>
        <w:tc>
          <w:tcPr>
            <w:tcW w:w="198" w:type="dxa"/>
            <w:tcBorders/>
            <w:shd w:fill="CCEEFF" w:val="clear"/>
            <w:vAlign w:val="bottom"/>
          </w:tcPr>
          <w:p>
            <w:pPr>
              <w:pStyle w:val="TableContents"/>
              <w:spacing w:before="0" w:after="283"/>
              <w:rPr/>
            </w:pPr>
            <w:r>
              <w:rPr/>
              <w:t> </w:t>
            </w:r>
          </w:p>
        </w:tc>
        <w:tc>
          <w:tcPr>
            <w:tcW w:w="1092" w:type="dxa"/>
            <w:tcBorders/>
            <w:shd w:fill="CCEEFF" w:val="clear"/>
            <w:vAlign w:val="bottom"/>
          </w:tcPr>
          <w:p>
            <w:pPr>
              <w:pStyle w:val="TableContents"/>
              <w:spacing w:before="0" w:after="283"/>
              <w:jc w:val="right"/>
              <w:rPr/>
            </w:pPr>
            <w:r>
              <w:rPr/>
              <w:t>94,157</w:t>
            </w:r>
          </w:p>
        </w:tc>
        <w:tc>
          <w:tcPr>
            <w:tcW w:w="117" w:type="dxa"/>
            <w:tcBorders/>
            <w:shd w:fill="CCEEFF"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5009" w:type="dxa"/>
            <w:tcBorders/>
            <w:shd w:fill="auto" w:val="clear"/>
            <w:vAlign w:val="bottom"/>
          </w:tcPr>
          <w:p>
            <w:pPr>
              <w:pStyle w:val="TableContents"/>
              <w:spacing w:before="0" w:after="0"/>
              <w:ind w:left="675" w:right="0" w:hanging="225"/>
              <w:rPr/>
            </w:pPr>
            <w:r>
              <w:rPr/>
              <w:t>Store operating income</w:t>
            </w:r>
          </w:p>
        </w:tc>
        <w:tc>
          <w:tcPr>
            <w:tcW w:w="388" w:type="dxa"/>
            <w:tcBorders/>
            <w:shd w:fill="auto" w:val="clear"/>
            <w:vAlign w:val="bottom"/>
          </w:tcPr>
          <w:p>
            <w:pPr>
              <w:pStyle w:val="TableContents"/>
              <w:spacing w:before="0" w:after="283"/>
              <w:rPr/>
            </w:pPr>
            <w:r>
              <w:rPr/>
              <w:t> </w:t>
            </w:r>
          </w:p>
        </w:tc>
        <w:tc>
          <w:tcPr>
            <w:tcW w:w="177" w:type="dxa"/>
            <w:tcBorders/>
            <w:shd w:fill="auto" w:val="clear"/>
            <w:vAlign w:val="bottom"/>
          </w:tcPr>
          <w:p>
            <w:pPr>
              <w:pStyle w:val="TableContents"/>
              <w:spacing w:before="0" w:after="283"/>
              <w:jc w:val="left"/>
              <w:rPr/>
            </w:pPr>
            <w:r>
              <w:rPr/>
              <w:t>$</w:t>
            </w:r>
          </w:p>
        </w:tc>
        <w:tc>
          <w:tcPr>
            <w:tcW w:w="968" w:type="dxa"/>
            <w:tcBorders/>
            <w:shd w:fill="auto" w:val="clear"/>
            <w:vAlign w:val="bottom"/>
          </w:tcPr>
          <w:p>
            <w:pPr>
              <w:pStyle w:val="TableContents"/>
              <w:spacing w:before="0" w:after="283"/>
              <w:jc w:val="right"/>
              <w:rPr/>
            </w:pPr>
            <w:r>
              <w:rPr/>
              <w:t>38,768</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213" w:type="dxa"/>
            <w:tcBorders/>
            <w:shd w:fill="auto" w:val="clear"/>
            <w:vAlign w:val="bottom"/>
          </w:tcPr>
          <w:p>
            <w:pPr>
              <w:pStyle w:val="TableContents"/>
              <w:spacing w:before="0" w:after="283"/>
              <w:jc w:val="left"/>
              <w:rPr/>
            </w:pPr>
            <w:r>
              <w:rPr/>
              <w:t>$</w:t>
            </w:r>
          </w:p>
        </w:tc>
        <w:tc>
          <w:tcPr>
            <w:tcW w:w="1047" w:type="dxa"/>
            <w:tcBorders/>
            <w:shd w:fill="auto" w:val="clear"/>
            <w:vAlign w:val="bottom"/>
          </w:tcPr>
          <w:p>
            <w:pPr>
              <w:pStyle w:val="TableContents"/>
              <w:spacing w:before="0" w:after="283"/>
              <w:jc w:val="right"/>
              <w:rPr/>
            </w:pPr>
            <w:r>
              <w:rPr/>
              <w:t>17,876</w:t>
            </w:r>
          </w:p>
        </w:tc>
        <w:tc>
          <w:tcPr>
            <w:tcW w:w="110" w:type="dxa"/>
            <w:tcBorders/>
            <w:shd w:fill="auto" w:val="clear"/>
            <w:vAlign w:val="bottom"/>
          </w:tcPr>
          <w:p>
            <w:pPr>
              <w:pStyle w:val="TableContents"/>
              <w:spacing w:before="0" w:after="283"/>
              <w:rPr/>
            </w:pPr>
            <w:r>
              <w:rPr/>
              <w:t> </w:t>
            </w:r>
          </w:p>
        </w:tc>
        <w:tc>
          <w:tcPr>
            <w:tcW w:w="388" w:type="dxa"/>
            <w:tcBorders/>
            <w:shd w:fill="auto" w:val="clear"/>
            <w:vAlign w:val="bottom"/>
          </w:tcPr>
          <w:p>
            <w:pPr>
              <w:pStyle w:val="TableContents"/>
              <w:spacing w:before="0" w:after="283"/>
              <w:rPr/>
            </w:pPr>
            <w:r>
              <w:rPr/>
              <w:t> </w:t>
            </w:r>
          </w:p>
        </w:tc>
        <w:tc>
          <w:tcPr>
            <w:tcW w:w="198" w:type="dxa"/>
            <w:tcBorders/>
            <w:shd w:fill="auto" w:val="clear"/>
            <w:vAlign w:val="bottom"/>
          </w:tcPr>
          <w:p>
            <w:pPr>
              <w:pStyle w:val="TableContents"/>
              <w:spacing w:before="0" w:after="283"/>
              <w:jc w:val="left"/>
              <w:rPr/>
            </w:pPr>
            <w:r>
              <w:rPr/>
              <w:t>$</w:t>
            </w:r>
          </w:p>
        </w:tc>
        <w:tc>
          <w:tcPr>
            <w:tcW w:w="1092" w:type="dxa"/>
            <w:tcBorders/>
            <w:shd w:fill="auto" w:val="clear"/>
            <w:vAlign w:val="bottom"/>
          </w:tcPr>
          <w:p>
            <w:pPr>
              <w:pStyle w:val="TableContents"/>
              <w:spacing w:before="0" w:after="283"/>
              <w:jc w:val="right"/>
              <w:rPr/>
            </w:pPr>
            <w:r>
              <w:rPr/>
              <w:t>56,644</w:t>
            </w:r>
          </w:p>
        </w:tc>
        <w:tc>
          <w:tcPr>
            <w:tcW w:w="117" w:type="dxa"/>
            <w:tcBorders/>
            <w:shd w:fill="auto" w:val="clear"/>
            <w:vAlign w:val="bottom"/>
          </w:tcPr>
          <w:p>
            <w:pPr>
              <w:pStyle w:val="TableContents"/>
              <w:spacing w:before="0" w:after="283"/>
              <w:rPr/>
            </w:pPr>
            <w:r>
              <w:rPr/>
              <w:t> </w:t>
            </w:r>
          </w:p>
        </w:tc>
      </w:tr>
      <w:tr>
        <w:trPr/>
        <w:tc>
          <w:tcPr>
            <w:tcW w:w="5009" w:type="dxa"/>
            <w:tcBorders/>
            <w:shd w:fill="auto" w:val="clear"/>
            <w:vAlign w:val="center"/>
          </w:tcPr>
          <w:p>
            <w:pPr>
              <w:pStyle w:val="TableContents"/>
              <w:spacing w:before="0" w:after="0"/>
              <w:ind w:left="450" w:right="0" w:hanging="225"/>
              <w:rPr/>
            </w:pPr>
            <w:r>
              <w:rPr/>
              <w:t> </w:t>
            </w:r>
          </w:p>
        </w:tc>
        <w:tc>
          <w:tcPr>
            <w:tcW w:w="388" w:type="dxa"/>
            <w:tcBorders/>
            <w:shd w:fill="auto" w:val="clear"/>
            <w:vAlign w:val="center"/>
          </w:tcPr>
          <w:p>
            <w:pPr>
              <w:pStyle w:val="TableContents"/>
              <w:spacing w:before="0" w:after="283"/>
              <w:rPr/>
            </w:pPr>
            <w:r>
              <w:rPr/>
              <w:t> </w:t>
            </w:r>
          </w:p>
        </w:tc>
        <w:tc>
          <w:tcPr>
            <w:tcW w:w="11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6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0" w:type="dxa"/>
            <w:tcBorders/>
            <w:shd w:fill="auto" w:val="clear"/>
            <w:vAlign w:val="center"/>
          </w:tcPr>
          <w:p>
            <w:pPr>
              <w:pStyle w:val="TableContents"/>
              <w:spacing w:before="0" w:after="283"/>
              <w:rPr/>
            </w:pPr>
            <w:r>
              <w:rPr/>
              <w:t> </w:t>
            </w:r>
          </w:p>
        </w:tc>
        <w:tc>
          <w:tcPr>
            <w:tcW w:w="388" w:type="dxa"/>
            <w:tcBorders/>
            <w:shd w:fill="auto" w:val="clear"/>
            <w:vAlign w:val="center"/>
          </w:tcPr>
          <w:p>
            <w:pPr>
              <w:pStyle w:val="TableContents"/>
              <w:spacing w:before="0" w:after="283"/>
              <w:rPr/>
            </w:pPr>
            <w:r>
              <w:rPr/>
              <w:t> </w:t>
            </w:r>
          </w:p>
        </w:tc>
        <w:tc>
          <w:tcPr>
            <w:tcW w:w="129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reconciles store operating income, as shown above, to our consolidated income before income taxes: </w:t>
      </w:r>
    </w:p>
    <w:tbl>
      <w:tblPr>
        <w:tblW w:w="5000" w:type="pct"/>
        <w:jc w:val="center"/>
        <w:tblInd w:w="0" w:type="dxa"/>
        <w:tblCellMar>
          <w:top w:w="0" w:type="dxa"/>
          <w:left w:w="0" w:type="dxa"/>
          <w:bottom w:w="0" w:type="dxa"/>
          <w:right w:w="0" w:type="dxa"/>
        </w:tblCellMar>
      </w:tblPr>
      <w:tblGrid>
        <w:gridCol w:w="4391"/>
        <w:gridCol w:w="390"/>
        <w:gridCol w:w="159"/>
        <w:gridCol w:w="786"/>
        <w:gridCol w:w="130"/>
        <w:gridCol w:w="393"/>
        <w:gridCol w:w="159"/>
        <w:gridCol w:w="787"/>
        <w:gridCol w:w="124"/>
        <w:gridCol w:w="390"/>
        <w:gridCol w:w="155"/>
        <w:gridCol w:w="766"/>
        <w:gridCol w:w="127"/>
        <w:gridCol w:w="392"/>
        <w:gridCol w:w="155"/>
        <w:gridCol w:w="768"/>
        <w:gridCol w:w="133"/>
      </w:tblGrid>
      <w:tr>
        <w:trPr/>
        <w:tc>
          <w:tcPr>
            <w:tcW w:w="439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rPr/>
            </w:pPr>
            <w:r>
              <w:rPr/>
              <w:t> </w:t>
            </w:r>
          </w:p>
        </w:tc>
        <w:tc>
          <w:tcPr>
            <w:tcW w:w="13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rPr/>
            </w:pPr>
            <w:r>
              <w:rPr/>
              <w:t> </w:t>
            </w:r>
          </w:p>
        </w:tc>
        <w:tc>
          <w:tcPr>
            <w:tcW w:w="127"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414" w:type="dxa"/>
            <w:gridSpan w:val="6"/>
            <w:tcBorders/>
            <w:shd w:fill="auto" w:val="clear"/>
            <w:vAlign w:val="bottom"/>
          </w:tcPr>
          <w:p>
            <w:pPr>
              <w:pStyle w:val="TableContents"/>
              <w:spacing w:before="0" w:after="283"/>
              <w:jc w:val="center"/>
              <w:rPr/>
            </w:pPr>
            <w:r>
              <w:rPr/>
              <w:t>Three Months Ended</w:t>
            </w:r>
          </w:p>
        </w:tc>
        <w:tc>
          <w:tcPr>
            <w:tcW w:w="12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363" w:type="dxa"/>
            <w:gridSpan w:val="6"/>
            <w:tcBorders/>
            <w:shd w:fill="auto" w:val="clear"/>
            <w:vAlign w:val="bottom"/>
          </w:tcPr>
          <w:p>
            <w:pPr>
              <w:pStyle w:val="TableContents"/>
              <w:spacing w:before="0" w:after="283"/>
              <w:jc w:val="center"/>
              <w:rPr/>
            </w:pPr>
            <w:r>
              <w:rPr/>
              <w:t>Nine Months Ended</w:t>
            </w:r>
          </w:p>
        </w:tc>
        <w:tc>
          <w:tcPr>
            <w:tcW w:w="133"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414"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2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2363"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133"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45"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3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946"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2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921"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127"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923"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133" w:type="dxa"/>
            <w:tcBorders/>
            <w:shd w:fill="auto"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5291" w:type="dxa"/>
            <w:gridSpan w:val="14"/>
            <w:tcBorders/>
            <w:shd w:fill="auto" w:val="clear"/>
            <w:vAlign w:val="bottom"/>
          </w:tcPr>
          <w:p>
            <w:pPr>
              <w:pStyle w:val="TableContents"/>
              <w:spacing w:before="0" w:after="283"/>
              <w:jc w:val="center"/>
              <w:rPr>
                <w:i/>
              </w:rPr>
            </w:pPr>
            <w:r>
              <w:rPr>
                <w:i/>
              </w:rPr>
              <w:t>(in thousands)</w:t>
            </w:r>
          </w:p>
        </w:tc>
        <w:tc>
          <w:tcPr>
            <w:tcW w:w="133"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Consolidated store operating income</w:t>
            </w:r>
          </w:p>
        </w:tc>
        <w:tc>
          <w:tcPr>
            <w:tcW w:w="39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86" w:type="dxa"/>
            <w:tcBorders/>
            <w:shd w:fill="CCEEFF" w:val="clear"/>
            <w:vAlign w:val="bottom"/>
          </w:tcPr>
          <w:p>
            <w:pPr>
              <w:pStyle w:val="TableContents"/>
              <w:spacing w:before="0" w:after="283"/>
              <w:jc w:val="right"/>
              <w:rPr/>
            </w:pPr>
            <w:r>
              <w:rPr/>
              <w:t>19,835</w:t>
            </w:r>
          </w:p>
        </w:tc>
        <w:tc>
          <w:tcPr>
            <w:tcW w:w="13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w:t>
            </w:r>
          </w:p>
        </w:tc>
        <w:tc>
          <w:tcPr>
            <w:tcW w:w="787" w:type="dxa"/>
            <w:tcBorders/>
            <w:shd w:fill="CCEEFF" w:val="clear"/>
            <w:vAlign w:val="bottom"/>
          </w:tcPr>
          <w:p>
            <w:pPr>
              <w:pStyle w:val="TableContents"/>
              <w:spacing w:before="0" w:after="283"/>
              <w:jc w:val="right"/>
              <w:rPr/>
            </w:pPr>
            <w:r>
              <w:rPr/>
              <w:t>17,013</w:t>
            </w:r>
          </w:p>
        </w:tc>
        <w:tc>
          <w:tcPr>
            <w:tcW w:w="12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66" w:type="dxa"/>
            <w:tcBorders/>
            <w:shd w:fill="CCEEFF" w:val="clear"/>
            <w:vAlign w:val="bottom"/>
          </w:tcPr>
          <w:p>
            <w:pPr>
              <w:pStyle w:val="TableContents"/>
              <w:spacing w:before="0" w:after="283"/>
              <w:jc w:val="right"/>
              <w:rPr/>
            </w:pPr>
            <w:r>
              <w:rPr/>
              <w:t>69,532</w:t>
            </w:r>
          </w:p>
        </w:tc>
        <w:tc>
          <w:tcPr>
            <w:tcW w:w="127"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w:t>
            </w:r>
          </w:p>
        </w:tc>
        <w:tc>
          <w:tcPr>
            <w:tcW w:w="768" w:type="dxa"/>
            <w:tcBorders/>
            <w:shd w:fill="CCEEFF" w:val="clear"/>
            <w:vAlign w:val="bottom"/>
          </w:tcPr>
          <w:p>
            <w:pPr>
              <w:pStyle w:val="TableContents"/>
              <w:spacing w:before="0" w:after="283"/>
              <w:jc w:val="right"/>
              <w:rPr/>
            </w:pPr>
            <w:r>
              <w:rPr/>
              <w:t>56,644</w:t>
            </w:r>
          </w:p>
        </w:tc>
        <w:tc>
          <w:tcPr>
            <w:tcW w:w="133"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Administrative expenses</w:t>
            </w:r>
          </w:p>
        </w:tc>
        <w:tc>
          <w:tcPr>
            <w:tcW w:w="3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6" w:type="dxa"/>
            <w:tcBorders/>
            <w:shd w:fill="auto" w:val="clear"/>
            <w:vAlign w:val="bottom"/>
          </w:tcPr>
          <w:p>
            <w:pPr>
              <w:pStyle w:val="TableContents"/>
              <w:spacing w:before="0" w:after="283"/>
              <w:jc w:val="right"/>
              <w:rPr/>
            </w:pPr>
            <w:r>
              <w:rPr/>
              <w:t>8,033</w:t>
            </w:r>
          </w:p>
        </w:tc>
        <w:tc>
          <w:tcPr>
            <w:tcW w:w="13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787" w:type="dxa"/>
            <w:tcBorders/>
            <w:shd w:fill="auto" w:val="clear"/>
            <w:vAlign w:val="bottom"/>
          </w:tcPr>
          <w:p>
            <w:pPr>
              <w:pStyle w:val="TableContents"/>
              <w:spacing w:before="0" w:after="283"/>
              <w:jc w:val="right"/>
              <w:rPr/>
            </w:pPr>
            <w:r>
              <w:rPr/>
              <w:t>6,830</w:t>
            </w:r>
          </w:p>
        </w:tc>
        <w:tc>
          <w:tcPr>
            <w:tcW w:w="12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6" w:type="dxa"/>
            <w:tcBorders/>
            <w:shd w:fill="auto" w:val="clear"/>
            <w:vAlign w:val="bottom"/>
          </w:tcPr>
          <w:p>
            <w:pPr>
              <w:pStyle w:val="TableContents"/>
              <w:spacing w:before="0" w:after="283"/>
              <w:jc w:val="right"/>
              <w:rPr/>
            </w:pPr>
            <w:r>
              <w:rPr/>
              <w:t>23,528</w:t>
            </w:r>
          </w:p>
        </w:tc>
        <w:tc>
          <w:tcPr>
            <w:tcW w:w="127"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768" w:type="dxa"/>
            <w:tcBorders/>
            <w:shd w:fill="auto" w:val="clear"/>
            <w:vAlign w:val="bottom"/>
          </w:tcPr>
          <w:p>
            <w:pPr>
              <w:pStyle w:val="TableContents"/>
              <w:spacing w:before="0" w:after="283"/>
              <w:jc w:val="right"/>
              <w:rPr/>
            </w:pPr>
            <w:r>
              <w:rPr/>
              <w:t>20,347</w:t>
            </w:r>
          </w:p>
        </w:tc>
        <w:tc>
          <w:tcPr>
            <w:tcW w:w="133" w:type="dxa"/>
            <w:tcBorders/>
            <w:shd w:fill="auto" w:val="clear"/>
            <w:vAlign w:val="bottom"/>
          </w:tcPr>
          <w:p>
            <w:pPr>
              <w:pStyle w:val="TableContents"/>
              <w:spacing w:before="0" w:after="283"/>
              <w:rPr/>
            </w:pPr>
            <w:r>
              <w:rPr/>
              <w:t> </w:t>
            </w:r>
          </w:p>
        </w:tc>
      </w:tr>
      <w:tr>
        <w:trPr/>
        <w:tc>
          <w:tcPr>
            <w:tcW w:w="4391" w:type="dxa"/>
            <w:tcBorders/>
            <w:shd w:fill="CCEEFF" w:val="clear"/>
            <w:vAlign w:val="bottom"/>
          </w:tcPr>
          <w:p>
            <w:pPr>
              <w:pStyle w:val="TableContents"/>
              <w:spacing w:before="0" w:after="0"/>
              <w:ind w:left="225" w:right="0" w:hanging="225"/>
              <w:rPr/>
            </w:pPr>
            <w:r>
              <w:rPr/>
              <w:t>Depreciation and amortization</w:t>
            </w:r>
          </w:p>
        </w:tc>
        <w:tc>
          <w:tcPr>
            <w:tcW w:w="39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2,495</w:t>
            </w:r>
          </w:p>
        </w:tc>
        <w:tc>
          <w:tcPr>
            <w:tcW w:w="13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2,143</w:t>
            </w:r>
          </w:p>
        </w:tc>
        <w:tc>
          <w:tcPr>
            <w:tcW w:w="12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7,194</w:t>
            </w:r>
          </w:p>
        </w:tc>
        <w:tc>
          <w:tcPr>
            <w:tcW w:w="127"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6,402</w:t>
            </w:r>
          </w:p>
        </w:tc>
        <w:tc>
          <w:tcPr>
            <w:tcW w:w="133"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Interest income</w:t>
            </w:r>
          </w:p>
        </w:tc>
        <w:tc>
          <w:tcPr>
            <w:tcW w:w="3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6" w:type="dxa"/>
            <w:tcBorders/>
            <w:shd w:fill="auto" w:val="clear"/>
            <w:vAlign w:val="bottom"/>
          </w:tcPr>
          <w:p>
            <w:pPr>
              <w:pStyle w:val="TableContents"/>
              <w:spacing w:before="0" w:after="283"/>
              <w:jc w:val="right"/>
              <w:rPr/>
            </w:pPr>
            <w:r>
              <w:rPr/>
              <w:t>(618</w:t>
            </w:r>
          </w:p>
        </w:tc>
        <w:tc>
          <w:tcPr>
            <w:tcW w:w="130"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(193</w:t>
            </w:r>
          </w:p>
        </w:tc>
        <w:tc>
          <w:tcPr>
            <w:tcW w:w="124" w:type="dxa"/>
            <w:tcBorders/>
            <w:shd w:fill="auto" w:val="clear"/>
            <w:vAlign w:val="bottom"/>
          </w:tcPr>
          <w:p>
            <w:pPr>
              <w:pStyle w:val="TableContents"/>
              <w:spacing w:before="0" w:after="283"/>
              <w:rPr/>
            </w:pPr>
            <w:r>
              <w:rPr/>
              <w:t>)</w:t>
            </w:r>
          </w:p>
        </w:tc>
        <w:tc>
          <w:tcPr>
            <w:tcW w:w="39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283"/>
              <w:jc w:val="right"/>
              <w:rPr/>
            </w:pPr>
            <w:r>
              <w:rPr/>
              <w:t>(1,499</w:t>
            </w:r>
          </w:p>
        </w:tc>
        <w:tc>
          <w:tcPr>
            <w:tcW w:w="127" w:type="dxa"/>
            <w:tcBorders/>
            <w:shd w:fill="auto" w:val="clear"/>
            <w:vAlign w:val="bottom"/>
          </w:tcPr>
          <w:p>
            <w:pPr>
              <w:pStyle w:val="TableContents"/>
              <w:spacing w:before="0" w:after="283"/>
              <w:rPr/>
            </w:pPr>
            <w:r>
              <w:rPr/>
              <w:t>)</w:t>
            </w:r>
          </w:p>
        </w:tc>
        <w:tc>
          <w:tcPr>
            <w:tcW w:w="39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68" w:type="dxa"/>
            <w:tcBorders/>
            <w:shd w:fill="auto" w:val="clear"/>
            <w:vAlign w:val="bottom"/>
          </w:tcPr>
          <w:p>
            <w:pPr>
              <w:pStyle w:val="TableContents"/>
              <w:spacing w:before="0" w:after="283"/>
              <w:jc w:val="right"/>
              <w:rPr/>
            </w:pPr>
            <w:r>
              <w:rPr/>
              <w:t>(283</w:t>
            </w:r>
          </w:p>
        </w:tc>
        <w:tc>
          <w:tcPr>
            <w:tcW w:w="133" w:type="dxa"/>
            <w:tcBorders/>
            <w:shd w:fill="auto" w:val="clear"/>
            <w:vAlign w:val="bottom"/>
          </w:tcPr>
          <w:p>
            <w:pPr>
              <w:pStyle w:val="TableContents"/>
              <w:spacing w:before="0" w:after="283"/>
              <w:rPr/>
            </w:pPr>
            <w:r>
              <w:rPr/>
              <w:t>)</w:t>
            </w:r>
          </w:p>
        </w:tc>
      </w:tr>
      <w:tr>
        <w:trPr/>
        <w:tc>
          <w:tcPr>
            <w:tcW w:w="4391" w:type="dxa"/>
            <w:tcBorders/>
            <w:shd w:fill="CCEEFF" w:val="clear"/>
            <w:vAlign w:val="bottom"/>
          </w:tcPr>
          <w:p>
            <w:pPr>
              <w:pStyle w:val="TableContents"/>
              <w:spacing w:before="0" w:after="0"/>
              <w:ind w:left="225" w:right="0" w:hanging="225"/>
              <w:rPr/>
            </w:pPr>
            <w:r>
              <w:rPr/>
              <w:t>Interest expense</w:t>
            </w:r>
          </w:p>
        </w:tc>
        <w:tc>
          <w:tcPr>
            <w:tcW w:w="39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6" w:type="dxa"/>
            <w:tcBorders/>
            <w:shd w:fill="CCEEFF" w:val="clear"/>
            <w:vAlign w:val="bottom"/>
          </w:tcPr>
          <w:p>
            <w:pPr>
              <w:pStyle w:val="TableContents"/>
              <w:spacing w:before="0" w:after="283"/>
              <w:jc w:val="right"/>
              <w:rPr/>
            </w:pPr>
            <w:r>
              <w:rPr/>
              <w:t>67</w:t>
            </w:r>
          </w:p>
        </w:tc>
        <w:tc>
          <w:tcPr>
            <w:tcW w:w="130" w:type="dxa"/>
            <w:tcBorders/>
            <w:shd w:fill="CCEEFF" w:val="clear"/>
            <w:vAlign w:val="bottom"/>
          </w:tcPr>
          <w:p>
            <w:pPr>
              <w:pStyle w:val="TableContents"/>
              <w:spacing w:before="0" w:after="283"/>
              <w:rPr/>
            </w:pPr>
            <w:r>
              <w:rPr/>
              <w:t> </w:t>
            </w:r>
          </w:p>
        </w:tc>
        <w:tc>
          <w:tcPr>
            <w:tcW w:w="39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787" w:type="dxa"/>
            <w:tcBorders/>
            <w:shd w:fill="CCEEFF" w:val="clear"/>
            <w:vAlign w:val="bottom"/>
          </w:tcPr>
          <w:p>
            <w:pPr>
              <w:pStyle w:val="TableContents"/>
              <w:spacing w:before="0" w:after="283"/>
              <w:jc w:val="right"/>
              <w:rPr/>
            </w:pPr>
            <w:r>
              <w:rPr/>
              <w:t>43</w:t>
            </w:r>
          </w:p>
        </w:tc>
        <w:tc>
          <w:tcPr>
            <w:tcW w:w="124"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6" w:type="dxa"/>
            <w:tcBorders/>
            <w:shd w:fill="CCEEFF" w:val="clear"/>
            <w:vAlign w:val="bottom"/>
          </w:tcPr>
          <w:p>
            <w:pPr>
              <w:pStyle w:val="TableContents"/>
              <w:spacing w:before="0" w:after="283"/>
              <w:jc w:val="right"/>
              <w:rPr/>
            </w:pPr>
            <w:r>
              <w:rPr/>
              <w:t>214</w:t>
            </w:r>
          </w:p>
        </w:tc>
        <w:tc>
          <w:tcPr>
            <w:tcW w:w="127" w:type="dxa"/>
            <w:tcBorders/>
            <w:shd w:fill="CCEEFF" w:val="clear"/>
            <w:vAlign w:val="bottom"/>
          </w:tcPr>
          <w:p>
            <w:pPr>
              <w:pStyle w:val="TableContents"/>
              <w:spacing w:before="0" w:after="283"/>
              <w:rPr/>
            </w:pPr>
            <w:r>
              <w:rPr/>
              <w:t> </w:t>
            </w:r>
          </w:p>
        </w:tc>
        <w:tc>
          <w:tcPr>
            <w:tcW w:w="39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768" w:type="dxa"/>
            <w:tcBorders/>
            <w:shd w:fill="CCEEFF" w:val="clear"/>
            <w:vAlign w:val="bottom"/>
          </w:tcPr>
          <w:p>
            <w:pPr>
              <w:pStyle w:val="TableContents"/>
              <w:spacing w:before="0" w:after="283"/>
              <w:jc w:val="right"/>
              <w:rPr/>
            </w:pPr>
            <w:r>
              <w:rPr/>
              <w:t>396</w:t>
            </w:r>
          </w:p>
        </w:tc>
        <w:tc>
          <w:tcPr>
            <w:tcW w:w="133" w:type="dxa"/>
            <w:tcBorders/>
            <w:shd w:fill="CCEEFF" w:val="clear"/>
            <w:vAlign w:val="bottom"/>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Equity in net income of unconsolidated affiliate</w:t>
            </w:r>
          </w:p>
        </w:tc>
        <w:tc>
          <w:tcPr>
            <w:tcW w:w="3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6" w:type="dxa"/>
            <w:tcBorders/>
            <w:shd w:fill="auto" w:val="clear"/>
            <w:vAlign w:val="bottom"/>
          </w:tcPr>
          <w:p>
            <w:pPr>
              <w:pStyle w:val="TableContents"/>
              <w:spacing w:before="0" w:after="283"/>
              <w:jc w:val="right"/>
              <w:rPr/>
            </w:pPr>
            <w:r>
              <w:rPr/>
              <w:t>(720</w:t>
            </w:r>
          </w:p>
        </w:tc>
        <w:tc>
          <w:tcPr>
            <w:tcW w:w="130" w:type="dxa"/>
            <w:tcBorders/>
            <w:shd w:fill="auto" w:val="clear"/>
            <w:vAlign w:val="bottom"/>
          </w:tcPr>
          <w:p>
            <w:pPr>
              <w:pStyle w:val="TableContents"/>
              <w:spacing w:before="0" w:after="283"/>
              <w:rPr/>
            </w:pPr>
            <w:r>
              <w:rPr/>
              <w:t>)</w:t>
            </w:r>
          </w:p>
        </w:tc>
        <w:tc>
          <w:tcPr>
            <w:tcW w:w="3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 </w:t>
            </w:r>
          </w:p>
        </w:tc>
        <w:tc>
          <w:tcPr>
            <w:tcW w:w="787" w:type="dxa"/>
            <w:tcBorders/>
            <w:shd w:fill="auto" w:val="clear"/>
            <w:vAlign w:val="bottom"/>
          </w:tcPr>
          <w:p>
            <w:pPr>
              <w:pStyle w:val="TableContents"/>
              <w:spacing w:before="0" w:after="283"/>
              <w:jc w:val="right"/>
              <w:rPr/>
            </w:pPr>
            <w:r>
              <w:rPr/>
              <w:t>(557</w:t>
            </w:r>
          </w:p>
        </w:tc>
        <w:tc>
          <w:tcPr>
            <w:tcW w:w="124" w:type="dxa"/>
            <w:tcBorders/>
            <w:shd w:fill="auto" w:val="clear"/>
            <w:vAlign w:val="bottom"/>
          </w:tcPr>
          <w:p>
            <w:pPr>
              <w:pStyle w:val="TableContents"/>
              <w:spacing w:before="0" w:after="283"/>
              <w:rPr/>
            </w:pPr>
            <w:r>
              <w:rPr/>
              <w:t>)</w:t>
            </w:r>
          </w:p>
        </w:tc>
        <w:tc>
          <w:tcPr>
            <w:tcW w:w="39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66" w:type="dxa"/>
            <w:tcBorders/>
            <w:shd w:fill="auto" w:val="clear"/>
            <w:vAlign w:val="bottom"/>
          </w:tcPr>
          <w:p>
            <w:pPr>
              <w:pStyle w:val="TableContents"/>
              <w:spacing w:before="0" w:after="283"/>
              <w:jc w:val="right"/>
              <w:rPr/>
            </w:pPr>
            <w:r>
              <w:rPr/>
              <w:t>(2,185</w:t>
            </w:r>
          </w:p>
        </w:tc>
        <w:tc>
          <w:tcPr>
            <w:tcW w:w="127" w:type="dxa"/>
            <w:tcBorders/>
            <w:shd w:fill="auto" w:val="clear"/>
            <w:vAlign w:val="bottom"/>
          </w:tcPr>
          <w:p>
            <w:pPr>
              <w:pStyle w:val="TableContents"/>
              <w:spacing w:before="0" w:after="283"/>
              <w:rPr/>
            </w:pPr>
            <w:r>
              <w:rPr/>
              <w:t>)</w:t>
            </w:r>
          </w:p>
        </w:tc>
        <w:tc>
          <w:tcPr>
            <w:tcW w:w="39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768" w:type="dxa"/>
            <w:tcBorders/>
            <w:shd w:fill="auto" w:val="clear"/>
            <w:vAlign w:val="bottom"/>
          </w:tcPr>
          <w:p>
            <w:pPr>
              <w:pStyle w:val="TableContents"/>
              <w:spacing w:before="0" w:after="283"/>
              <w:jc w:val="right"/>
              <w:rPr/>
            </w:pPr>
            <w:r>
              <w:rPr/>
              <w:t>(1,745</w:t>
            </w:r>
          </w:p>
        </w:tc>
        <w:tc>
          <w:tcPr>
            <w:tcW w:w="133" w:type="dxa"/>
            <w:tcBorders/>
            <w:shd w:fill="auto" w:val="clear"/>
            <w:vAlign w:val="bottom"/>
          </w:tcPr>
          <w:p>
            <w:pPr>
              <w:pStyle w:val="TableContents"/>
              <w:spacing w:before="0" w:after="283"/>
              <w:rPr/>
            </w:pPr>
            <w:r>
              <w:rPr/>
              <w:t>)</w:t>
            </w:r>
          </w:p>
        </w:tc>
      </w:tr>
      <w:tr>
        <w:trPr/>
        <w:tc>
          <w:tcPr>
            <w:tcW w:w="4391" w:type="dxa"/>
            <w:tcBorders/>
            <w:shd w:fill="CCEEFF" w:val="clear"/>
            <w:vAlign w:val="bottom"/>
          </w:tcPr>
          <w:p>
            <w:pPr>
              <w:pStyle w:val="TableContents"/>
              <w:spacing w:before="0" w:after="0"/>
              <w:ind w:left="225" w:right="0" w:hanging="225"/>
              <w:rPr/>
            </w:pPr>
            <w:r>
              <w:rPr/>
              <w:t>Gain on sale / disposal of assets</w:t>
            </w:r>
          </w:p>
        </w:tc>
        <w:tc>
          <w:tcPr>
            <w:tcW w:w="39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786" w:type="dxa"/>
            <w:tcBorders/>
            <w:shd w:fill="CCEEFF" w:val="clear"/>
            <w:vAlign w:val="bottom"/>
          </w:tcPr>
          <w:p>
            <w:pPr>
              <w:pStyle w:val="TableContents"/>
              <w:spacing w:before="0" w:after="283"/>
              <w:jc w:val="right"/>
              <w:rPr/>
            </w:pPr>
            <w:r>
              <w:rPr/>
              <w:t>(155</w:t>
            </w:r>
          </w:p>
        </w:tc>
        <w:tc>
          <w:tcPr>
            <w:tcW w:w="130" w:type="dxa"/>
            <w:tcBorders/>
            <w:shd w:fill="CCEEFF" w:val="clear"/>
            <w:vAlign w:val="bottom"/>
          </w:tcPr>
          <w:p>
            <w:pPr>
              <w:pStyle w:val="TableContents"/>
              <w:spacing w:before="0" w:after="283"/>
              <w:rPr/>
            </w:pPr>
            <w:r>
              <w:rPr/>
              <w:t>)</w:t>
            </w:r>
          </w:p>
        </w:tc>
        <w:tc>
          <w:tcPr>
            <w:tcW w:w="393"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787" w:type="dxa"/>
            <w:tcBorders/>
            <w:shd w:fill="CCEEFF" w:val="clear"/>
            <w:vAlign w:val="bottom"/>
          </w:tcPr>
          <w:p>
            <w:pPr>
              <w:pStyle w:val="TableContents"/>
              <w:spacing w:before="0" w:after="283"/>
              <w:jc w:val="right"/>
              <w:rPr/>
            </w:pPr>
            <w:r>
              <w:rPr/>
              <w:t>(70</w:t>
            </w:r>
          </w:p>
        </w:tc>
        <w:tc>
          <w:tcPr>
            <w:tcW w:w="124" w:type="dxa"/>
            <w:tcBorders/>
            <w:shd w:fill="CCEEFF" w:val="clear"/>
            <w:vAlign w:val="bottom"/>
          </w:tcPr>
          <w:p>
            <w:pPr>
              <w:pStyle w:val="TableContents"/>
              <w:spacing w:before="0" w:after="283"/>
              <w:rPr/>
            </w:pPr>
            <w:r>
              <w:rPr/>
              <w:t>)</w:t>
            </w:r>
          </w:p>
        </w:tc>
        <w:tc>
          <w:tcPr>
            <w:tcW w:w="390"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66" w:type="dxa"/>
            <w:tcBorders/>
            <w:shd w:fill="CCEEFF" w:val="clear"/>
            <w:vAlign w:val="bottom"/>
          </w:tcPr>
          <w:p>
            <w:pPr>
              <w:pStyle w:val="TableContents"/>
              <w:spacing w:before="0" w:after="283"/>
              <w:jc w:val="right"/>
              <w:rPr/>
            </w:pPr>
            <w:r>
              <w:rPr/>
              <w:t>(131</w:t>
            </w:r>
          </w:p>
        </w:tc>
        <w:tc>
          <w:tcPr>
            <w:tcW w:w="127" w:type="dxa"/>
            <w:tcBorders/>
            <w:shd w:fill="CCEEFF" w:val="clear"/>
            <w:vAlign w:val="bottom"/>
          </w:tcPr>
          <w:p>
            <w:pPr>
              <w:pStyle w:val="TableContents"/>
              <w:spacing w:before="0" w:after="283"/>
              <w:rPr/>
            </w:pPr>
            <w:r>
              <w:rPr/>
              <w:t>)</w:t>
            </w:r>
          </w:p>
        </w:tc>
        <w:tc>
          <w:tcPr>
            <w:tcW w:w="392"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768" w:type="dxa"/>
            <w:tcBorders/>
            <w:shd w:fill="CCEEFF" w:val="clear"/>
            <w:vAlign w:val="bottom"/>
          </w:tcPr>
          <w:p>
            <w:pPr>
              <w:pStyle w:val="TableContents"/>
              <w:spacing w:before="0" w:after="283"/>
              <w:jc w:val="right"/>
              <w:rPr/>
            </w:pPr>
            <w:r>
              <w:rPr/>
              <w:t>(62</w:t>
            </w:r>
          </w:p>
        </w:tc>
        <w:tc>
          <w:tcPr>
            <w:tcW w:w="133" w:type="dxa"/>
            <w:tcBorders/>
            <w:shd w:fill="CCEEFF" w:val="clear"/>
            <w:vAlign w:val="bottom"/>
          </w:tcPr>
          <w:p>
            <w:pPr>
              <w:pStyle w:val="TableContents"/>
              <w:spacing w:before="0" w:after="283"/>
              <w:rPr/>
            </w:pPr>
            <w:r>
              <w:rPr/>
              <w:t>)</w:t>
            </w:r>
          </w:p>
        </w:tc>
      </w:tr>
      <w:tr>
        <w:trPr/>
        <w:tc>
          <w:tcPr>
            <w:tcW w:w="439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94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4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92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92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r>
        <w:trPr/>
        <w:tc>
          <w:tcPr>
            <w:tcW w:w="4391" w:type="dxa"/>
            <w:tcBorders/>
            <w:shd w:fill="auto" w:val="clear"/>
            <w:vAlign w:val="bottom"/>
          </w:tcPr>
          <w:p>
            <w:pPr>
              <w:pStyle w:val="TableContents"/>
              <w:spacing w:before="0" w:after="0"/>
              <w:ind w:left="225" w:right="0" w:hanging="225"/>
              <w:rPr/>
            </w:pPr>
            <w:r>
              <w:rPr/>
              <w:t>Consolidated income before income taxes</w:t>
            </w:r>
          </w:p>
        </w:tc>
        <w:tc>
          <w:tcPr>
            <w:tcW w:w="39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6" w:type="dxa"/>
            <w:tcBorders/>
            <w:shd w:fill="auto" w:val="clear"/>
            <w:vAlign w:val="bottom"/>
          </w:tcPr>
          <w:p>
            <w:pPr>
              <w:pStyle w:val="TableContents"/>
              <w:spacing w:before="0" w:after="283"/>
              <w:jc w:val="right"/>
              <w:rPr/>
            </w:pPr>
            <w:r>
              <w:rPr/>
              <w:t>10,733</w:t>
            </w:r>
          </w:p>
        </w:tc>
        <w:tc>
          <w:tcPr>
            <w:tcW w:w="130" w:type="dxa"/>
            <w:tcBorders/>
            <w:shd w:fill="auto" w:val="clear"/>
            <w:vAlign w:val="bottom"/>
          </w:tcPr>
          <w:p>
            <w:pPr>
              <w:pStyle w:val="TableContents"/>
              <w:spacing w:before="0" w:after="283"/>
              <w:rPr/>
            </w:pPr>
            <w:r>
              <w:rPr/>
              <w:t> </w:t>
            </w:r>
          </w:p>
        </w:tc>
        <w:tc>
          <w:tcPr>
            <w:tcW w:w="393"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jc w:val="left"/>
              <w:rPr/>
            </w:pPr>
            <w:r>
              <w:rPr/>
              <w:t>$</w:t>
            </w:r>
          </w:p>
        </w:tc>
        <w:tc>
          <w:tcPr>
            <w:tcW w:w="787" w:type="dxa"/>
            <w:tcBorders/>
            <w:shd w:fill="auto" w:val="clear"/>
            <w:vAlign w:val="bottom"/>
          </w:tcPr>
          <w:p>
            <w:pPr>
              <w:pStyle w:val="TableContents"/>
              <w:spacing w:before="0" w:after="283"/>
              <w:jc w:val="right"/>
              <w:rPr/>
            </w:pPr>
            <w:r>
              <w:rPr/>
              <w:t>8,817</w:t>
            </w:r>
          </w:p>
        </w:tc>
        <w:tc>
          <w:tcPr>
            <w:tcW w:w="124" w:type="dxa"/>
            <w:tcBorders/>
            <w:shd w:fill="auto" w:val="clear"/>
            <w:vAlign w:val="bottom"/>
          </w:tcPr>
          <w:p>
            <w:pPr>
              <w:pStyle w:val="TableContents"/>
              <w:spacing w:before="0" w:after="283"/>
              <w:rPr/>
            </w:pPr>
            <w:r>
              <w:rPr/>
              <w:t> </w:t>
            </w:r>
          </w:p>
        </w:tc>
        <w:tc>
          <w:tcPr>
            <w:tcW w:w="390"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6" w:type="dxa"/>
            <w:tcBorders/>
            <w:shd w:fill="auto" w:val="clear"/>
            <w:vAlign w:val="bottom"/>
          </w:tcPr>
          <w:p>
            <w:pPr>
              <w:pStyle w:val="TableContents"/>
              <w:spacing w:before="0" w:after="283"/>
              <w:jc w:val="right"/>
              <w:rPr/>
            </w:pPr>
            <w:r>
              <w:rPr/>
              <w:t>42,411</w:t>
            </w:r>
          </w:p>
        </w:tc>
        <w:tc>
          <w:tcPr>
            <w:tcW w:w="127"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w:t>
            </w:r>
          </w:p>
        </w:tc>
        <w:tc>
          <w:tcPr>
            <w:tcW w:w="768" w:type="dxa"/>
            <w:tcBorders/>
            <w:shd w:fill="auto" w:val="clear"/>
            <w:vAlign w:val="bottom"/>
          </w:tcPr>
          <w:p>
            <w:pPr>
              <w:pStyle w:val="TableContents"/>
              <w:spacing w:before="0" w:after="283"/>
              <w:jc w:val="right"/>
              <w:rPr/>
            </w:pPr>
            <w:r>
              <w:rPr/>
              <w:t>31,589</w:t>
            </w:r>
          </w:p>
        </w:tc>
        <w:tc>
          <w:tcPr>
            <w:tcW w:w="133" w:type="dxa"/>
            <w:tcBorders/>
            <w:shd w:fill="auto" w:val="clear"/>
            <w:vAlign w:val="bottom"/>
          </w:tcPr>
          <w:p>
            <w:pPr>
              <w:pStyle w:val="TableContents"/>
              <w:spacing w:before="0" w:after="283"/>
              <w:rPr/>
            </w:pPr>
            <w:r>
              <w:rPr/>
              <w:t> </w:t>
            </w:r>
          </w:p>
        </w:tc>
      </w:tr>
      <w:tr>
        <w:trPr/>
        <w:tc>
          <w:tcPr>
            <w:tcW w:w="4391" w:type="dxa"/>
            <w:tcBorders/>
            <w:shd w:fill="auto" w:val="clear"/>
            <w:vAlign w:val="center"/>
          </w:tcPr>
          <w:p>
            <w:pPr>
              <w:pStyle w:val="TableContents"/>
              <w:spacing w:before="0" w:after="0"/>
              <w:ind w:left="225" w:right="0" w:hanging="225"/>
              <w:rPr/>
            </w:pPr>
            <w:r>
              <w:rPr/>
              <w:t> </w:t>
            </w:r>
          </w:p>
        </w:tc>
        <w:tc>
          <w:tcPr>
            <w:tcW w:w="390" w:type="dxa"/>
            <w:tcBorders/>
            <w:shd w:fill="auto" w:val="clear"/>
            <w:vAlign w:val="center"/>
          </w:tcPr>
          <w:p>
            <w:pPr>
              <w:pStyle w:val="TableContents"/>
              <w:spacing w:before="0" w:after="283"/>
              <w:rPr/>
            </w:pPr>
            <w:r>
              <w:rPr/>
              <w:t> </w:t>
            </w:r>
          </w:p>
        </w:tc>
        <w:tc>
          <w:tcPr>
            <w:tcW w:w="94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0" w:type="dxa"/>
            <w:tcBorders/>
            <w:shd w:fill="auto" w:val="clear"/>
            <w:vAlign w:val="center"/>
          </w:tcPr>
          <w:p>
            <w:pPr>
              <w:pStyle w:val="TableContents"/>
              <w:spacing w:before="0" w:after="283"/>
              <w:rPr/>
            </w:pPr>
            <w:r>
              <w:rPr/>
              <w:t> </w:t>
            </w:r>
          </w:p>
        </w:tc>
        <w:tc>
          <w:tcPr>
            <w:tcW w:w="393" w:type="dxa"/>
            <w:tcBorders/>
            <w:shd w:fill="auto" w:val="clear"/>
            <w:vAlign w:val="center"/>
          </w:tcPr>
          <w:p>
            <w:pPr>
              <w:pStyle w:val="TableContents"/>
              <w:spacing w:before="0" w:after="283"/>
              <w:rPr/>
            </w:pPr>
            <w:r>
              <w:rPr/>
              <w:t> </w:t>
            </w:r>
          </w:p>
        </w:tc>
        <w:tc>
          <w:tcPr>
            <w:tcW w:w="94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4" w:type="dxa"/>
            <w:tcBorders/>
            <w:shd w:fill="auto" w:val="clear"/>
            <w:vAlign w:val="center"/>
          </w:tcPr>
          <w:p>
            <w:pPr>
              <w:pStyle w:val="TableContents"/>
              <w:spacing w:before="0" w:after="283"/>
              <w:rPr/>
            </w:pPr>
            <w:r>
              <w:rPr/>
              <w:t> </w:t>
            </w:r>
          </w:p>
        </w:tc>
        <w:tc>
          <w:tcPr>
            <w:tcW w:w="390" w:type="dxa"/>
            <w:tcBorders/>
            <w:shd w:fill="auto" w:val="clear"/>
            <w:vAlign w:val="center"/>
          </w:tcPr>
          <w:p>
            <w:pPr>
              <w:pStyle w:val="TableContents"/>
              <w:spacing w:before="0" w:after="283"/>
              <w:rPr/>
            </w:pPr>
            <w:r>
              <w:rPr/>
              <w:t> </w:t>
            </w:r>
          </w:p>
        </w:tc>
        <w:tc>
          <w:tcPr>
            <w:tcW w:w="92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7" w:type="dxa"/>
            <w:tcBorders/>
            <w:shd w:fill="auto" w:val="clear"/>
            <w:vAlign w:val="center"/>
          </w:tcPr>
          <w:p>
            <w:pPr>
              <w:pStyle w:val="TableContents"/>
              <w:spacing w:before="0" w:after="283"/>
              <w:rPr/>
            </w:pPr>
            <w:r>
              <w:rPr/>
              <w:t> </w:t>
            </w:r>
          </w:p>
        </w:tc>
        <w:tc>
          <w:tcPr>
            <w:tcW w:w="392" w:type="dxa"/>
            <w:tcBorders/>
            <w:shd w:fill="auto" w:val="clear"/>
            <w:vAlign w:val="center"/>
          </w:tcPr>
          <w:p>
            <w:pPr>
              <w:pStyle w:val="TableContents"/>
              <w:spacing w:before="0" w:after="283"/>
              <w:rPr/>
            </w:pPr>
            <w:r>
              <w:rPr/>
              <w:t> </w:t>
            </w:r>
          </w:p>
        </w:tc>
        <w:tc>
          <w:tcPr>
            <w:tcW w:w="92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3"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separately identified segment assets: </w:t>
      </w:r>
    </w:p>
    <w:tbl>
      <w:tblPr>
        <w:tblW w:w="5000" w:type="pct"/>
        <w:jc w:val="center"/>
        <w:tblInd w:w="0" w:type="dxa"/>
        <w:tblCellMar>
          <w:top w:w="0" w:type="dxa"/>
          <w:left w:w="0" w:type="dxa"/>
          <w:bottom w:w="0" w:type="dxa"/>
          <w:right w:w="0" w:type="dxa"/>
        </w:tblCellMar>
      </w:tblPr>
      <w:tblGrid>
        <w:gridCol w:w="5086"/>
        <w:gridCol w:w="370"/>
        <w:gridCol w:w="191"/>
        <w:gridCol w:w="947"/>
        <w:gridCol w:w="107"/>
        <w:gridCol w:w="370"/>
        <w:gridCol w:w="212"/>
        <w:gridCol w:w="1043"/>
        <w:gridCol w:w="107"/>
        <w:gridCol w:w="370"/>
        <w:gridCol w:w="217"/>
        <w:gridCol w:w="1070"/>
        <w:gridCol w:w="115"/>
      </w:tblGrid>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shd w:fill="auto" w:val="clear"/>
            <w:vAlign w:val="bottom"/>
          </w:tcPr>
          <w:p>
            <w:pPr>
              <w:pStyle w:val="TableContents"/>
              <w:spacing w:before="0" w:after="283"/>
              <w:jc w:val="right"/>
              <w:rPr/>
            </w:pPr>
            <w:r>
              <w:rPr/>
              <w:t>EZPAWN</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shd w:fill="auto" w:val="clear"/>
            <w:vAlign w:val="bottom"/>
          </w:tcPr>
          <w:p>
            <w:pPr>
              <w:pStyle w:val="TableContents"/>
              <w:spacing w:before="0" w:after="283"/>
              <w:jc w:val="right"/>
              <w:rPr/>
            </w:pPr>
            <w:r>
              <w:rPr/>
              <w:t>EZMONEY</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shd w:fill="auto" w:val="clear"/>
            <w:vAlign w:val="bottom"/>
          </w:tcPr>
          <w:p>
            <w:pPr>
              <w:pStyle w:val="TableContents"/>
              <w:spacing w:before="0" w:after="283"/>
              <w:jc w:val="right"/>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138"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55"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1287"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4634" w:type="dxa"/>
            <w:gridSpan w:val="10"/>
            <w:tcBorders/>
            <w:shd w:fill="auto" w:val="clear"/>
            <w:vAlign w:val="bottom"/>
          </w:tcPr>
          <w:p>
            <w:pPr>
              <w:pStyle w:val="TableContents"/>
              <w:spacing w:before="0" w:after="283"/>
              <w:jc w:val="center"/>
              <w:rPr>
                <w:i/>
              </w:rPr>
            </w:pPr>
            <w:r>
              <w:rPr>
                <w:i/>
              </w:rPr>
              <w:t>(in thousands)</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June 30, 2007:</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58,053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58,053</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487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4,027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4,514</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33,641</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33,641</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450"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92,181</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4,027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070" w:type="dxa"/>
            <w:tcBorders/>
            <w:shd w:fill="CCEEFF" w:val="clear"/>
            <w:vAlign w:val="bottom"/>
          </w:tcPr>
          <w:p>
            <w:pPr>
              <w:pStyle w:val="TableContents"/>
              <w:spacing w:before="0" w:after="283"/>
              <w:jc w:val="right"/>
              <w:rPr/>
            </w:pPr>
            <w:r>
              <w:rPr/>
              <w:t>96,208</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450"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486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21,023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21,509</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June 30, 2006:</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48,932</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48,932</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487</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1,479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1,966</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32,937</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32,937</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450"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82,356</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1,479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070" w:type="dxa"/>
            <w:tcBorders/>
            <w:shd w:fill="CCEEFF" w:val="clear"/>
            <w:vAlign w:val="bottom"/>
          </w:tcPr>
          <w:p>
            <w:pPr>
              <w:pStyle w:val="TableContents"/>
              <w:spacing w:before="0" w:after="283"/>
              <w:jc w:val="right"/>
              <w:rPr/>
            </w:pPr>
            <w:r>
              <w:rPr/>
              <w:t>83,835</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450"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508</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15,396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15,904</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225" w:right="0" w:hanging="225"/>
              <w:rPr/>
            </w:pPr>
            <w:r>
              <w:rPr/>
              <w:t> </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225" w:right="0" w:hanging="225"/>
              <w:rPr>
                <w:b/>
              </w:rPr>
            </w:pPr>
            <w:r>
              <w:rPr>
                <w:b/>
              </w:rPr>
              <w:t>Assets at September 30, 2006:</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Pawn loans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50,304</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50,304</w:t>
            </w:r>
          </w:p>
        </w:tc>
        <w:tc>
          <w:tcPr>
            <w:tcW w:w="115" w:type="dxa"/>
            <w:tcBorders/>
            <w:shd w:fill="auto" w:val="clear"/>
            <w:vAlign w:val="bottom"/>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450" w:right="0" w:hanging="225"/>
              <w:rPr/>
            </w:pPr>
            <w:r>
              <w:rPr/>
              <w:t>Payday loans, net</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rPr/>
            </w:pPr>
            <w:r>
              <w:rPr/>
              <w:t> </w:t>
            </w:r>
          </w:p>
        </w:tc>
        <w:tc>
          <w:tcPr>
            <w:tcW w:w="947" w:type="dxa"/>
            <w:tcBorders/>
            <w:shd w:fill="CCEEFF" w:val="clear"/>
            <w:vAlign w:val="bottom"/>
          </w:tcPr>
          <w:p>
            <w:pPr>
              <w:pStyle w:val="TableContents"/>
              <w:spacing w:before="0" w:after="283"/>
              <w:jc w:val="right"/>
              <w:rPr/>
            </w:pPr>
            <w:r>
              <w:rPr/>
              <w:t>489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rPr/>
            </w:pPr>
            <w:r>
              <w:rPr/>
              <w:t> </w:t>
            </w:r>
          </w:p>
        </w:tc>
        <w:tc>
          <w:tcPr>
            <w:tcW w:w="1043" w:type="dxa"/>
            <w:tcBorders/>
            <w:shd w:fill="CCEEFF" w:val="clear"/>
            <w:vAlign w:val="bottom"/>
          </w:tcPr>
          <w:p>
            <w:pPr>
              <w:pStyle w:val="TableContents"/>
              <w:spacing w:before="0" w:after="283"/>
              <w:jc w:val="right"/>
              <w:rPr/>
            </w:pPr>
            <w:r>
              <w:rPr/>
              <w:t>1,954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 </w:t>
            </w:r>
          </w:p>
        </w:tc>
        <w:tc>
          <w:tcPr>
            <w:tcW w:w="1070" w:type="dxa"/>
            <w:tcBorders/>
            <w:shd w:fill="CCEEFF" w:val="clear"/>
            <w:vAlign w:val="bottom"/>
          </w:tcPr>
          <w:p>
            <w:pPr>
              <w:pStyle w:val="TableContents"/>
              <w:spacing w:before="0" w:after="283"/>
              <w:jc w:val="right"/>
              <w:rPr/>
            </w:pPr>
            <w:r>
              <w:rPr/>
              <w:t>2,443</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bottom"/>
          </w:tcPr>
          <w:p>
            <w:pPr>
              <w:pStyle w:val="TableContents"/>
              <w:spacing w:before="0" w:after="0"/>
              <w:ind w:left="450" w:right="0" w:hanging="225"/>
              <w:rPr/>
            </w:pPr>
            <w:r>
              <w:rPr/>
              <w:t>Inventory, net</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rPr/>
            </w:pPr>
            <w:r>
              <w:rPr/>
              <w:t> </w:t>
            </w:r>
          </w:p>
        </w:tc>
        <w:tc>
          <w:tcPr>
            <w:tcW w:w="947" w:type="dxa"/>
            <w:tcBorders/>
            <w:shd w:fill="auto" w:val="clear"/>
            <w:vAlign w:val="bottom"/>
          </w:tcPr>
          <w:p>
            <w:pPr>
              <w:pStyle w:val="TableContents"/>
              <w:spacing w:before="0" w:after="283"/>
              <w:jc w:val="right"/>
              <w:rPr/>
            </w:pPr>
            <w:r>
              <w:rPr/>
              <w:t>35,616</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rPr/>
            </w:pPr>
            <w:r>
              <w:rPr/>
              <w:t> </w:t>
            </w:r>
          </w:p>
        </w:tc>
        <w:tc>
          <w:tcPr>
            <w:tcW w:w="1043" w:type="dxa"/>
            <w:tcBorders/>
            <w:shd w:fill="auto" w:val="clear"/>
            <w:vAlign w:val="bottom"/>
          </w:tcPr>
          <w:p>
            <w:pPr>
              <w:pStyle w:val="TableContents"/>
              <w:spacing w:before="0" w:after="283"/>
              <w:jc w:val="right"/>
              <w:rPr/>
            </w:pPr>
            <w:r>
              <w:rPr/>
              <w:t></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1070" w:type="dxa"/>
            <w:tcBorders/>
            <w:shd w:fill="auto" w:val="clear"/>
            <w:vAlign w:val="bottom"/>
          </w:tcPr>
          <w:p>
            <w:pPr>
              <w:pStyle w:val="TableContents"/>
              <w:spacing w:before="0" w:after="283"/>
              <w:jc w:val="right"/>
              <w:rPr/>
            </w:pPr>
            <w:r>
              <w:rPr/>
              <w:t>35,616</w:t>
            </w:r>
          </w:p>
        </w:tc>
        <w:tc>
          <w:tcPr>
            <w:tcW w:w="115" w:type="dxa"/>
            <w:tcBorders/>
            <w:shd w:fill="auto"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450"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CCEEFF" w:val="clear"/>
            <w:vAlign w:val="bottom"/>
          </w:tcPr>
          <w:p>
            <w:pPr>
              <w:pStyle w:val="TableContents"/>
              <w:spacing w:before="0" w:after="0"/>
              <w:ind w:left="675" w:right="0" w:hanging="225"/>
              <w:rPr/>
            </w:pPr>
            <w:r>
              <w:rPr/>
              <w:t>Total separately identified recorded segment assets</w:t>
            </w:r>
          </w:p>
        </w:tc>
        <w:tc>
          <w:tcPr>
            <w:tcW w:w="370" w:type="dxa"/>
            <w:tcBorders/>
            <w:shd w:fill="CCEEFF" w:val="clear"/>
            <w:vAlign w:val="bottom"/>
          </w:tcPr>
          <w:p>
            <w:pPr>
              <w:pStyle w:val="TableContents"/>
              <w:spacing w:before="0" w:after="283"/>
              <w:rPr/>
            </w:pPr>
            <w:r>
              <w:rPr/>
              <w:t> </w:t>
            </w:r>
          </w:p>
        </w:tc>
        <w:tc>
          <w:tcPr>
            <w:tcW w:w="191" w:type="dxa"/>
            <w:tcBorders/>
            <w:shd w:fill="CCEEFF" w:val="clear"/>
            <w:vAlign w:val="bottom"/>
          </w:tcPr>
          <w:p>
            <w:pPr>
              <w:pStyle w:val="TableContents"/>
              <w:spacing w:before="0" w:after="283"/>
              <w:jc w:val="left"/>
              <w:rPr/>
            </w:pPr>
            <w:r>
              <w:rPr/>
              <w:t>$</w:t>
            </w:r>
          </w:p>
        </w:tc>
        <w:tc>
          <w:tcPr>
            <w:tcW w:w="947" w:type="dxa"/>
            <w:tcBorders/>
            <w:shd w:fill="CCEEFF" w:val="clear"/>
            <w:vAlign w:val="bottom"/>
          </w:tcPr>
          <w:p>
            <w:pPr>
              <w:pStyle w:val="TableContents"/>
              <w:spacing w:before="0" w:after="283"/>
              <w:jc w:val="right"/>
              <w:rPr/>
            </w:pPr>
            <w:r>
              <w:rPr/>
              <w:t>86,409</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2" w:type="dxa"/>
            <w:tcBorders/>
            <w:shd w:fill="CCEEFF" w:val="clear"/>
            <w:vAlign w:val="bottom"/>
          </w:tcPr>
          <w:p>
            <w:pPr>
              <w:pStyle w:val="TableContents"/>
              <w:spacing w:before="0" w:after="283"/>
              <w:jc w:val="left"/>
              <w:rPr/>
            </w:pPr>
            <w:r>
              <w:rPr/>
              <w:t>$</w:t>
            </w:r>
          </w:p>
        </w:tc>
        <w:tc>
          <w:tcPr>
            <w:tcW w:w="1043" w:type="dxa"/>
            <w:tcBorders/>
            <w:shd w:fill="CCEEFF" w:val="clear"/>
            <w:vAlign w:val="bottom"/>
          </w:tcPr>
          <w:p>
            <w:pPr>
              <w:pStyle w:val="TableContents"/>
              <w:spacing w:before="0" w:after="283"/>
              <w:jc w:val="right"/>
              <w:rPr/>
            </w:pPr>
            <w:r>
              <w:rPr/>
              <w:t>1,954</w:t>
            </w:r>
          </w:p>
        </w:tc>
        <w:tc>
          <w:tcPr>
            <w:tcW w:w="107" w:type="dxa"/>
            <w:tcBorders/>
            <w:shd w:fill="CCEEFF" w:val="clear"/>
            <w:vAlign w:val="bottom"/>
          </w:tcPr>
          <w:p>
            <w:pPr>
              <w:pStyle w:val="TableContents"/>
              <w:spacing w:before="0" w:after="283"/>
              <w:rPr/>
            </w:pPr>
            <w:r>
              <w:rPr/>
              <w:t> </w:t>
            </w:r>
          </w:p>
        </w:tc>
        <w:tc>
          <w:tcPr>
            <w:tcW w:w="37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jc w:val="left"/>
              <w:rPr/>
            </w:pPr>
            <w:r>
              <w:rPr/>
              <w:t>$</w:t>
            </w:r>
          </w:p>
        </w:tc>
        <w:tc>
          <w:tcPr>
            <w:tcW w:w="1070" w:type="dxa"/>
            <w:tcBorders/>
            <w:shd w:fill="CCEEFF" w:val="clear"/>
            <w:vAlign w:val="bottom"/>
          </w:tcPr>
          <w:p>
            <w:pPr>
              <w:pStyle w:val="TableContents"/>
              <w:spacing w:before="0" w:after="283"/>
              <w:jc w:val="right"/>
              <w:rPr/>
            </w:pPr>
            <w:r>
              <w:rPr/>
              <w:t>88,363</w:t>
            </w:r>
          </w:p>
        </w:tc>
        <w:tc>
          <w:tcPr>
            <w:tcW w:w="115" w:type="dxa"/>
            <w:tcBorders/>
            <w:shd w:fill="CCEEFF" w:val="clear"/>
            <w:vAlign w:val="bottom"/>
          </w:tcPr>
          <w:p>
            <w:pPr>
              <w:pStyle w:val="TableContents"/>
              <w:spacing w:before="0" w:after="283"/>
              <w:rPr/>
            </w:pPr>
            <w:r>
              <w:rPr/>
              <w:t> </w:t>
            </w:r>
          </w:p>
        </w:tc>
      </w:tr>
      <w:tr>
        <w:trPr/>
        <w:tc>
          <w:tcPr>
            <w:tcW w:w="5086" w:type="dxa"/>
            <w:tcBorders/>
            <w:shd w:fill="auto" w:val="clear"/>
            <w:vAlign w:val="center"/>
          </w:tcPr>
          <w:p>
            <w:pPr>
              <w:pStyle w:val="TableContents"/>
              <w:spacing w:before="0" w:after="0"/>
              <w:ind w:left="450" w:right="0" w:hanging="225"/>
              <w:rPr/>
            </w:pPr>
            <w:r>
              <w:rPr/>
              <w:t> </w:t>
            </w:r>
          </w:p>
        </w:tc>
        <w:tc>
          <w:tcPr>
            <w:tcW w:w="370" w:type="dxa"/>
            <w:tcBorders/>
            <w:shd w:fill="auto" w:val="clear"/>
            <w:vAlign w:val="center"/>
          </w:tcPr>
          <w:p>
            <w:pPr>
              <w:pStyle w:val="TableContents"/>
              <w:spacing w:before="0" w:after="283"/>
              <w:rPr/>
            </w:pPr>
            <w:r>
              <w:rPr/>
              <w:t> </w:t>
            </w:r>
          </w:p>
        </w:tc>
        <w:tc>
          <w:tcPr>
            <w:tcW w:w="113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5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7" w:type="dxa"/>
            <w:tcBorders/>
            <w:shd w:fill="auto" w:val="clear"/>
            <w:vAlign w:val="center"/>
          </w:tcPr>
          <w:p>
            <w:pPr>
              <w:pStyle w:val="TableContents"/>
              <w:spacing w:before="0" w:after="283"/>
              <w:rPr/>
            </w:pPr>
            <w:r>
              <w:rPr/>
              <w:t> </w:t>
            </w:r>
          </w:p>
        </w:tc>
        <w:tc>
          <w:tcPr>
            <w:tcW w:w="370" w:type="dxa"/>
            <w:tcBorders/>
            <w:shd w:fill="auto" w:val="clear"/>
            <w:vAlign w:val="center"/>
          </w:tcPr>
          <w:p>
            <w:pPr>
              <w:pStyle w:val="TableContents"/>
              <w:spacing w:before="0" w:after="283"/>
              <w:rPr/>
            </w:pPr>
            <w:r>
              <w:rPr/>
              <w:t> </w:t>
            </w:r>
          </w:p>
        </w:tc>
        <w:tc>
          <w:tcPr>
            <w:tcW w:w="128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5" w:type="dxa"/>
            <w:tcBorders/>
            <w:shd w:fill="auto" w:val="clear"/>
            <w:vAlign w:val="center"/>
          </w:tcPr>
          <w:p>
            <w:pPr>
              <w:pStyle w:val="TableContents"/>
              <w:spacing w:before="0" w:after="283"/>
              <w:rPr/>
            </w:pPr>
            <w:r>
              <w:rPr/>
              <w:t> </w:t>
            </w:r>
          </w:p>
        </w:tc>
      </w:tr>
      <w:tr>
        <w:trPr/>
        <w:tc>
          <w:tcPr>
            <w:tcW w:w="5086" w:type="dxa"/>
            <w:tcBorders/>
            <w:shd w:fill="auto" w:val="clear"/>
            <w:vAlign w:val="bottom"/>
          </w:tcPr>
          <w:p>
            <w:pPr>
              <w:pStyle w:val="TableContents"/>
              <w:spacing w:before="0" w:after="0"/>
              <w:ind w:left="675" w:right="0" w:hanging="225"/>
              <w:rPr/>
            </w:pPr>
            <w:r>
              <w:rPr/>
              <w:t>Brokered loans outstanding from unaffiliated lenders</w:t>
            </w:r>
          </w:p>
        </w:tc>
        <w:tc>
          <w:tcPr>
            <w:tcW w:w="370" w:type="dxa"/>
            <w:tcBorders/>
            <w:shd w:fill="auto" w:val="clear"/>
            <w:vAlign w:val="bottom"/>
          </w:tcPr>
          <w:p>
            <w:pPr>
              <w:pStyle w:val="TableContents"/>
              <w:spacing w:before="0" w:after="283"/>
              <w:rPr/>
            </w:pPr>
            <w:r>
              <w:rPr/>
              <w:t> </w:t>
            </w:r>
          </w:p>
        </w:tc>
        <w:tc>
          <w:tcPr>
            <w:tcW w:w="191" w:type="dxa"/>
            <w:tcBorders/>
            <w:shd w:fill="auto" w:val="clear"/>
            <w:vAlign w:val="bottom"/>
          </w:tcPr>
          <w:p>
            <w:pPr>
              <w:pStyle w:val="TableContents"/>
              <w:spacing w:before="0" w:after="283"/>
              <w:jc w:val="left"/>
              <w:rPr/>
            </w:pPr>
            <w:r>
              <w:rPr/>
              <w:t>$</w:t>
            </w:r>
          </w:p>
        </w:tc>
        <w:tc>
          <w:tcPr>
            <w:tcW w:w="947" w:type="dxa"/>
            <w:tcBorders/>
            <w:shd w:fill="auto" w:val="clear"/>
            <w:vAlign w:val="bottom"/>
          </w:tcPr>
          <w:p>
            <w:pPr>
              <w:pStyle w:val="TableContents"/>
              <w:spacing w:before="0" w:after="283"/>
              <w:jc w:val="right"/>
              <w:rPr/>
            </w:pPr>
            <w:r>
              <w:rPr/>
              <w:t>553</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2" w:type="dxa"/>
            <w:tcBorders/>
            <w:shd w:fill="auto" w:val="clear"/>
            <w:vAlign w:val="bottom"/>
          </w:tcPr>
          <w:p>
            <w:pPr>
              <w:pStyle w:val="TableContents"/>
              <w:spacing w:before="0" w:after="283"/>
              <w:jc w:val="left"/>
              <w:rPr/>
            </w:pPr>
            <w:r>
              <w:rPr/>
              <w:t>$</w:t>
            </w:r>
          </w:p>
        </w:tc>
        <w:tc>
          <w:tcPr>
            <w:tcW w:w="1043" w:type="dxa"/>
            <w:tcBorders/>
            <w:shd w:fill="auto" w:val="clear"/>
            <w:vAlign w:val="bottom"/>
          </w:tcPr>
          <w:p>
            <w:pPr>
              <w:pStyle w:val="TableContents"/>
              <w:spacing w:before="0" w:after="283"/>
              <w:jc w:val="right"/>
              <w:rPr/>
            </w:pPr>
            <w:r>
              <w:rPr/>
              <w:t>17,657</w:t>
            </w:r>
          </w:p>
        </w:tc>
        <w:tc>
          <w:tcPr>
            <w:tcW w:w="107" w:type="dxa"/>
            <w:tcBorders/>
            <w:shd w:fill="auto" w:val="clear"/>
            <w:vAlign w:val="bottom"/>
          </w:tcPr>
          <w:p>
            <w:pPr>
              <w:pStyle w:val="TableContents"/>
              <w:spacing w:before="0" w:after="283"/>
              <w:rPr/>
            </w:pPr>
            <w:r>
              <w:rPr/>
              <w:t> </w:t>
            </w:r>
          </w:p>
        </w:tc>
        <w:tc>
          <w:tcPr>
            <w:tcW w:w="37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jc w:val="left"/>
              <w:rPr/>
            </w:pPr>
            <w:r>
              <w:rPr/>
              <w:t>$</w:t>
            </w:r>
          </w:p>
        </w:tc>
        <w:tc>
          <w:tcPr>
            <w:tcW w:w="1070" w:type="dxa"/>
            <w:tcBorders/>
            <w:shd w:fill="auto" w:val="clear"/>
            <w:vAlign w:val="bottom"/>
          </w:tcPr>
          <w:p>
            <w:pPr>
              <w:pStyle w:val="TableContents"/>
              <w:spacing w:before="0" w:after="283"/>
              <w:jc w:val="right"/>
              <w:rPr/>
            </w:pPr>
            <w:r>
              <w:rPr/>
              <w:t>18,210</w:t>
            </w:r>
          </w:p>
        </w:tc>
        <w:tc>
          <w:tcPr>
            <w:tcW w:w="115"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Brokered loans are not recorded as an asset on our balance sheet, as we do not own a participation in the loans made by independent lenders. We monitor the principal balance of these loans, as our credit service fees and bad debt are directly related to their volume due to the letters of credit we issue on these loans. The balance shown above is the gross principal balance of the loans outstanding. </w:t>
      </w:r>
    </w:p>
    <w:p>
      <w:pPr>
        <w:pStyle w:val="TextBody"/>
        <w:spacing w:before="240" w:after="283"/>
        <w:jc w:val="left"/>
        <w:rPr>
          <w:rFonts w:ascii="Times New Roman;Times;serif" w:hAnsi="Times New Roman;Times;serif"/>
          <w:sz w:val="17"/>
        </w:rPr>
      </w:pPr>
      <w:r>
        <w:rPr>
          <w:rFonts w:ascii="Times New Roman;Times;serif" w:hAnsi="Times New Roman;Times;serif"/>
          <w:b/>
          <w:sz w:val="17"/>
        </w:rPr>
        <w:t>Note L: Subsequent Event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July 11 2007, Albemarle &amp; Bond announced its acquisition of a 26-store competitor in the United Kingdom. In conjunction with that transaction, Albemarle &amp; Bond issued to the seller and sold in a private placement a total of 7,346,335 newly issued shares of its common stock. On July 11, 2007, we purchased 3,022,209 of those additional shares for $13.4 million. The purchase increased our ownership percentage to 29.95% of A&amp;Bs outstanding shares. Because we include A&amp;Bs earnings in our financial statements on a three-month lag as described in Note E, </w:t>
      </w:r>
      <w:r>
        <w:rPr>
          <w:rFonts w:ascii="Times New Roman;Times;serif" w:hAnsi="Times New Roman;Times;serif"/>
          <w:i/>
          <w:sz w:val="17"/>
        </w:rPr>
        <w:t xml:space="preserve">Investment in Unconsolidated Affiliate, </w:t>
      </w:r>
      <w:r>
        <w:rPr>
          <w:rFonts w:ascii="Times New Roman;Times;serif" w:hAnsi="Times New Roman;Times;serif"/>
          <w:sz w:val="17"/>
        </w:rPr>
        <w:t xml:space="preserve">our incremental share of A&amp;Bs results of operations will first be reflected in our results in the quarter ending December 31, 2007. </w:t>
      </w:r>
    </w:p>
    <w:p>
      <w:pPr>
        <w:pStyle w:val="TextBody"/>
        <w:jc w:val="center"/>
        <w:rPr>
          <w:rFonts w:ascii="Times New Roman;Times;serif" w:hAnsi="Times New Roman;Times;serif"/>
          <w:sz w:val="17"/>
        </w:rPr>
      </w:pPr>
      <w:r>
        <w:rPr>
          <w:rFonts w:ascii="Times New Roman;Times;serif" w:hAnsi="Times New Roman;Times;serif"/>
          <w:sz w:val="17"/>
        </w:rPr>
        <w:t xml:space="preserve">13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9" w:name="306"/>
      <w:bookmarkEnd w:id="9"/>
      <w:r>
        <w:rPr>
          <w:rFonts w:ascii="Times New Roman;Times;serif" w:hAnsi="Times New Roman;Times;serif"/>
          <w:b/>
          <w:i/>
          <w:sz w:val="17"/>
        </w:rPr>
        <w:t>Item 2. Managements Discussion and Analysis of Financial Condition and 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discussion in this section contains forward-looking statements that involve risks and uncertainties. Our actual results could differ materially from those forward-looking statements. Factors that could cause or contribute to these differences include, but are not limited to, those discussed in this section and throughout this report. </w:t>
      </w:r>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Third Quarter Ended June 30, 2007 vs. Third Quarter Ended June 30,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three-month periods ended June 30, 2007 and 2006 (current quarter and prior year quarter): </w:t>
      </w:r>
    </w:p>
    <w:tbl>
      <w:tblPr>
        <w:tblW w:w="5000" w:type="pct"/>
        <w:jc w:val="center"/>
        <w:tblInd w:w="0" w:type="dxa"/>
        <w:tblCellMar>
          <w:top w:w="0" w:type="dxa"/>
          <w:left w:w="0" w:type="dxa"/>
          <w:bottom w:w="0" w:type="dxa"/>
          <w:right w:w="0" w:type="dxa"/>
        </w:tblCellMar>
      </w:tblPr>
      <w:tblGrid>
        <w:gridCol w:w="4697"/>
        <w:gridCol w:w="371"/>
        <w:gridCol w:w="231"/>
        <w:gridCol w:w="1136"/>
        <w:gridCol w:w="136"/>
        <w:gridCol w:w="398"/>
        <w:gridCol w:w="231"/>
        <w:gridCol w:w="1138"/>
        <w:gridCol w:w="108"/>
        <w:gridCol w:w="371"/>
        <w:gridCol w:w="156"/>
        <w:gridCol w:w="1002"/>
        <w:gridCol w:w="230"/>
      </w:tblGrid>
      <w:tr>
        <w:trPr/>
        <w:tc>
          <w:tcPr>
            <w:tcW w:w="469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270" w:type="dxa"/>
            <w:gridSpan w:val="6"/>
            <w:tcBorders/>
            <w:shd w:fill="auto" w:val="clear"/>
            <w:vAlign w:val="bottom"/>
          </w:tcPr>
          <w:p>
            <w:pPr>
              <w:pStyle w:val="TableContents"/>
              <w:spacing w:before="0" w:after="283"/>
              <w:jc w:val="center"/>
              <w:rPr/>
            </w:pPr>
            <w:r>
              <w:rPr/>
              <w:t>Three Months Ended June 30,</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58" w:type="dxa"/>
            <w:gridSpan w:val="2"/>
            <w:tcBorders/>
            <w:shd w:fill="auto" w:val="clear"/>
            <w:vAlign w:val="bottom"/>
          </w:tcPr>
          <w:p>
            <w:pPr>
              <w:pStyle w:val="TableContents"/>
              <w:spacing w:before="0" w:after="283"/>
              <w:jc w:val="center"/>
              <w:rPr/>
            </w:pPr>
            <w:r>
              <w:rPr/>
              <w:t>Percentage</w:t>
            </w:r>
          </w:p>
        </w:tc>
        <w:tc>
          <w:tcPr>
            <w:tcW w:w="230"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36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36" w:type="dxa"/>
            <w:tcBorders>
              <w:bottom w:val="single" w:sz="2" w:space="0" w:color="000000"/>
            </w:tcBorders>
            <w:shd w:fill="auto" w:val="clear"/>
            <w:tcMar>
              <w:bottom w:w="28" w:type="dxa"/>
            </w:tcMar>
            <w:vAlign w:val="bottom"/>
          </w:tcPr>
          <w:p>
            <w:pPr>
              <w:pStyle w:val="TableContents"/>
              <w:spacing w:before="0" w:after="283"/>
              <w:rPr/>
            </w:pPr>
            <w:r>
              <w:rPr/>
              <w:t> </w:t>
            </w:r>
          </w:p>
        </w:tc>
        <w:tc>
          <w:tcPr>
            <w:tcW w:w="398" w:type="dxa"/>
            <w:tcBorders>
              <w:bottom w:val="single" w:sz="2" w:space="0" w:color="000000"/>
            </w:tcBorders>
            <w:shd w:fill="auto" w:val="clear"/>
            <w:tcMar>
              <w:bottom w:w="28" w:type="dxa"/>
            </w:tcMar>
            <w:vAlign w:val="bottom"/>
          </w:tcPr>
          <w:p>
            <w:pPr>
              <w:pStyle w:val="TableContents"/>
              <w:spacing w:before="0" w:after="283"/>
              <w:rPr/>
            </w:pPr>
            <w:r>
              <w:rPr/>
              <w:t> </w:t>
            </w:r>
          </w:p>
        </w:tc>
        <w:tc>
          <w:tcPr>
            <w:tcW w:w="136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158"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30" w:type="dxa"/>
            <w:tcBorders/>
            <w:shd w:fill="auto"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3270" w:type="dxa"/>
            <w:gridSpan w:val="6"/>
            <w:tcBorders/>
            <w:shd w:fill="auto" w:val="clear"/>
            <w:vAlign w:val="bottom"/>
          </w:tcPr>
          <w:p>
            <w:pPr>
              <w:pStyle w:val="TableContents"/>
              <w:spacing w:before="0" w:after="283"/>
              <w:jc w:val="center"/>
              <w:rPr>
                <w:i/>
              </w:rPr>
            </w:pPr>
            <w:r>
              <w:rPr>
                <w:i/>
              </w:rPr>
              <w:t>(Dollars in thousands)</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rPr/>
            </w:pPr>
            <w:r>
              <w:rPr/>
              <w:t> </w:t>
            </w:r>
          </w:p>
        </w:tc>
        <w:tc>
          <w:tcPr>
            <w:tcW w:w="1002"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4697" w:type="dxa"/>
            <w:tcBorders/>
            <w:shd w:fill="CCEEFF" w:val="clear"/>
            <w:vAlign w:val="bottom"/>
          </w:tcPr>
          <w:p>
            <w:pPr>
              <w:pStyle w:val="TableContents"/>
              <w:spacing w:before="0" w:after="0"/>
              <w:ind w:left="225" w:right="0" w:hanging="225"/>
              <w:rPr/>
            </w:pPr>
            <w:r>
              <w:rPr/>
              <w:t>Net revenues:</w:t>
            </w:r>
          </w:p>
        </w:tc>
        <w:tc>
          <w:tcPr>
            <w:tcW w:w="37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rPr/>
            </w:pPr>
            <w:r>
              <w:rPr/>
              <w:t> </w:t>
            </w:r>
          </w:p>
        </w:tc>
        <w:tc>
          <w:tcPr>
            <w:tcW w:w="1002"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r>
      <w:tr>
        <w:trPr/>
        <w:tc>
          <w:tcPr>
            <w:tcW w:w="4697" w:type="dxa"/>
            <w:tcBorders/>
            <w:shd w:fill="auto" w:val="clear"/>
            <w:vAlign w:val="bottom"/>
          </w:tcPr>
          <w:p>
            <w:pPr>
              <w:pStyle w:val="TableContents"/>
              <w:spacing w:before="0" w:after="0"/>
              <w:ind w:left="450" w:right="0" w:hanging="225"/>
              <w:rPr/>
            </w:pPr>
            <w:r>
              <w:rPr/>
              <w:t>Sales</w:t>
            </w:r>
          </w:p>
        </w:tc>
        <w:tc>
          <w:tcPr>
            <w:tcW w:w="37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136" w:type="dxa"/>
            <w:tcBorders/>
            <w:shd w:fill="auto" w:val="clear"/>
            <w:vAlign w:val="bottom"/>
          </w:tcPr>
          <w:p>
            <w:pPr>
              <w:pStyle w:val="TableContents"/>
              <w:spacing w:before="0" w:after="283"/>
              <w:jc w:val="right"/>
              <w:rPr/>
            </w:pPr>
            <w:r>
              <w:rPr/>
              <w:t>42,676</w:t>
            </w:r>
          </w:p>
        </w:tc>
        <w:tc>
          <w:tcPr>
            <w:tcW w:w="13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138" w:type="dxa"/>
            <w:tcBorders/>
            <w:shd w:fill="auto" w:val="clear"/>
            <w:vAlign w:val="bottom"/>
          </w:tcPr>
          <w:p>
            <w:pPr>
              <w:pStyle w:val="TableContents"/>
              <w:spacing w:before="0" w:after="283"/>
              <w:jc w:val="right"/>
              <w:rPr/>
            </w:pPr>
            <w:r>
              <w:rPr/>
              <w:t>40,640</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1002" w:type="dxa"/>
            <w:tcBorders/>
            <w:shd w:fill="auto" w:val="clear"/>
            <w:vAlign w:val="bottom"/>
          </w:tcPr>
          <w:p>
            <w:pPr>
              <w:pStyle w:val="TableContents"/>
              <w:spacing w:before="0" w:after="283"/>
              <w:jc w:val="right"/>
              <w:rPr/>
            </w:pPr>
            <w:r>
              <w:rPr/>
              <w:t>5.0</w:t>
            </w:r>
          </w:p>
        </w:tc>
        <w:tc>
          <w:tcPr>
            <w:tcW w:w="230" w:type="dxa"/>
            <w:tcBorders/>
            <w:shd w:fill="auto" w:val="clear"/>
            <w:vAlign w:val="bottom"/>
          </w:tcPr>
          <w:p>
            <w:pPr>
              <w:pStyle w:val="TableContents"/>
              <w:spacing w:before="0" w:after="283"/>
              <w:rPr/>
            </w:pPr>
            <w:r>
              <w:rPr/>
              <w:t>%</w:t>
            </w:r>
          </w:p>
        </w:tc>
      </w:tr>
      <w:tr>
        <w:trPr/>
        <w:tc>
          <w:tcPr>
            <w:tcW w:w="4697" w:type="dxa"/>
            <w:tcBorders/>
            <w:shd w:fill="CCEEFF" w:val="clear"/>
            <w:vAlign w:val="bottom"/>
          </w:tcPr>
          <w:p>
            <w:pPr>
              <w:pStyle w:val="TableContents"/>
              <w:spacing w:before="0" w:after="0"/>
              <w:ind w:left="450" w:right="0" w:hanging="225"/>
              <w:rPr/>
            </w:pPr>
            <w:r>
              <w:rPr/>
              <w:t>Pawn service charges</w:t>
            </w:r>
          </w:p>
        </w:tc>
        <w:tc>
          <w:tcPr>
            <w:tcW w:w="37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16,978</w:t>
            </w:r>
          </w:p>
        </w:tc>
        <w:tc>
          <w:tcPr>
            <w:tcW w:w="13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15,021</w:t>
            </w:r>
          </w:p>
        </w:tc>
        <w:tc>
          <w:tcPr>
            <w:tcW w:w="10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1002" w:type="dxa"/>
            <w:tcBorders/>
            <w:shd w:fill="CCEEFF" w:val="clear"/>
            <w:vAlign w:val="bottom"/>
          </w:tcPr>
          <w:p>
            <w:pPr>
              <w:pStyle w:val="TableContents"/>
              <w:spacing w:before="0" w:after="283"/>
              <w:jc w:val="right"/>
              <w:rPr/>
            </w:pPr>
            <w:r>
              <w:rPr/>
              <w:t>13.0</w:t>
            </w:r>
          </w:p>
        </w:tc>
        <w:tc>
          <w:tcPr>
            <w:tcW w:w="230" w:type="dxa"/>
            <w:tcBorders/>
            <w:shd w:fill="CCEEFF" w:val="clear"/>
            <w:vAlign w:val="bottom"/>
          </w:tcPr>
          <w:p>
            <w:pPr>
              <w:pStyle w:val="TableContents"/>
              <w:spacing w:before="0" w:after="283"/>
              <w:rPr/>
            </w:pPr>
            <w:r>
              <w:rPr/>
              <w:t>%</w:t>
            </w:r>
          </w:p>
        </w:tc>
      </w:tr>
      <w:tr>
        <w:trPr/>
        <w:tc>
          <w:tcPr>
            <w:tcW w:w="4697" w:type="dxa"/>
            <w:tcBorders/>
            <w:shd w:fill="auto" w:val="clear"/>
            <w:vAlign w:val="bottom"/>
          </w:tcPr>
          <w:p>
            <w:pPr>
              <w:pStyle w:val="TableContents"/>
              <w:spacing w:before="0" w:after="0"/>
              <w:ind w:left="450" w:right="0" w:hanging="225"/>
              <w:rPr/>
            </w:pPr>
            <w:r>
              <w:rPr/>
              <w:t>Signature loan fees</w:t>
            </w:r>
          </w:p>
        </w:tc>
        <w:tc>
          <w:tcPr>
            <w:tcW w:w="37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27,024</w:t>
            </w:r>
          </w:p>
        </w:tc>
        <w:tc>
          <w:tcPr>
            <w:tcW w:w="13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17,821</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1002" w:type="dxa"/>
            <w:tcBorders/>
            <w:shd w:fill="auto" w:val="clear"/>
            <w:vAlign w:val="bottom"/>
          </w:tcPr>
          <w:p>
            <w:pPr>
              <w:pStyle w:val="TableContents"/>
              <w:spacing w:before="0" w:after="283"/>
              <w:jc w:val="right"/>
              <w:rPr/>
            </w:pPr>
            <w:r>
              <w:rPr/>
              <w:t>51.6</w:t>
            </w:r>
          </w:p>
        </w:tc>
        <w:tc>
          <w:tcPr>
            <w:tcW w:w="230" w:type="dxa"/>
            <w:tcBorders/>
            <w:shd w:fill="auto" w:val="clear"/>
            <w:vAlign w:val="bottom"/>
          </w:tcPr>
          <w:p>
            <w:pPr>
              <w:pStyle w:val="TableContents"/>
              <w:spacing w:before="0" w:after="283"/>
              <w:rPr/>
            </w:pPr>
            <w:r>
              <w:rPr/>
              <w:t>%</w:t>
            </w:r>
          </w:p>
        </w:tc>
      </w:tr>
      <w:tr>
        <w:trPr/>
        <w:tc>
          <w:tcPr>
            <w:tcW w:w="4697" w:type="dxa"/>
            <w:tcBorders/>
            <w:shd w:fill="CCEEFF" w:val="clear"/>
            <w:vAlign w:val="bottom"/>
          </w:tcPr>
          <w:p>
            <w:pPr>
              <w:pStyle w:val="TableContents"/>
              <w:spacing w:before="0" w:after="0"/>
              <w:ind w:left="450" w:right="0" w:hanging="225"/>
              <w:rPr/>
            </w:pPr>
            <w:r>
              <w:rPr/>
              <w:t>Other</w:t>
            </w:r>
          </w:p>
        </w:tc>
        <w:tc>
          <w:tcPr>
            <w:tcW w:w="37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315</w:t>
            </w:r>
          </w:p>
        </w:tc>
        <w:tc>
          <w:tcPr>
            <w:tcW w:w="13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304</w:t>
            </w:r>
          </w:p>
        </w:tc>
        <w:tc>
          <w:tcPr>
            <w:tcW w:w="10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1002" w:type="dxa"/>
            <w:tcBorders/>
            <w:shd w:fill="CCEEFF" w:val="clear"/>
            <w:vAlign w:val="bottom"/>
          </w:tcPr>
          <w:p>
            <w:pPr>
              <w:pStyle w:val="TableContents"/>
              <w:spacing w:before="0" w:after="283"/>
              <w:jc w:val="right"/>
              <w:rPr/>
            </w:pPr>
            <w:r>
              <w:rPr/>
              <w:t>3.6</w:t>
            </w:r>
          </w:p>
        </w:tc>
        <w:tc>
          <w:tcPr>
            <w:tcW w:w="230" w:type="dxa"/>
            <w:tcBorders/>
            <w:shd w:fill="CCEEFF" w:val="clear"/>
            <w:vAlign w:val="bottom"/>
          </w:tcPr>
          <w:p>
            <w:pPr>
              <w:pStyle w:val="TableContents"/>
              <w:spacing w:before="0" w:after="283"/>
              <w:rPr/>
            </w:pPr>
            <w:r>
              <w:rPr/>
              <w:t>%</w:t>
            </w:r>
          </w:p>
        </w:tc>
      </w:tr>
      <w:tr>
        <w:trPr/>
        <w:tc>
          <w:tcPr>
            <w:tcW w:w="469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3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3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697" w:type="dxa"/>
            <w:tcBorders/>
            <w:shd w:fill="auto" w:val="clear"/>
            <w:vAlign w:val="bottom"/>
          </w:tcPr>
          <w:p>
            <w:pPr>
              <w:pStyle w:val="TableContents"/>
              <w:spacing w:before="0" w:after="0"/>
              <w:ind w:left="675" w:right="0" w:hanging="225"/>
              <w:rPr/>
            </w:pPr>
            <w:r>
              <w:rPr/>
              <w:t>Total revenues</w:t>
            </w:r>
          </w:p>
        </w:tc>
        <w:tc>
          <w:tcPr>
            <w:tcW w:w="37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86,993</w:t>
            </w:r>
          </w:p>
        </w:tc>
        <w:tc>
          <w:tcPr>
            <w:tcW w:w="13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rPr/>
            </w:pPr>
            <w:r>
              <w:rPr/>
              <w:t> </w:t>
            </w:r>
          </w:p>
        </w:tc>
        <w:tc>
          <w:tcPr>
            <w:tcW w:w="1138" w:type="dxa"/>
            <w:tcBorders/>
            <w:shd w:fill="auto" w:val="clear"/>
            <w:vAlign w:val="bottom"/>
          </w:tcPr>
          <w:p>
            <w:pPr>
              <w:pStyle w:val="TableContents"/>
              <w:spacing w:before="0" w:after="283"/>
              <w:jc w:val="right"/>
              <w:rPr/>
            </w:pPr>
            <w:r>
              <w:rPr/>
              <w:t>73,786</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1002" w:type="dxa"/>
            <w:tcBorders/>
            <w:shd w:fill="auto" w:val="clear"/>
            <w:vAlign w:val="bottom"/>
          </w:tcPr>
          <w:p>
            <w:pPr>
              <w:pStyle w:val="TableContents"/>
              <w:spacing w:before="0" w:after="283"/>
              <w:jc w:val="right"/>
              <w:rPr/>
            </w:pPr>
            <w:r>
              <w:rPr/>
              <w:t>17.9</w:t>
            </w:r>
          </w:p>
        </w:tc>
        <w:tc>
          <w:tcPr>
            <w:tcW w:w="230" w:type="dxa"/>
            <w:tcBorders/>
            <w:shd w:fill="auto" w:val="clear"/>
            <w:vAlign w:val="bottom"/>
          </w:tcPr>
          <w:p>
            <w:pPr>
              <w:pStyle w:val="TableContents"/>
              <w:spacing w:before="0" w:after="283"/>
              <w:rPr/>
            </w:pPr>
            <w:r>
              <w:rPr/>
              <w:t>%</w:t>
            </w:r>
          </w:p>
        </w:tc>
      </w:tr>
      <w:tr>
        <w:trPr/>
        <w:tc>
          <w:tcPr>
            <w:tcW w:w="4697" w:type="dxa"/>
            <w:tcBorders/>
            <w:shd w:fill="CCEEFF" w:val="clear"/>
            <w:vAlign w:val="bottom"/>
          </w:tcPr>
          <w:p>
            <w:pPr>
              <w:pStyle w:val="TableContents"/>
              <w:spacing w:before="0" w:after="0"/>
              <w:ind w:left="450" w:right="0" w:hanging="225"/>
              <w:rPr/>
            </w:pPr>
            <w:r>
              <w:rPr/>
              <w:t>Cost of goods sold</w:t>
            </w:r>
          </w:p>
        </w:tc>
        <w:tc>
          <w:tcPr>
            <w:tcW w:w="37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25,421</w:t>
            </w:r>
          </w:p>
        </w:tc>
        <w:tc>
          <w:tcPr>
            <w:tcW w:w="13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 </w:t>
            </w:r>
          </w:p>
        </w:tc>
        <w:tc>
          <w:tcPr>
            <w:tcW w:w="1138" w:type="dxa"/>
            <w:tcBorders/>
            <w:shd w:fill="CCEEFF" w:val="clear"/>
            <w:vAlign w:val="bottom"/>
          </w:tcPr>
          <w:p>
            <w:pPr>
              <w:pStyle w:val="TableContents"/>
              <w:spacing w:before="0" w:after="283"/>
              <w:jc w:val="right"/>
              <w:rPr/>
            </w:pPr>
            <w:r>
              <w:rPr/>
              <w:t>23,698</w:t>
            </w:r>
          </w:p>
        </w:tc>
        <w:tc>
          <w:tcPr>
            <w:tcW w:w="10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1002" w:type="dxa"/>
            <w:tcBorders/>
            <w:shd w:fill="CCEEFF" w:val="clear"/>
            <w:vAlign w:val="bottom"/>
          </w:tcPr>
          <w:p>
            <w:pPr>
              <w:pStyle w:val="TableContents"/>
              <w:spacing w:before="0" w:after="283"/>
              <w:jc w:val="right"/>
              <w:rPr/>
            </w:pPr>
            <w:r>
              <w:rPr/>
              <w:t>7.3</w:t>
            </w:r>
          </w:p>
        </w:tc>
        <w:tc>
          <w:tcPr>
            <w:tcW w:w="230" w:type="dxa"/>
            <w:tcBorders/>
            <w:shd w:fill="CCEEFF" w:val="clear"/>
            <w:vAlign w:val="bottom"/>
          </w:tcPr>
          <w:p>
            <w:pPr>
              <w:pStyle w:val="TableContents"/>
              <w:spacing w:before="0" w:after="283"/>
              <w:rPr/>
            </w:pPr>
            <w:r>
              <w:rPr/>
              <w:t>%</w:t>
            </w:r>
          </w:p>
        </w:tc>
      </w:tr>
      <w:tr>
        <w:trPr/>
        <w:tc>
          <w:tcPr>
            <w:tcW w:w="469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36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36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697" w:type="dxa"/>
            <w:tcBorders/>
            <w:shd w:fill="auto" w:val="clear"/>
            <w:vAlign w:val="bottom"/>
          </w:tcPr>
          <w:p>
            <w:pPr>
              <w:pStyle w:val="TableContents"/>
              <w:spacing w:before="0" w:after="0"/>
              <w:ind w:left="675" w:right="0" w:hanging="225"/>
              <w:rPr/>
            </w:pPr>
            <w:r>
              <w:rPr/>
              <w:t>Net revenues</w:t>
            </w:r>
          </w:p>
        </w:tc>
        <w:tc>
          <w:tcPr>
            <w:tcW w:w="371"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136" w:type="dxa"/>
            <w:tcBorders/>
            <w:shd w:fill="auto" w:val="clear"/>
            <w:vAlign w:val="bottom"/>
          </w:tcPr>
          <w:p>
            <w:pPr>
              <w:pStyle w:val="TableContents"/>
              <w:spacing w:before="0" w:after="283"/>
              <w:jc w:val="right"/>
              <w:rPr/>
            </w:pPr>
            <w:r>
              <w:rPr/>
              <w:t>61,572</w:t>
            </w:r>
          </w:p>
        </w:tc>
        <w:tc>
          <w:tcPr>
            <w:tcW w:w="136" w:type="dxa"/>
            <w:tcBorders/>
            <w:shd w:fill="auto" w:val="clear"/>
            <w:vAlign w:val="bottom"/>
          </w:tcPr>
          <w:p>
            <w:pPr>
              <w:pStyle w:val="TableContents"/>
              <w:spacing w:before="0" w:after="283"/>
              <w:rPr/>
            </w:pPr>
            <w:r>
              <w:rPr/>
              <w:t> </w:t>
            </w:r>
          </w:p>
        </w:tc>
        <w:tc>
          <w:tcPr>
            <w:tcW w:w="398" w:type="dxa"/>
            <w:tcBorders/>
            <w:shd w:fill="auto" w:val="clear"/>
            <w:vAlign w:val="bottom"/>
          </w:tcPr>
          <w:p>
            <w:pPr>
              <w:pStyle w:val="TableContents"/>
              <w:spacing w:before="0" w:after="283"/>
              <w:rPr/>
            </w:pPr>
            <w:r>
              <w:rPr/>
              <w:t> </w:t>
            </w:r>
          </w:p>
        </w:tc>
        <w:tc>
          <w:tcPr>
            <w:tcW w:w="231" w:type="dxa"/>
            <w:tcBorders/>
            <w:shd w:fill="auto" w:val="clear"/>
            <w:vAlign w:val="bottom"/>
          </w:tcPr>
          <w:p>
            <w:pPr>
              <w:pStyle w:val="TableContents"/>
              <w:spacing w:before="0" w:after="283"/>
              <w:jc w:val="left"/>
              <w:rPr/>
            </w:pPr>
            <w:r>
              <w:rPr/>
              <w:t>$</w:t>
            </w:r>
          </w:p>
        </w:tc>
        <w:tc>
          <w:tcPr>
            <w:tcW w:w="1138" w:type="dxa"/>
            <w:tcBorders/>
            <w:shd w:fill="auto" w:val="clear"/>
            <w:vAlign w:val="bottom"/>
          </w:tcPr>
          <w:p>
            <w:pPr>
              <w:pStyle w:val="TableContents"/>
              <w:spacing w:before="0" w:after="283"/>
              <w:jc w:val="right"/>
              <w:rPr/>
            </w:pPr>
            <w:r>
              <w:rPr/>
              <w:t>50,088</w:t>
            </w:r>
          </w:p>
        </w:tc>
        <w:tc>
          <w:tcPr>
            <w:tcW w:w="108" w:type="dxa"/>
            <w:tcBorders/>
            <w:shd w:fill="auto" w:val="clear"/>
            <w:vAlign w:val="bottom"/>
          </w:tcPr>
          <w:p>
            <w:pPr>
              <w:pStyle w:val="TableContents"/>
              <w:spacing w:before="0" w:after="283"/>
              <w:rPr/>
            </w:pPr>
            <w:r>
              <w:rPr/>
              <w:t> </w:t>
            </w:r>
          </w:p>
        </w:tc>
        <w:tc>
          <w:tcPr>
            <w:tcW w:w="371" w:type="dxa"/>
            <w:tcBorders/>
            <w:shd w:fill="auto" w:val="clear"/>
            <w:vAlign w:val="bottom"/>
          </w:tcPr>
          <w:p>
            <w:pPr>
              <w:pStyle w:val="TableContents"/>
              <w:spacing w:before="0" w:after="283"/>
              <w:rPr/>
            </w:pPr>
            <w:r>
              <w:rPr/>
              <w:t> </w:t>
            </w:r>
          </w:p>
        </w:tc>
        <w:tc>
          <w:tcPr>
            <w:tcW w:w="156" w:type="dxa"/>
            <w:tcBorders/>
            <w:shd w:fill="auto" w:val="clear"/>
            <w:vAlign w:val="bottom"/>
          </w:tcPr>
          <w:p>
            <w:pPr>
              <w:pStyle w:val="TableContents"/>
              <w:spacing w:before="0" w:after="283"/>
              <w:jc w:val="left"/>
              <w:rPr/>
            </w:pPr>
            <w:r>
              <w:rPr/>
              <w:t> </w:t>
            </w:r>
          </w:p>
        </w:tc>
        <w:tc>
          <w:tcPr>
            <w:tcW w:w="1002" w:type="dxa"/>
            <w:tcBorders/>
            <w:shd w:fill="auto" w:val="clear"/>
            <w:vAlign w:val="bottom"/>
          </w:tcPr>
          <w:p>
            <w:pPr>
              <w:pStyle w:val="TableContents"/>
              <w:spacing w:before="0" w:after="283"/>
              <w:jc w:val="right"/>
              <w:rPr/>
            </w:pPr>
            <w:r>
              <w:rPr/>
              <w:t>22.9</w:t>
            </w:r>
          </w:p>
        </w:tc>
        <w:tc>
          <w:tcPr>
            <w:tcW w:w="230" w:type="dxa"/>
            <w:tcBorders/>
            <w:shd w:fill="auto" w:val="clear"/>
            <w:vAlign w:val="bottom"/>
          </w:tcPr>
          <w:p>
            <w:pPr>
              <w:pStyle w:val="TableContents"/>
              <w:spacing w:before="0" w:after="283"/>
              <w:rPr/>
            </w:pPr>
            <w:r>
              <w:rPr/>
              <w:t>%</w:t>
            </w:r>
          </w:p>
        </w:tc>
      </w:tr>
      <w:tr>
        <w:trPr/>
        <w:tc>
          <w:tcPr>
            <w:tcW w:w="469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3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3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r>
        <w:trPr/>
        <w:tc>
          <w:tcPr>
            <w:tcW w:w="4697" w:type="dxa"/>
            <w:tcBorders/>
            <w:shd w:fill="CCEEFF" w:val="clear"/>
            <w:vAlign w:val="bottom"/>
          </w:tcPr>
          <w:p>
            <w:pPr>
              <w:pStyle w:val="TableContents"/>
              <w:spacing w:before="0" w:after="0"/>
              <w:ind w:left="225" w:right="0" w:hanging="225"/>
              <w:rPr/>
            </w:pPr>
            <w:r>
              <w:rPr/>
              <w:t>Net income</w:t>
            </w:r>
          </w:p>
        </w:tc>
        <w:tc>
          <w:tcPr>
            <w:tcW w:w="371"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136" w:type="dxa"/>
            <w:tcBorders/>
            <w:shd w:fill="CCEEFF" w:val="clear"/>
            <w:vAlign w:val="bottom"/>
          </w:tcPr>
          <w:p>
            <w:pPr>
              <w:pStyle w:val="TableContents"/>
              <w:spacing w:before="0" w:after="283"/>
              <w:jc w:val="right"/>
              <w:rPr/>
            </w:pPr>
            <w:r>
              <w:rPr/>
              <w:t>6,762</w:t>
            </w:r>
          </w:p>
        </w:tc>
        <w:tc>
          <w:tcPr>
            <w:tcW w:w="136" w:type="dxa"/>
            <w:tcBorders/>
            <w:shd w:fill="CCEEFF" w:val="clear"/>
            <w:vAlign w:val="bottom"/>
          </w:tcPr>
          <w:p>
            <w:pPr>
              <w:pStyle w:val="TableContents"/>
              <w:spacing w:before="0" w:after="283"/>
              <w:rPr/>
            </w:pPr>
            <w:r>
              <w:rPr/>
              <w:t> </w:t>
            </w:r>
          </w:p>
        </w:tc>
        <w:tc>
          <w:tcPr>
            <w:tcW w:w="398"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jc w:val="left"/>
              <w:rPr/>
            </w:pPr>
            <w:r>
              <w:rPr/>
              <w:t>$</w:t>
            </w:r>
          </w:p>
        </w:tc>
        <w:tc>
          <w:tcPr>
            <w:tcW w:w="1138" w:type="dxa"/>
            <w:tcBorders/>
            <w:shd w:fill="CCEEFF" w:val="clear"/>
            <w:vAlign w:val="bottom"/>
          </w:tcPr>
          <w:p>
            <w:pPr>
              <w:pStyle w:val="TableContents"/>
              <w:spacing w:before="0" w:after="283"/>
              <w:jc w:val="right"/>
              <w:rPr/>
            </w:pPr>
            <w:r>
              <w:rPr/>
              <w:t>5,608</w:t>
            </w:r>
          </w:p>
        </w:tc>
        <w:tc>
          <w:tcPr>
            <w:tcW w:w="108" w:type="dxa"/>
            <w:tcBorders/>
            <w:shd w:fill="CCEEFF" w:val="clear"/>
            <w:vAlign w:val="bottom"/>
          </w:tcPr>
          <w:p>
            <w:pPr>
              <w:pStyle w:val="TableContents"/>
              <w:spacing w:before="0" w:after="283"/>
              <w:rPr/>
            </w:pPr>
            <w:r>
              <w:rPr/>
              <w:t> </w:t>
            </w:r>
          </w:p>
        </w:tc>
        <w:tc>
          <w:tcPr>
            <w:tcW w:w="371" w:type="dxa"/>
            <w:tcBorders/>
            <w:shd w:fill="CCEEFF" w:val="clear"/>
            <w:vAlign w:val="bottom"/>
          </w:tcPr>
          <w:p>
            <w:pPr>
              <w:pStyle w:val="TableContents"/>
              <w:spacing w:before="0" w:after="283"/>
              <w:rPr/>
            </w:pPr>
            <w:r>
              <w:rPr/>
              <w:t> </w:t>
            </w:r>
          </w:p>
        </w:tc>
        <w:tc>
          <w:tcPr>
            <w:tcW w:w="156" w:type="dxa"/>
            <w:tcBorders/>
            <w:shd w:fill="CCEEFF" w:val="clear"/>
            <w:vAlign w:val="bottom"/>
          </w:tcPr>
          <w:p>
            <w:pPr>
              <w:pStyle w:val="TableContents"/>
              <w:spacing w:before="0" w:after="283"/>
              <w:jc w:val="left"/>
              <w:rPr/>
            </w:pPr>
            <w:r>
              <w:rPr/>
              <w:t> </w:t>
            </w:r>
          </w:p>
        </w:tc>
        <w:tc>
          <w:tcPr>
            <w:tcW w:w="1002" w:type="dxa"/>
            <w:tcBorders/>
            <w:shd w:fill="CCEEFF" w:val="clear"/>
            <w:vAlign w:val="bottom"/>
          </w:tcPr>
          <w:p>
            <w:pPr>
              <w:pStyle w:val="TableContents"/>
              <w:spacing w:before="0" w:after="283"/>
              <w:jc w:val="right"/>
              <w:rPr/>
            </w:pPr>
            <w:r>
              <w:rPr/>
              <w:t>20.6</w:t>
            </w:r>
          </w:p>
        </w:tc>
        <w:tc>
          <w:tcPr>
            <w:tcW w:w="230" w:type="dxa"/>
            <w:tcBorders/>
            <w:shd w:fill="CCEEFF" w:val="clear"/>
            <w:vAlign w:val="bottom"/>
          </w:tcPr>
          <w:p>
            <w:pPr>
              <w:pStyle w:val="TableContents"/>
              <w:spacing w:before="0" w:after="283"/>
              <w:rPr/>
            </w:pPr>
            <w:r>
              <w:rPr/>
              <w:t>%</w:t>
            </w:r>
          </w:p>
        </w:tc>
      </w:tr>
      <w:tr>
        <w:trPr/>
        <w:tc>
          <w:tcPr>
            <w:tcW w:w="4697" w:type="dxa"/>
            <w:tcBorders/>
            <w:shd w:fill="auto" w:val="clear"/>
            <w:vAlign w:val="center"/>
          </w:tcPr>
          <w:p>
            <w:pPr>
              <w:pStyle w:val="TableContents"/>
              <w:spacing w:before="0" w:after="0"/>
              <w:ind w:left="225" w:right="0" w:hanging="225"/>
              <w:rPr/>
            </w:pPr>
            <w:r>
              <w:rPr/>
              <w:t> </w:t>
            </w:r>
          </w:p>
        </w:tc>
        <w:tc>
          <w:tcPr>
            <w:tcW w:w="371" w:type="dxa"/>
            <w:tcBorders/>
            <w:shd w:fill="auto" w:val="clear"/>
            <w:vAlign w:val="center"/>
          </w:tcPr>
          <w:p>
            <w:pPr>
              <w:pStyle w:val="TableContents"/>
              <w:spacing w:before="0" w:after="283"/>
              <w:rPr/>
            </w:pPr>
            <w:r>
              <w:rPr/>
              <w:t> </w:t>
            </w:r>
          </w:p>
        </w:tc>
        <w:tc>
          <w:tcPr>
            <w:tcW w:w="136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6" w:type="dxa"/>
            <w:tcBorders/>
            <w:shd w:fill="auto" w:val="clear"/>
            <w:vAlign w:val="center"/>
          </w:tcPr>
          <w:p>
            <w:pPr>
              <w:pStyle w:val="TableContents"/>
              <w:spacing w:before="0" w:after="283"/>
              <w:rPr/>
            </w:pPr>
            <w:r>
              <w:rPr/>
              <w:t> </w:t>
            </w:r>
          </w:p>
        </w:tc>
        <w:tc>
          <w:tcPr>
            <w:tcW w:w="398" w:type="dxa"/>
            <w:tcBorders/>
            <w:shd w:fill="auto" w:val="clear"/>
            <w:vAlign w:val="center"/>
          </w:tcPr>
          <w:p>
            <w:pPr>
              <w:pStyle w:val="TableContents"/>
              <w:spacing w:before="0" w:after="283"/>
              <w:rPr/>
            </w:pPr>
            <w:r>
              <w:rPr/>
              <w:t> </w:t>
            </w:r>
          </w:p>
        </w:tc>
        <w:tc>
          <w:tcPr>
            <w:tcW w:w="136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8" w:type="dxa"/>
            <w:tcBorders/>
            <w:shd w:fill="auto" w:val="clear"/>
            <w:vAlign w:val="center"/>
          </w:tcPr>
          <w:p>
            <w:pPr>
              <w:pStyle w:val="TableContents"/>
              <w:spacing w:before="0" w:after="283"/>
              <w:rPr/>
            </w:pPr>
            <w:r>
              <w:rPr/>
              <w:t> </w:t>
            </w:r>
          </w:p>
        </w:tc>
        <w:tc>
          <w:tcPr>
            <w:tcW w:w="371" w:type="dxa"/>
            <w:tcBorders/>
            <w:shd w:fill="auto" w:val="clear"/>
            <w:vAlign w:val="center"/>
          </w:tcPr>
          <w:p>
            <w:pPr>
              <w:pStyle w:val="TableContents"/>
              <w:spacing w:before="0" w:after="283"/>
              <w:rPr/>
            </w:pPr>
            <w:r>
              <w:rPr/>
              <w:t> </w:t>
            </w:r>
          </w:p>
        </w:tc>
        <w:tc>
          <w:tcPr>
            <w:tcW w:w="156" w:type="dxa"/>
            <w:tcBorders/>
            <w:shd w:fill="auto" w:val="clear"/>
            <w:vAlign w:val="center"/>
          </w:tcPr>
          <w:p>
            <w:pPr>
              <w:pStyle w:val="TableContents"/>
              <w:spacing w:before="0" w:after="283"/>
              <w:rPr/>
            </w:pPr>
            <w:r>
              <w:rPr/>
              <w:t> </w:t>
            </w:r>
          </w:p>
        </w:tc>
        <w:tc>
          <w:tcPr>
            <w:tcW w:w="1002" w:type="dxa"/>
            <w:tcBorders/>
            <w:shd w:fill="auto" w:val="clear"/>
            <w:vAlign w:val="center"/>
          </w:tcPr>
          <w:p>
            <w:pPr>
              <w:pStyle w:val="TableContents"/>
              <w:spacing w:before="0" w:after="283"/>
              <w:rPr/>
            </w:pPr>
            <w:r>
              <w:rPr/>
              <w:t> </w:t>
            </w:r>
          </w:p>
        </w:tc>
        <w:tc>
          <w:tcPr>
            <w:tcW w:w="230" w:type="dxa"/>
            <w:tcBorders/>
            <w:shd w:fill="auto" w:val="clear"/>
            <w:vAlign w:val="center"/>
          </w:tcPr>
          <w:p>
            <w:pPr>
              <w:pStyle w:val="TableContents"/>
              <w:spacing w:before="0" w:after="283"/>
              <w:rPr/>
            </w:pPr>
            <w:r>
              <w:rPr/>
              <w:t> </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Nine Months Ended June 30, 2007 vs. Nine Months Ended June 30,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unaudited, consolidated financial data for our nine-month periods ended June 30, 2007 and 2006 (current year-to-date and prior year-to-date periods): </w:t>
      </w:r>
    </w:p>
    <w:tbl>
      <w:tblPr>
        <w:tblW w:w="5000" w:type="pct"/>
        <w:jc w:val="center"/>
        <w:tblInd w:w="0" w:type="dxa"/>
        <w:tblCellMar>
          <w:top w:w="0" w:type="dxa"/>
          <w:left w:w="0" w:type="dxa"/>
          <w:bottom w:w="0" w:type="dxa"/>
          <w:right w:w="0" w:type="dxa"/>
        </w:tblCellMar>
      </w:tblPr>
      <w:tblGrid>
        <w:gridCol w:w="4806"/>
        <w:gridCol w:w="379"/>
        <w:gridCol w:w="203"/>
        <w:gridCol w:w="1119"/>
        <w:gridCol w:w="125"/>
        <w:gridCol w:w="395"/>
        <w:gridCol w:w="203"/>
        <w:gridCol w:w="1121"/>
        <w:gridCol w:w="109"/>
        <w:gridCol w:w="378"/>
        <w:gridCol w:w="155"/>
        <w:gridCol w:w="987"/>
        <w:gridCol w:w="225"/>
      </w:tblGrid>
      <w:tr>
        <w:trPr/>
        <w:tc>
          <w:tcPr>
            <w:tcW w:w="480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3166" w:type="dxa"/>
            <w:gridSpan w:val="6"/>
            <w:tcBorders/>
            <w:shd w:fill="auto" w:val="clear"/>
            <w:vAlign w:val="bottom"/>
          </w:tcPr>
          <w:p>
            <w:pPr>
              <w:pStyle w:val="TableContents"/>
              <w:spacing w:before="0" w:after="283"/>
              <w:jc w:val="center"/>
              <w:rPr/>
            </w:pPr>
            <w:r>
              <w:rPr/>
              <w:t>Nine Months Ended June 30,</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142" w:type="dxa"/>
            <w:gridSpan w:val="2"/>
            <w:tcBorders/>
            <w:shd w:fill="auto" w:val="clear"/>
            <w:vAlign w:val="bottom"/>
          </w:tcPr>
          <w:p>
            <w:pPr>
              <w:pStyle w:val="TableContents"/>
              <w:spacing w:before="0" w:after="283"/>
              <w:jc w:val="center"/>
              <w:rPr/>
            </w:pPr>
            <w:r>
              <w:rPr/>
              <w:t>Percentage</w:t>
            </w:r>
          </w:p>
        </w:tc>
        <w:tc>
          <w:tcPr>
            <w:tcW w:w="225"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132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125" w:type="dxa"/>
            <w:tcBorders>
              <w:bottom w:val="single" w:sz="2" w:space="0" w:color="000000"/>
            </w:tcBorders>
            <w:shd w:fill="auto" w:val="clear"/>
            <w:tcMar>
              <w:bottom w:w="28" w:type="dxa"/>
            </w:tcMar>
            <w:vAlign w:val="bottom"/>
          </w:tcPr>
          <w:p>
            <w:pPr>
              <w:pStyle w:val="TableContents"/>
              <w:spacing w:before="0" w:after="283"/>
              <w:rPr/>
            </w:pPr>
            <w:r>
              <w:rPr/>
              <w:t> </w:t>
            </w:r>
          </w:p>
        </w:tc>
        <w:tc>
          <w:tcPr>
            <w:tcW w:w="395" w:type="dxa"/>
            <w:tcBorders>
              <w:bottom w:val="single" w:sz="2" w:space="0" w:color="000000"/>
            </w:tcBorders>
            <w:shd w:fill="auto" w:val="clear"/>
            <w:tcMar>
              <w:bottom w:w="28" w:type="dxa"/>
            </w:tcMar>
            <w:vAlign w:val="bottom"/>
          </w:tcPr>
          <w:p>
            <w:pPr>
              <w:pStyle w:val="TableContents"/>
              <w:spacing w:before="0" w:after="283"/>
              <w:rPr/>
            </w:pPr>
            <w:r>
              <w:rPr/>
              <w:t> </w:t>
            </w:r>
          </w:p>
        </w:tc>
        <w:tc>
          <w:tcPr>
            <w:tcW w:w="132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142" w:type="dxa"/>
            <w:gridSpan w:val="2"/>
            <w:tcBorders>
              <w:bottom w:val="single" w:sz="2" w:space="0" w:color="000000"/>
            </w:tcBorders>
            <w:shd w:fill="auto" w:val="clear"/>
            <w:tcMar>
              <w:bottom w:w="28" w:type="dxa"/>
            </w:tcMar>
            <w:vAlign w:val="bottom"/>
          </w:tcPr>
          <w:p>
            <w:pPr>
              <w:pStyle w:val="TableContents"/>
              <w:spacing w:before="0" w:after="283"/>
              <w:jc w:val="center"/>
              <w:rPr/>
            </w:pPr>
            <w:r>
              <w:rPr/>
              <w:t>Change</w:t>
            </w:r>
          </w:p>
        </w:tc>
        <w:tc>
          <w:tcPr>
            <w:tcW w:w="225" w:type="dxa"/>
            <w:tcBorders/>
            <w:shd w:fill="auto"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283"/>
              <w:rPr/>
            </w:pPr>
            <w:r>
              <w:rPr/>
              <w:t> </w:t>
            </w:r>
          </w:p>
        </w:tc>
        <w:tc>
          <w:tcPr>
            <w:tcW w:w="379" w:type="dxa"/>
            <w:tcBorders/>
            <w:shd w:fill="auto" w:val="clear"/>
            <w:vAlign w:val="bottom"/>
          </w:tcPr>
          <w:p>
            <w:pPr>
              <w:pStyle w:val="TableContents"/>
              <w:spacing w:before="0" w:after="283"/>
              <w:rPr/>
            </w:pPr>
            <w:r>
              <w:rPr/>
              <w:t> </w:t>
            </w:r>
          </w:p>
        </w:tc>
        <w:tc>
          <w:tcPr>
            <w:tcW w:w="3166" w:type="dxa"/>
            <w:gridSpan w:val="6"/>
            <w:tcBorders/>
            <w:shd w:fill="auto" w:val="clear"/>
            <w:vAlign w:val="bottom"/>
          </w:tcPr>
          <w:p>
            <w:pPr>
              <w:pStyle w:val="TableContents"/>
              <w:spacing w:before="0" w:after="283"/>
              <w:jc w:val="center"/>
              <w:rPr>
                <w:i/>
              </w:rPr>
            </w:pPr>
            <w:r>
              <w:rPr>
                <w:i/>
              </w:rPr>
              <w:t>(Dollars in thousands)</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rPr/>
            </w:pPr>
            <w:r>
              <w:rPr/>
              <w:t> </w:t>
            </w:r>
          </w:p>
        </w:tc>
      </w:tr>
      <w:tr>
        <w:trPr/>
        <w:tc>
          <w:tcPr>
            <w:tcW w:w="4806" w:type="dxa"/>
            <w:tcBorders/>
            <w:shd w:fill="CCEEFF" w:val="clear"/>
            <w:vAlign w:val="bottom"/>
          </w:tcPr>
          <w:p>
            <w:pPr>
              <w:pStyle w:val="TableContents"/>
              <w:spacing w:before="0" w:after="0"/>
              <w:ind w:left="225" w:right="0" w:hanging="225"/>
              <w:rPr/>
            </w:pPr>
            <w:r>
              <w:rPr/>
              <w:t>Net revenues:</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rPr/>
            </w:pPr>
            <w:r>
              <w:rPr/>
              <w:t> </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rPr/>
            </w:pPr>
            <w:r>
              <w:rPr/>
              <w:t> </w:t>
            </w:r>
          </w:p>
        </w:tc>
        <w:tc>
          <w:tcPr>
            <w:tcW w:w="225" w:type="dxa"/>
            <w:tcBorders/>
            <w:shd w:fill="CCEEFF" w:val="clear"/>
            <w:vAlign w:val="bottom"/>
          </w:tcPr>
          <w:p>
            <w:pPr>
              <w:pStyle w:val="TableContents"/>
              <w:spacing w:before="0" w:after="283"/>
              <w:rPr/>
            </w:pPr>
            <w:r>
              <w:rPr/>
              <w:t> </w:t>
            </w:r>
          </w:p>
        </w:tc>
      </w:tr>
      <w:tr>
        <w:trPr/>
        <w:tc>
          <w:tcPr>
            <w:tcW w:w="4806" w:type="dxa"/>
            <w:tcBorders/>
            <w:shd w:fill="auto" w:val="clear"/>
            <w:vAlign w:val="bottom"/>
          </w:tcPr>
          <w:p>
            <w:pPr>
              <w:pStyle w:val="TableContents"/>
              <w:spacing w:before="0" w:after="0"/>
              <w:ind w:left="450" w:right="0" w:hanging="225"/>
              <w:rPr/>
            </w:pPr>
            <w:r>
              <w:rPr/>
              <w:t>Sales</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19" w:type="dxa"/>
            <w:tcBorders/>
            <w:shd w:fill="auto" w:val="clear"/>
            <w:vAlign w:val="bottom"/>
          </w:tcPr>
          <w:p>
            <w:pPr>
              <w:pStyle w:val="TableContents"/>
              <w:spacing w:before="0" w:after="283"/>
              <w:jc w:val="right"/>
              <w:rPr/>
            </w:pPr>
            <w:r>
              <w:rPr/>
              <w:t>141,688</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21" w:type="dxa"/>
            <w:tcBorders/>
            <w:shd w:fill="auto" w:val="clear"/>
            <w:vAlign w:val="bottom"/>
          </w:tcPr>
          <w:p>
            <w:pPr>
              <w:pStyle w:val="TableContents"/>
              <w:spacing w:before="0" w:after="283"/>
              <w:jc w:val="right"/>
              <w:rPr/>
            </w:pPr>
            <w:r>
              <w:rPr/>
              <w:t>130,598</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987" w:type="dxa"/>
            <w:tcBorders/>
            <w:shd w:fill="auto" w:val="clear"/>
            <w:vAlign w:val="bottom"/>
          </w:tcPr>
          <w:p>
            <w:pPr>
              <w:pStyle w:val="TableContents"/>
              <w:spacing w:before="0" w:after="283"/>
              <w:jc w:val="right"/>
              <w:rPr/>
            </w:pPr>
            <w:r>
              <w:rPr/>
              <w:t>8.5</w:t>
            </w:r>
          </w:p>
        </w:tc>
        <w:tc>
          <w:tcPr>
            <w:tcW w:w="225" w:type="dxa"/>
            <w:tcBorders/>
            <w:shd w:fill="auto" w:val="clear"/>
            <w:vAlign w:val="bottom"/>
          </w:tcPr>
          <w:p>
            <w:pPr>
              <w:pStyle w:val="TableContents"/>
              <w:spacing w:before="0" w:after="283"/>
              <w:rPr/>
            </w:pPr>
            <w:r>
              <w:rPr/>
              <w:t>%</w:t>
            </w:r>
          </w:p>
        </w:tc>
      </w:tr>
      <w:tr>
        <w:trPr/>
        <w:tc>
          <w:tcPr>
            <w:tcW w:w="4806" w:type="dxa"/>
            <w:tcBorders/>
            <w:shd w:fill="CCEEFF" w:val="clear"/>
            <w:vAlign w:val="bottom"/>
          </w:tcPr>
          <w:p>
            <w:pPr>
              <w:pStyle w:val="TableContents"/>
              <w:spacing w:before="0" w:after="0"/>
              <w:ind w:left="450" w:right="0" w:hanging="225"/>
              <w:rPr/>
            </w:pPr>
            <w:r>
              <w:rPr/>
              <w:t>Pawn service charges</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51,496</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46,988</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pPr>
            <w:r>
              <w:rPr/>
              <w:t>9.6</w:t>
            </w:r>
          </w:p>
        </w:tc>
        <w:tc>
          <w:tcPr>
            <w:tcW w:w="225" w:type="dxa"/>
            <w:tcBorders/>
            <w:shd w:fill="CCEEFF" w:val="clear"/>
            <w:vAlign w:val="bottom"/>
          </w:tcPr>
          <w:p>
            <w:pPr>
              <w:pStyle w:val="TableContents"/>
              <w:spacing w:before="0" w:after="283"/>
              <w:rPr/>
            </w:pPr>
            <w:r>
              <w:rPr/>
              <w:t>%</w:t>
            </w:r>
          </w:p>
        </w:tc>
      </w:tr>
      <w:tr>
        <w:trPr/>
        <w:tc>
          <w:tcPr>
            <w:tcW w:w="4806" w:type="dxa"/>
            <w:tcBorders/>
            <w:shd w:fill="auto" w:val="clear"/>
            <w:vAlign w:val="bottom"/>
          </w:tcPr>
          <w:p>
            <w:pPr>
              <w:pStyle w:val="TableContents"/>
              <w:spacing w:before="0" w:after="0"/>
              <w:ind w:left="450" w:right="0" w:hanging="225"/>
              <w:rPr/>
            </w:pPr>
            <w:r>
              <w:rPr/>
              <w:t>Signature loan fees</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74,132</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49,949</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987" w:type="dxa"/>
            <w:tcBorders/>
            <w:shd w:fill="auto" w:val="clear"/>
            <w:vAlign w:val="bottom"/>
          </w:tcPr>
          <w:p>
            <w:pPr>
              <w:pStyle w:val="TableContents"/>
              <w:spacing w:before="0" w:after="283"/>
              <w:jc w:val="right"/>
              <w:rPr/>
            </w:pPr>
            <w:r>
              <w:rPr/>
              <w:t>48.4</w:t>
            </w:r>
          </w:p>
        </w:tc>
        <w:tc>
          <w:tcPr>
            <w:tcW w:w="225" w:type="dxa"/>
            <w:tcBorders/>
            <w:shd w:fill="auto" w:val="clear"/>
            <w:vAlign w:val="bottom"/>
          </w:tcPr>
          <w:p>
            <w:pPr>
              <w:pStyle w:val="TableContents"/>
              <w:spacing w:before="0" w:after="283"/>
              <w:rPr/>
            </w:pPr>
            <w:r>
              <w:rPr/>
              <w:t>%</w:t>
            </w:r>
          </w:p>
        </w:tc>
      </w:tr>
      <w:tr>
        <w:trPr/>
        <w:tc>
          <w:tcPr>
            <w:tcW w:w="4806" w:type="dxa"/>
            <w:tcBorders/>
            <w:shd w:fill="CCEEFF" w:val="clear"/>
            <w:vAlign w:val="bottom"/>
          </w:tcPr>
          <w:p>
            <w:pPr>
              <w:pStyle w:val="TableContents"/>
              <w:spacing w:before="0" w:after="0"/>
              <w:ind w:left="450" w:right="0" w:hanging="225"/>
              <w:rPr/>
            </w:pPr>
            <w:r>
              <w:rPr/>
              <w:t>Other</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1,007</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962</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pPr>
            <w:r>
              <w:rPr/>
              <w:t>4.7</w:t>
            </w:r>
          </w:p>
        </w:tc>
        <w:tc>
          <w:tcPr>
            <w:tcW w:w="225" w:type="dxa"/>
            <w:tcBorders/>
            <w:shd w:fill="CCEEFF"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987"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r>
      <w:tr>
        <w:trPr/>
        <w:tc>
          <w:tcPr>
            <w:tcW w:w="4806" w:type="dxa"/>
            <w:tcBorders/>
            <w:shd w:fill="auto" w:val="clear"/>
            <w:vAlign w:val="bottom"/>
          </w:tcPr>
          <w:p>
            <w:pPr>
              <w:pStyle w:val="TableContents"/>
              <w:spacing w:before="0" w:after="0"/>
              <w:ind w:left="675" w:right="0" w:hanging="225"/>
              <w:rPr/>
            </w:pPr>
            <w:r>
              <w:rPr/>
              <w:t>Total revenues</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19" w:type="dxa"/>
            <w:tcBorders/>
            <w:shd w:fill="auto" w:val="clear"/>
            <w:vAlign w:val="bottom"/>
          </w:tcPr>
          <w:p>
            <w:pPr>
              <w:pStyle w:val="TableContents"/>
              <w:spacing w:before="0" w:after="283"/>
              <w:jc w:val="right"/>
              <w:rPr/>
            </w:pPr>
            <w:r>
              <w:rPr/>
              <w:t>268,323</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rPr/>
            </w:pPr>
            <w:r>
              <w:rPr/>
              <w:t> </w:t>
            </w:r>
          </w:p>
        </w:tc>
        <w:tc>
          <w:tcPr>
            <w:tcW w:w="1121" w:type="dxa"/>
            <w:tcBorders/>
            <w:shd w:fill="auto" w:val="clear"/>
            <w:vAlign w:val="bottom"/>
          </w:tcPr>
          <w:p>
            <w:pPr>
              <w:pStyle w:val="TableContents"/>
              <w:spacing w:before="0" w:after="283"/>
              <w:jc w:val="right"/>
              <w:rPr/>
            </w:pPr>
            <w:r>
              <w:rPr/>
              <w:t>228,497</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987" w:type="dxa"/>
            <w:tcBorders/>
            <w:shd w:fill="auto" w:val="clear"/>
            <w:vAlign w:val="bottom"/>
          </w:tcPr>
          <w:p>
            <w:pPr>
              <w:pStyle w:val="TableContents"/>
              <w:spacing w:before="0" w:after="283"/>
              <w:jc w:val="right"/>
              <w:rPr/>
            </w:pPr>
            <w:r>
              <w:rPr/>
              <w:t>17.4</w:t>
            </w:r>
          </w:p>
        </w:tc>
        <w:tc>
          <w:tcPr>
            <w:tcW w:w="225" w:type="dxa"/>
            <w:tcBorders/>
            <w:shd w:fill="auto" w:val="clear"/>
            <w:vAlign w:val="bottom"/>
          </w:tcPr>
          <w:p>
            <w:pPr>
              <w:pStyle w:val="TableContents"/>
              <w:spacing w:before="0" w:after="283"/>
              <w:rPr/>
            </w:pPr>
            <w:r>
              <w:rPr/>
              <w:t>%</w:t>
            </w:r>
          </w:p>
        </w:tc>
      </w:tr>
      <w:tr>
        <w:trPr/>
        <w:tc>
          <w:tcPr>
            <w:tcW w:w="4806" w:type="dxa"/>
            <w:tcBorders/>
            <w:shd w:fill="CCEEFF" w:val="clear"/>
            <w:vAlign w:val="bottom"/>
          </w:tcPr>
          <w:p>
            <w:pPr>
              <w:pStyle w:val="TableContents"/>
              <w:spacing w:before="0" w:after="0"/>
              <w:ind w:left="450" w:right="0" w:hanging="225"/>
              <w:rPr/>
            </w:pPr>
            <w:r>
              <w:rPr/>
              <w:t>Cost of goods sold</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19" w:type="dxa"/>
            <w:tcBorders/>
            <w:shd w:fill="CCEEFF" w:val="clear"/>
            <w:vAlign w:val="bottom"/>
          </w:tcPr>
          <w:p>
            <w:pPr>
              <w:pStyle w:val="TableContents"/>
              <w:spacing w:before="0" w:after="283"/>
              <w:jc w:val="right"/>
              <w:rPr/>
            </w:pPr>
            <w:r>
              <w:rPr/>
              <w:t>85,618</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rPr/>
            </w:pPr>
            <w:r>
              <w:rPr/>
              <w:t> </w:t>
            </w:r>
          </w:p>
        </w:tc>
        <w:tc>
          <w:tcPr>
            <w:tcW w:w="1121" w:type="dxa"/>
            <w:tcBorders/>
            <w:shd w:fill="CCEEFF" w:val="clear"/>
            <w:vAlign w:val="bottom"/>
          </w:tcPr>
          <w:p>
            <w:pPr>
              <w:pStyle w:val="TableContents"/>
              <w:spacing w:before="0" w:after="283"/>
              <w:jc w:val="right"/>
              <w:rPr/>
            </w:pPr>
            <w:r>
              <w:rPr/>
              <w:t>77,696</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pPr>
            <w:r>
              <w:rPr/>
              <w:t>10.2</w:t>
            </w:r>
          </w:p>
        </w:tc>
        <w:tc>
          <w:tcPr>
            <w:tcW w:w="225" w:type="dxa"/>
            <w:tcBorders/>
            <w:shd w:fill="CCEEFF"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2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987"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r>
      <w:tr>
        <w:trPr/>
        <w:tc>
          <w:tcPr>
            <w:tcW w:w="4806" w:type="dxa"/>
            <w:tcBorders/>
            <w:shd w:fill="auto" w:val="clear"/>
            <w:vAlign w:val="bottom"/>
          </w:tcPr>
          <w:p>
            <w:pPr>
              <w:pStyle w:val="TableContents"/>
              <w:spacing w:before="0" w:after="0"/>
              <w:ind w:left="675" w:right="0" w:hanging="225"/>
              <w:rPr/>
            </w:pPr>
            <w:r>
              <w:rPr/>
              <w:t>Net revenues</w:t>
            </w:r>
          </w:p>
        </w:tc>
        <w:tc>
          <w:tcPr>
            <w:tcW w:w="379"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19" w:type="dxa"/>
            <w:tcBorders/>
            <w:shd w:fill="auto" w:val="clear"/>
            <w:vAlign w:val="bottom"/>
          </w:tcPr>
          <w:p>
            <w:pPr>
              <w:pStyle w:val="TableContents"/>
              <w:spacing w:before="0" w:after="283"/>
              <w:jc w:val="right"/>
              <w:rPr/>
            </w:pPr>
            <w:r>
              <w:rPr/>
              <w:t>182,705</w:t>
            </w:r>
          </w:p>
        </w:tc>
        <w:tc>
          <w:tcPr>
            <w:tcW w:w="12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pPr>
            <w:r>
              <w:rPr/>
              <w:t> </w:t>
            </w:r>
          </w:p>
        </w:tc>
        <w:tc>
          <w:tcPr>
            <w:tcW w:w="203" w:type="dxa"/>
            <w:tcBorders/>
            <w:shd w:fill="auto" w:val="clear"/>
            <w:vAlign w:val="bottom"/>
          </w:tcPr>
          <w:p>
            <w:pPr>
              <w:pStyle w:val="TableContents"/>
              <w:spacing w:before="0" w:after="283"/>
              <w:jc w:val="left"/>
              <w:rPr/>
            </w:pPr>
            <w:r>
              <w:rPr/>
              <w:t>$</w:t>
            </w:r>
          </w:p>
        </w:tc>
        <w:tc>
          <w:tcPr>
            <w:tcW w:w="1121" w:type="dxa"/>
            <w:tcBorders/>
            <w:shd w:fill="auto" w:val="clear"/>
            <w:vAlign w:val="bottom"/>
          </w:tcPr>
          <w:p>
            <w:pPr>
              <w:pStyle w:val="TableContents"/>
              <w:spacing w:before="0" w:after="283"/>
              <w:jc w:val="right"/>
              <w:rPr/>
            </w:pPr>
            <w:r>
              <w:rPr/>
              <w:t>150,801</w:t>
            </w:r>
          </w:p>
        </w:tc>
        <w:tc>
          <w:tcPr>
            <w:tcW w:w="109" w:type="dxa"/>
            <w:tcBorders/>
            <w:shd w:fill="auto" w:val="clear"/>
            <w:vAlign w:val="bottom"/>
          </w:tcPr>
          <w:p>
            <w:pPr>
              <w:pStyle w:val="TableContents"/>
              <w:spacing w:before="0" w:after="283"/>
              <w:rPr/>
            </w:pPr>
            <w:r>
              <w:rPr/>
              <w:t> </w:t>
            </w:r>
          </w:p>
        </w:tc>
        <w:tc>
          <w:tcPr>
            <w:tcW w:w="37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jc w:val="left"/>
              <w:rPr/>
            </w:pPr>
            <w:r>
              <w:rPr/>
              <w:t> </w:t>
            </w:r>
          </w:p>
        </w:tc>
        <w:tc>
          <w:tcPr>
            <w:tcW w:w="987" w:type="dxa"/>
            <w:tcBorders/>
            <w:shd w:fill="auto" w:val="clear"/>
            <w:vAlign w:val="bottom"/>
          </w:tcPr>
          <w:p>
            <w:pPr>
              <w:pStyle w:val="TableContents"/>
              <w:spacing w:before="0" w:after="283"/>
              <w:jc w:val="right"/>
              <w:rPr/>
            </w:pPr>
            <w:r>
              <w:rPr/>
              <w:t>21.2</w:t>
            </w:r>
          </w:p>
        </w:tc>
        <w:tc>
          <w:tcPr>
            <w:tcW w:w="225" w:type="dxa"/>
            <w:tcBorders/>
            <w:shd w:fill="auto"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987"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r>
      <w:tr>
        <w:trPr/>
        <w:tc>
          <w:tcPr>
            <w:tcW w:w="4806" w:type="dxa"/>
            <w:tcBorders/>
            <w:shd w:fill="CCEEFF" w:val="clear"/>
            <w:vAlign w:val="bottom"/>
          </w:tcPr>
          <w:p>
            <w:pPr>
              <w:pStyle w:val="TableContents"/>
              <w:spacing w:before="0" w:after="0"/>
              <w:ind w:left="225" w:right="0" w:hanging="225"/>
              <w:rPr/>
            </w:pPr>
            <w:r>
              <w:rPr/>
              <w:t>Net income</w:t>
            </w:r>
          </w:p>
        </w:tc>
        <w:tc>
          <w:tcPr>
            <w:tcW w:w="379"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19" w:type="dxa"/>
            <w:tcBorders/>
            <w:shd w:fill="CCEEFF" w:val="clear"/>
            <w:vAlign w:val="bottom"/>
          </w:tcPr>
          <w:p>
            <w:pPr>
              <w:pStyle w:val="TableContents"/>
              <w:spacing w:before="0" w:after="283"/>
              <w:jc w:val="right"/>
              <w:rPr/>
            </w:pPr>
            <w:r>
              <w:rPr/>
              <w:t>26,719</w:t>
            </w:r>
          </w:p>
        </w:tc>
        <w:tc>
          <w:tcPr>
            <w:tcW w:w="125" w:type="dxa"/>
            <w:tcBorders/>
            <w:shd w:fill="CCEEFF" w:val="clear"/>
            <w:vAlign w:val="bottom"/>
          </w:tcPr>
          <w:p>
            <w:pPr>
              <w:pStyle w:val="TableContents"/>
              <w:spacing w:before="0" w:after="283"/>
              <w:rPr/>
            </w:pPr>
            <w:r>
              <w:rPr/>
              <w:t> </w:t>
            </w:r>
          </w:p>
        </w:tc>
        <w:tc>
          <w:tcPr>
            <w:tcW w:w="395" w:type="dxa"/>
            <w:tcBorders/>
            <w:shd w:fill="CCEEFF" w:val="clear"/>
            <w:vAlign w:val="bottom"/>
          </w:tcPr>
          <w:p>
            <w:pPr>
              <w:pStyle w:val="TableContents"/>
              <w:spacing w:before="0" w:after="283"/>
              <w:rPr/>
            </w:pPr>
            <w:r>
              <w:rPr/>
              <w:t> </w:t>
            </w:r>
          </w:p>
        </w:tc>
        <w:tc>
          <w:tcPr>
            <w:tcW w:w="203" w:type="dxa"/>
            <w:tcBorders/>
            <w:shd w:fill="CCEEFF" w:val="clear"/>
            <w:vAlign w:val="bottom"/>
          </w:tcPr>
          <w:p>
            <w:pPr>
              <w:pStyle w:val="TableContents"/>
              <w:spacing w:before="0" w:after="283"/>
              <w:jc w:val="left"/>
              <w:rPr/>
            </w:pPr>
            <w:r>
              <w:rPr/>
              <w:t>$</w:t>
            </w:r>
          </w:p>
        </w:tc>
        <w:tc>
          <w:tcPr>
            <w:tcW w:w="1121" w:type="dxa"/>
            <w:tcBorders/>
            <w:shd w:fill="CCEEFF" w:val="clear"/>
            <w:vAlign w:val="bottom"/>
          </w:tcPr>
          <w:p>
            <w:pPr>
              <w:pStyle w:val="TableContents"/>
              <w:spacing w:before="0" w:after="283"/>
              <w:jc w:val="right"/>
              <w:rPr/>
            </w:pPr>
            <w:r>
              <w:rPr/>
              <w:t>20,091</w:t>
            </w:r>
          </w:p>
        </w:tc>
        <w:tc>
          <w:tcPr>
            <w:tcW w:w="109" w:type="dxa"/>
            <w:tcBorders/>
            <w:shd w:fill="CCEEFF" w:val="clear"/>
            <w:vAlign w:val="bottom"/>
          </w:tcPr>
          <w:p>
            <w:pPr>
              <w:pStyle w:val="TableContents"/>
              <w:spacing w:before="0" w:after="283"/>
              <w:rPr/>
            </w:pPr>
            <w:r>
              <w:rPr/>
              <w:t> </w:t>
            </w:r>
          </w:p>
        </w:tc>
        <w:tc>
          <w:tcPr>
            <w:tcW w:w="37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jc w:val="left"/>
              <w:rPr/>
            </w:pPr>
            <w:r>
              <w:rPr/>
              <w:t> </w:t>
            </w:r>
          </w:p>
        </w:tc>
        <w:tc>
          <w:tcPr>
            <w:tcW w:w="987" w:type="dxa"/>
            <w:tcBorders/>
            <w:shd w:fill="CCEEFF" w:val="clear"/>
            <w:vAlign w:val="bottom"/>
          </w:tcPr>
          <w:p>
            <w:pPr>
              <w:pStyle w:val="TableContents"/>
              <w:spacing w:before="0" w:after="283"/>
              <w:jc w:val="right"/>
              <w:rPr/>
            </w:pPr>
            <w:r>
              <w:rPr/>
              <w:t>33.0</w:t>
            </w:r>
          </w:p>
        </w:tc>
        <w:tc>
          <w:tcPr>
            <w:tcW w:w="225" w:type="dxa"/>
            <w:tcBorders/>
            <w:shd w:fill="CCEEFF" w:val="clear"/>
            <w:vAlign w:val="bottom"/>
          </w:tcPr>
          <w:p>
            <w:pPr>
              <w:pStyle w:val="TableContents"/>
              <w:spacing w:before="0" w:after="283"/>
              <w:rPr/>
            </w:pPr>
            <w:r>
              <w:rPr/>
              <w:t>%</w:t>
            </w:r>
          </w:p>
        </w:tc>
      </w:tr>
      <w:tr>
        <w:trPr/>
        <w:tc>
          <w:tcPr>
            <w:tcW w:w="4806" w:type="dxa"/>
            <w:tcBorders/>
            <w:shd w:fill="auto" w:val="clear"/>
            <w:vAlign w:val="center"/>
          </w:tcPr>
          <w:p>
            <w:pPr>
              <w:pStyle w:val="TableContents"/>
              <w:spacing w:before="0" w:after="0"/>
              <w:ind w:left="225" w:right="0" w:hanging="225"/>
              <w:rPr/>
            </w:pPr>
            <w:r>
              <w:rPr/>
              <w:t> </w:t>
            </w:r>
          </w:p>
        </w:tc>
        <w:tc>
          <w:tcPr>
            <w:tcW w:w="379" w:type="dxa"/>
            <w:tcBorders/>
            <w:shd w:fill="auto" w:val="clear"/>
            <w:vAlign w:val="center"/>
          </w:tcPr>
          <w:p>
            <w:pPr>
              <w:pStyle w:val="TableContents"/>
              <w:spacing w:before="0" w:after="283"/>
              <w:rPr/>
            </w:pPr>
            <w:r>
              <w:rPr/>
              <w:t> </w:t>
            </w:r>
          </w:p>
        </w:tc>
        <w:tc>
          <w:tcPr>
            <w:tcW w:w="132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25"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132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09" w:type="dxa"/>
            <w:tcBorders/>
            <w:shd w:fill="auto" w:val="clear"/>
            <w:vAlign w:val="center"/>
          </w:tcPr>
          <w:p>
            <w:pPr>
              <w:pStyle w:val="TableContents"/>
              <w:spacing w:before="0" w:after="283"/>
              <w:rPr/>
            </w:pPr>
            <w:r>
              <w:rPr/>
              <w:t> </w:t>
            </w:r>
          </w:p>
        </w:tc>
        <w:tc>
          <w:tcPr>
            <w:tcW w:w="378" w:type="dxa"/>
            <w:tcBorders/>
            <w:shd w:fill="auto" w:val="clear"/>
            <w:vAlign w:val="center"/>
          </w:tcPr>
          <w:p>
            <w:pPr>
              <w:pStyle w:val="TableContents"/>
              <w:spacing w:before="0" w:after="283"/>
              <w:rPr/>
            </w:pPr>
            <w:r>
              <w:rPr/>
              <w:t> </w:t>
            </w:r>
          </w:p>
        </w:tc>
        <w:tc>
          <w:tcPr>
            <w:tcW w:w="155" w:type="dxa"/>
            <w:tcBorders/>
            <w:shd w:fill="auto" w:val="clear"/>
            <w:vAlign w:val="center"/>
          </w:tcPr>
          <w:p>
            <w:pPr>
              <w:pStyle w:val="TableContents"/>
              <w:spacing w:before="0" w:after="283"/>
              <w:rPr/>
            </w:pPr>
            <w:r>
              <w:rPr/>
              <w:t> </w:t>
            </w:r>
          </w:p>
        </w:tc>
        <w:tc>
          <w:tcPr>
            <w:tcW w:w="987" w:type="dxa"/>
            <w:tcBorders/>
            <w:shd w:fill="auto" w:val="clear"/>
            <w:vAlign w:val="center"/>
          </w:tcPr>
          <w:p>
            <w:pPr>
              <w:pStyle w:val="TableContents"/>
              <w:spacing w:before="0" w:after="283"/>
              <w:rPr/>
            </w:pPr>
            <w:r>
              <w:rPr/>
              <w:t> </w:t>
            </w:r>
          </w:p>
        </w:tc>
        <w:tc>
          <w:tcPr>
            <w:tcW w:w="225" w:type="dxa"/>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signature loan data (combined payday loan and credit service activities) are as follows: </w:t>
      </w:r>
    </w:p>
    <w:tbl>
      <w:tblPr>
        <w:tblW w:w="5000" w:type="pct"/>
        <w:jc w:val="center"/>
        <w:tblInd w:w="0" w:type="dxa"/>
        <w:tblCellMar>
          <w:top w:w="0" w:type="dxa"/>
          <w:left w:w="0" w:type="dxa"/>
          <w:bottom w:w="0" w:type="dxa"/>
          <w:right w:w="0" w:type="dxa"/>
        </w:tblCellMar>
      </w:tblPr>
      <w:tblGrid>
        <w:gridCol w:w="3934"/>
        <w:gridCol w:w="353"/>
        <w:gridCol w:w="169"/>
        <w:gridCol w:w="834"/>
        <w:gridCol w:w="227"/>
        <w:gridCol w:w="355"/>
        <w:gridCol w:w="169"/>
        <w:gridCol w:w="837"/>
        <w:gridCol w:w="218"/>
        <w:gridCol w:w="352"/>
        <w:gridCol w:w="164"/>
        <w:gridCol w:w="811"/>
        <w:gridCol w:w="220"/>
        <w:gridCol w:w="353"/>
        <w:gridCol w:w="164"/>
        <w:gridCol w:w="815"/>
        <w:gridCol w:w="230"/>
      </w:tblGrid>
      <w:tr>
        <w:trPr/>
        <w:tc>
          <w:tcPr>
            <w:tcW w:w="393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591" w:type="dxa"/>
            <w:gridSpan w:val="6"/>
            <w:tcBorders/>
            <w:shd w:fill="auto" w:val="clear"/>
            <w:vAlign w:val="bottom"/>
          </w:tcPr>
          <w:p>
            <w:pPr>
              <w:pStyle w:val="TableContents"/>
              <w:spacing w:before="0" w:after="283"/>
              <w:jc w:val="center"/>
              <w:rPr/>
            </w:pPr>
            <w:r>
              <w:rPr/>
              <w:t>Three Months Ended</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527" w:type="dxa"/>
            <w:gridSpan w:val="6"/>
            <w:tcBorders/>
            <w:shd w:fill="auto" w:val="clear"/>
            <w:vAlign w:val="bottom"/>
          </w:tcPr>
          <w:p>
            <w:pPr>
              <w:pStyle w:val="TableContents"/>
              <w:spacing w:before="0" w:after="283"/>
              <w:jc w:val="center"/>
              <w:rPr/>
            </w:pPr>
            <w:r>
              <w:rPr/>
              <w:t>Nine Months Ended</w:t>
            </w:r>
          </w:p>
        </w:tc>
        <w:tc>
          <w:tcPr>
            <w:tcW w:w="230" w:type="dxa"/>
            <w:tcBorders/>
            <w:shd w:fill="auto"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2591"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2527" w:type="dxa"/>
            <w:gridSpan w:val="6"/>
            <w:tcBorders>
              <w:bottom w:val="single" w:sz="2" w:space="0" w:color="000000"/>
            </w:tcBorders>
            <w:shd w:fill="auto" w:val="clear"/>
            <w:tcMar>
              <w:bottom w:w="28" w:type="dxa"/>
            </w:tcMar>
            <w:vAlign w:val="bottom"/>
          </w:tcPr>
          <w:p>
            <w:pPr>
              <w:pStyle w:val="TableContents"/>
              <w:spacing w:before="0" w:after="283"/>
              <w:jc w:val="center"/>
              <w:rPr/>
            </w:pPr>
            <w:r>
              <w:rPr/>
              <w:t>June 30,</w:t>
            </w:r>
          </w:p>
        </w:tc>
        <w:tc>
          <w:tcPr>
            <w:tcW w:w="230" w:type="dxa"/>
            <w:tcBorders/>
            <w:shd w:fill="auto"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003"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006"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975" w:type="dxa"/>
            <w:gridSpan w:val="2"/>
            <w:tcBorders>
              <w:bottom w:val="single" w:sz="2" w:space="0" w:color="000000"/>
            </w:tcBorders>
            <w:shd w:fill="auto" w:val="clear"/>
            <w:tcMar>
              <w:bottom w:w="28" w:type="dxa"/>
            </w:tcMar>
            <w:vAlign w:val="bottom"/>
          </w:tcPr>
          <w:p>
            <w:pPr>
              <w:pStyle w:val="TableContents"/>
              <w:spacing w:before="0" w:after="283"/>
              <w:jc w:val="right"/>
              <w:rPr/>
            </w:pPr>
            <w:r>
              <w:rPr/>
              <w:t>2007</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979" w:type="dxa"/>
            <w:gridSpan w:val="2"/>
            <w:tcBorders>
              <w:bottom w:val="single" w:sz="2" w:space="0" w:color="000000"/>
            </w:tcBorders>
            <w:shd w:fill="auto" w:val="clear"/>
            <w:tcMar>
              <w:bottom w:w="28" w:type="dxa"/>
            </w:tcMar>
            <w:vAlign w:val="bottom"/>
          </w:tcPr>
          <w:p>
            <w:pPr>
              <w:pStyle w:val="TableContents"/>
              <w:spacing w:before="0" w:after="283"/>
              <w:jc w:val="right"/>
              <w:rPr/>
            </w:pPr>
            <w:r>
              <w:rPr/>
              <w:t>2006</w:t>
            </w:r>
          </w:p>
        </w:tc>
        <w:tc>
          <w:tcPr>
            <w:tcW w:w="230" w:type="dxa"/>
            <w:tcBorders/>
            <w:shd w:fill="auto"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5688" w:type="dxa"/>
            <w:gridSpan w:val="14"/>
            <w:tcBorders/>
            <w:shd w:fill="auto" w:val="clear"/>
            <w:vAlign w:val="bottom"/>
          </w:tcPr>
          <w:p>
            <w:pPr>
              <w:pStyle w:val="TableContents"/>
              <w:spacing w:before="0" w:after="283"/>
              <w:jc w:val="center"/>
              <w:rPr>
                <w:i/>
              </w:rPr>
            </w:pPr>
            <w:r>
              <w:rPr>
                <w:i/>
              </w:rPr>
              <w:t>(Dollars in thousands)</w:t>
            </w:r>
          </w:p>
        </w:tc>
        <w:tc>
          <w:tcPr>
            <w:tcW w:w="230" w:type="dxa"/>
            <w:tcBorders/>
            <w:shd w:fill="auto" w:val="clear"/>
            <w:vAlign w:val="bottom"/>
          </w:tcPr>
          <w:p>
            <w:pPr>
              <w:pStyle w:val="TableContents"/>
              <w:spacing w:before="0" w:after="283"/>
              <w:rPr/>
            </w:pPr>
            <w:r>
              <w:rPr/>
              <w:t> </w:t>
            </w:r>
          </w:p>
        </w:tc>
      </w:tr>
      <w:tr>
        <w:trPr/>
        <w:tc>
          <w:tcPr>
            <w:tcW w:w="3934" w:type="dxa"/>
            <w:tcBorders/>
            <w:shd w:fill="CCEEFF" w:val="clear"/>
            <w:vAlign w:val="bottom"/>
          </w:tcPr>
          <w:p>
            <w:pPr>
              <w:pStyle w:val="TableContents"/>
              <w:spacing w:before="0" w:after="0"/>
              <w:ind w:left="225" w:right="0" w:hanging="225"/>
              <w:rPr/>
            </w:pPr>
            <w:r>
              <w:rPr/>
              <w:t>Fee revenue</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27,024</w:t>
            </w:r>
          </w:p>
        </w:tc>
        <w:tc>
          <w:tcPr>
            <w:tcW w:w="227"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17,821</w:t>
            </w:r>
          </w:p>
        </w:tc>
        <w:tc>
          <w:tcPr>
            <w:tcW w:w="218"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74,132</w:t>
            </w:r>
          </w:p>
        </w:tc>
        <w:tc>
          <w:tcPr>
            <w:tcW w:w="2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49,949</w:t>
            </w:r>
          </w:p>
        </w:tc>
        <w:tc>
          <w:tcPr>
            <w:tcW w:w="230" w:type="dxa"/>
            <w:tcBorders/>
            <w:shd w:fill="CCEEFF"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0"/>
              <w:ind w:left="225" w:right="0" w:hanging="225"/>
              <w:rPr/>
            </w:pPr>
            <w:r>
              <w:rPr/>
              <w:t>Bad debt:</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3934" w:type="dxa"/>
            <w:tcBorders/>
            <w:shd w:fill="CCEEFF" w:val="clear"/>
            <w:vAlign w:val="bottom"/>
          </w:tcPr>
          <w:p>
            <w:pPr>
              <w:pStyle w:val="TableContents"/>
              <w:spacing w:before="0" w:after="0"/>
              <w:ind w:left="450" w:right="0" w:hanging="225"/>
              <w:rPr/>
            </w:pPr>
            <w:r>
              <w:rPr/>
              <w:t>Net defaults, including interest on brokered loans</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8,692</w:t>
            </w:r>
          </w:p>
        </w:tc>
        <w:tc>
          <w:tcPr>
            <w:tcW w:w="227"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4,520</w:t>
            </w:r>
          </w:p>
        </w:tc>
        <w:tc>
          <w:tcPr>
            <w:tcW w:w="218"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17,353</w:t>
            </w:r>
          </w:p>
        </w:tc>
        <w:tc>
          <w:tcPr>
            <w:tcW w:w="2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11,342</w:t>
            </w:r>
          </w:p>
        </w:tc>
        <w:tc>
          <w:tcPr>
            <w:tcW w:w="230" w:type="dxa"/>
            <w:tcBorders/>
            <w:shd w:fill="CCEEFF"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0"/>
              <w:ind w:left="450" w:right="0" w:hanging="225"/>
              <w:rPr/>
            </w:pPr>
            <w:r>
              <w:rPr/>
              <w:t>Insufficient funds fees, net of collections</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318</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273</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775</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790</w:t>
            </w:r>
          </w:p>
        </w:tc>
        <w:tc>
          <w:tcPr>
            <w:tcW w:w="230" w:type="dxa"/>
            <w:tcBorders/>
            <w:shd w:fill="auto" w:val="clear"/>
            <w:vAlign w:val="bottom"/>
          </w:tcPr>
          <w:p>
            <w:pPr>
              <w:pStyle w:val="TableContents"/>
              <w:spacing w:before="0" w:after="283"/>
              <w:rPr/>
            </w:pPr>
            <w:r>
              <w:rPr/>
              <w:t> </w:t>
            </w:r>
          </w:p>
        </w:tc>
      </w:tr>
      <w:tr>
        <w:trPr/>
        <w:tc>
          <w:tcPr>
            <w:tcW w:w="3934" w:type="dxa"/>
            <w:tcBorders/>
            <w:shd w:fill="CCEEFF" w:val="clear"/>
            <w:vAlign w:val="bottom"/>
          </w:tcPr>
          <w:p>
            <w:pPr>
              <w:pStyle w:val="TableContents"/>
              <w:spacing w:before="0" w:after="0"/>
              <w:ind w:left="450" w:right="0" w:hanging="225"/>
              <w:rPr/>
            </w:pPr>
            <w:r>
              <w:rPr/>
              <w:t>Change in valuation allowance</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1,059</w:t>
            </w:r>
          </w:p>
        </w:tc>
        <w:tc>
          <w:tcPr>
            <w:tcW w:w="227"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669</w:t>
            </w:r>
          </w:p>
        </w:tc>
        <w:tc>
          <w:tcPr>
            <w:tcW w:w="218"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758</w:t>
            </w:r>
          </w:p>
        </w:tc>
        <w:tc>
          <w:tcPr>
            <w:tcW w:w="2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(198</w:t>
            </w:r>
          </w:p>
        </w:tc>
        <w:tc>
          <w:tcPr>
            <w:tcW w:w="230" w:type="dxa"/>
            <w:tcBorders/>
            <w:shd w:fill="CCEEFF" w:val="clear"/>
            <w:vAlign w:val="bottom"/>
          </w:tcPr>
          <w:p>
            <w:pPr>
              <w:pStyle w:val="TableContents"/>
              <w:spacing w:before="0" w:after="283"/>
              <w:rPr/>
            </w:pPr>
            <w:r>
              <w:rPr/>
              <w:t>)</w:t>
            </w:r>
          </w:p>
        </w:tc>
      </w:tr>
      <w:tr>
        <w:trPr/>
        <w:tc>
          <w:tcPr>
            <w:tcW w:w="3934" w:type="dxa"/>
            <w:tcBorders/>
            <w:shd w:fill="auto" w:val="clear"/>
            <w:vAlign w:val="bottom"/>
          </w:tcPr>
          <w:p>
            <w:pPr>
              <w:pStyle w:val="TableContents"/>
              <w:spacing w:before="0" w:after="0"/>
              <w:ind w:left="450" w:right="0" w:hanging="225"/>
              <w:rPr/>
            </w:pPr>
            <w:r>
              <w:rPr/>
              <w:t>Other related costs</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jc w:val="right"/>
              <w:rPr/>
            </w:pPr>
            <w:r>
              <w:rPr/>
              <w:t>73</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69</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jc w:val="right"/>
              <w:rPr/>
            </w:pPr>
            <w:r>
              <w:rPr/>
              <w:t>200</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pPr>
            <w:r>
              <w:rPr/>
              <w:t>128</w:t>
            </w:r>
          </w:p>
        </w:tc>
        <w:tc>
          <w:tcPr>
            <w:tcW w:w="230" w:type="dxa"/>
            <w:tcBorders/>
            <w:shd w:fill="auto" w:val="clear"/>
            <w:vAlign w:val="bottom"/>
          </w:tcPr>
          <w:p>
            <w:pPr>
              <w:pStyle w:val="TableContents"/>
              <w:spacing w:before="0" w:after="283"/>
              <w:rPr/>
            </w:pPr>
            <w:r>
              <w:rPr/>
              <w:t> </w:t>
            </w:r>
          </w:p>
        </w:tc>
      </w:tr>
      <w:tr>
        <w:trPr/>
        <w:tc>
          <w:tcPr>
            <w:tcW w:w="3934"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3934" w:type="dxa"/>
            <w:tcBorders/>
            <w:shd w:fill="CCEEFF" w:val="clear"/>
            <w:vAlign w:val="bottom"/>
          </w:tcPr>
          <w:p>
            <w:pPr>
              <w:pStyle w:val="TableContents"/>
              <w:spacing w:before="0" w:after="0"/>
              <w:ind w:left="675" w:right="0" w:hanging="225"/>
              <w:rPr/>
            </w:pPr>
            <w:r>
              <w:rPr/>
              <w:t>Net bad debt</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10,142</w:t>
            </w:r>
          </w:p>
        </w:tc>
        <w:tc>
          <w:tcPr>
            <w:tcW w:w="227"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5,531</w:t>
            </w:r>
          </w:p>
        </w:tc>
        <w:tc>
          <w:tcPr>
            <w:tcW w:w="218"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19,086</w:t>
            </w:r>
          </w:p>
        </w:tc>
        <w:tc>
          <w:tcPr>
            <w:tcW w:w="2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12,062</w:t>
            </w:r>
          </w:p>
        </w:tc>
        <w:tc>
          <w:tcPr>
            <w:tcW w:w="230" w:type="dxa"/>
            <w:tcBorders/>
            <w:shd w:fill="CCEEFF" w:val="clear"/>
            <w:vAlign w:val="bottom"/>
          </w:tcPr>
          <w:p>
            <w:pPr>
              <w:pStyle w:val="TableContents"/>
              <w:spacing w:before="0" w:after="283"/>
              <w:rPr/>
            </w:pPr>
            <w:r>
              <w:rPr/>
              <w:t> </w:t>
            </w:r>
          </w:p>
        </w:tc>
      </w:tr>
      <w:tr>
        <w:trPr/>
        <w:tc>
          <w:tcPr>
            <w:tcW w:w="3934"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00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0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7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7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3934" w:type="dxa"/>
            <w:tcBorders/>
            <w:shd w:fill="auto" w:val="clear"/>
            <w:vAlign w:val="bottom"/>
          </w:tcPr>
          <w:p>
            <w:pPr>
              <w:pStyle w:val="TableContents"/>
              <w:spacing w:before="0" w:after="0"/>
              <w:ind w:left="225" w:right="0" w:hanging="225"/>
              <w:rPr/>
            </w:pPr>
            <w:r>
              <w:rPr/>
              <w:t>Fee revenue less bad debt</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4" w:type="dxa"/>
            <w:tcBorders/>
            <w:shd w:fill="auto" w:val="clear"/>
            <w:vAlign w:val="bottom"/>
          </w:tcPr>
          <w:p>
            <w:pPr>
              <w:pStyle w:val="TableContents"/>
              <w:spacing w:before="0" w:after="283"/>
              <w:jc w:val="right"/>
              <w:rPr/>
            </w:pPr>
            <w:r>
              <w:rPr/>
              <w:t>16,882</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12,290</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55,046</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37,887</w:t>
            </w:r>
          </w:p>
        </w:tc>
        <w:tc>
          <w:tcPr>
            <w:tcW w:w="230" w:type="dxa"/>
            <w:tcBorders/>
            <w:shd w:fill="auto" w:val="clear"/>
            <w:vAlign w:val="bottom"/>
          </w:tcPr>
          <w:p>
            <w:pPr>
              <w:pStyle w:val="TableContents"/>
              <w:spacing w:before="0" w:after="283"/>
              <w:rPr/>
            </w:pPr>
            <w:r>
              <w:rPr/>
              <w:t> </w:t>
            </w:r>
          </w:p>
        </w:tc>
      </w:tr>
      <w:tr>
        <w:trPr/>
        <w:tc>
          <w:tcPr>
            <w:tcW w:w="3934" w:type="dxa"/>
            <w:tcBorders/>
            <w:shd w:fill="auto" w:val="clear"/>
            <w:vAlign w:val="center"/>
          </w:tcPr>
          <w:p>
            <w:pPr>
              <w:pStyle w:val="TableContents"/>
              <w:spacing w:before="0" w:after="0"/>
              <w:ind w:left="225" w:right="0" w:hanging="225"/>
              <w:rPr/>
            </w:pPr>
            <w:r>
              <w:rPr/>
              <w:t> </w:t>
            </w:r>
          </w:p>
        </w:tc>
        <w:tc>
          <w:tcPr>
            <w:tcW w:w="353" w:type="dxa"/>
            <w:tcBorders/>
            <w:shd w:fill="auto" w:val="clear"/>
            <w:vAlign w:val="center"/>
          </w:tcPr>
          <w:p>
            <w:pPr>
              <w:pStyle w:val="TableContents"/>
              <w:spacing w:before="0" w:after="283"/>
              <w:rPr/>
            </w:pPr>
            <w:r>
              <w:rPr/>
              <w:t> </w:t>
            </w:r>
          </w:p>
        </w:tc>
        <w:tc>
          <w:tcPr>
            <w:tcW w:w="100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7" w:type="dxa"/>
            <w:tcBorders/>
            <w:shd w:fill="auto" w:val="clear"/>
            <w:vAlign w:val="center"/>
          </w:tcPr>
          <w:p>
            <w:pPr>
              <w:pStyle w:val="TableContents"/>
              <w:spacing w:before="0" w:after="283"/>
              <w:rPr/>
            </w:pPr>
            <w:r>
              <w:rPr/>
              <w:t> </w:t>
            </w:r>
          </w:p>
        </w:tc>
        <w:tc>
          <w:tcPr>
            <w:tcW w:w="355" w:type="dxa"/>
            <w:tcBorders/>
            <w:shd w:fill="auto" w:val="clear"/>
            <w:vAlign w:val="center"/>
          </w:tcPr>
          <w:p>
            <w:pPr>
              <w:pStyle w:val="TableContents"/>
              <w:spacing w:before="0" w:after="283"/>
              <w:rPr/>
            </w:pPr>
            <w:r>
              <w:rPr/>
              <w:t> </w:t>
            </w:r>
          </w:p>
        </w:tc>
        <w:tc>
          <w:tcPr>
            <w:tcW w:w="100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18" w:type="dxa"/>
            <w:tcBorders/>
            <w:shd w:fill="auto" w:val="clear"/>
            <w:vAlign w:val="center"/>
          </w:tcPr>
          <w:p>
            <w:pPr>
              <w:pStyle w:val="TableContents"/>
              <w:spacing w:before="0" w:after="283"/>
              <w:rPr/>
            </w:pPr>
            <w:r>
              <w:rPr/>
              <w:t> </w:t>
            </w:r>
          </w:p>
        </w:tc>
        <w:tc>
          <w:tcPr>
            <w:tcW w:w="352" w:type="dxa"/>
            <w:tcBorders/>
            <w:shd w:fill="auto" w:val="clear"/>
            <w:vAlign w:val="center"/>
          </w:tcPr>
          <w:p>
            <w:pPr>
              <w:pStyle w:val="TableContents"/>
              <w:spacing w:before="0" w:after="283"/>
              <w:rPr/>
            </w:pPr>
            <w:r>
              <w:rPr/>
              <w:t> </w:t>
            </w:r>
          </w:p>
        </w:tc>
        <w:tc>
          <w:tcPr>
            <w:tcW w:w="97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20" w:type="dxa"/>
            <w:tcBorders/>
            <w:shd w:fill="auto" w:val="clear"/>
            <w:vAlign w:val="center"/>
          </w:tcPr>
          <w:p>
            <w:pPr>
              <w:pStyle w:val="TableContents"/>
              <w:spacing w:before="0" w:after="283"/>
              <w:rPr/>
            </w:pPr>
            <w:r>
              <w:rPr/>
              <w:t> </w:t>
            </w:r>
          </w:p>
        </w:tc>
        <w:tc>
          <w:tcPr>
            <w:tcW w:w="353" w:type="dxa"/>
            <w:tcBorders/>
            <w:shd w:fill="auto" w:val="clear"/>
            <w:vAlign w:val="center"/>
          </w:tcPr>
          <w:p>
            <w:pPr>
              <w:pStyle w:val="TableContents"/>
              <w:spacing w:before="0" w:after="283"/>
              <w:rPr/>
            </w:pPr>
            <w:r>
              <w:rPr/>
              <w:t> </w:t>
            </w:r>
          </w:p>
        </w:tc>
        <w:tc>
          <w:tcPr>
            <w:tcW w:w="97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0" w:type="dxa"/>
            <w:tcBorders/>
            <w:shd w:fill="auto" w:val="clear"/>
            <w:vAlign w:val="center"/>
          </w:tcPr>
          <w:p>
            <w:pPr>
              <w:pStyle w:val="TableContents"/>
              <w:spacing w:before="0" w:after="283"/>
              <w:rPr/>
            </w:pPr>
            <w:r>
              <w:rPr/>
              <w:t> </w:t>
            </w:r>
          </w:p>
        </w:tc>
      </w:tr>
      <w:tr>
        <w:trPr/>
        <w:tc>
          <w:tcPr>
            <w:tcW w:w="3934" w:type="dxa"/>
            <w:tcBorders/>
            <w:shd w:fill="auto" w:val="clear"/>
            <w:vAlign w:val="bottom"/>
          </w:tcPr>
          <w:p>
            <w:pPr>
              <w:pStyle w:val="TableContents"/>
              <w:spacing w:before="0" w:after="0"/>
              <w:ind w:left="225" w:right="0" w:hanging="225"/>
              <w:rPr/>
            </w:pPr>
            <w:r>
              <w:rPr/>
              <w:t> </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4" w:type="dxa"/>
            <w:tcBorders/>
            <w:shd w:fill="auto" w:val="clear"/>
            <w:vAlign w:val="bottom"/>
          </w:tcPr>
          <w:p>
            <w:pPr>
              <w:pStyle w:val="TableContents"/>
              <w:spacing w:before="0" w:after="283"/>
              <w:rPr/>
            </w:pPr>
            <w:r>
              <w:rPr/>
              <w:t> </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1" w:type="dxa"/>
            <w:tcBorders/>
            <w:shd w:fill="auto" w:val="clear"/>
            <w:vAlign w:val="bottom"/>
          </w:tcPr>
          <w:p>
            <w:pPr>
              <w:pStyle w:val="TableContents"/>
              <w:spacing w:before="0" w:after="283"/>
              <w:rPr/>
            </w:pPr>
            <w:r>
              <w:rPr/>
              <w:t> </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r>
      <w:tr>
        <w:trPr/>
        <w:tc>
          <w:tcPr>
            <w:tcW w:w="3934" w:type="dxa"/>
            <w:tcBorders/>
            <w:shd w:fill="CCEEFF" w:val="clear"/>
            <w:vAlign w:val="bottom"/>
          </w:tcPr>
          <w:p>
            <w:pPr>
              <w:pStyle w:val="TableContents"/>
              <w:spacing w:before="0" w:after="0"/>
              <w:ind w:left="225" w:right="0" w:hanging="225"/>
              <w:rPr/>
            </w:pPr>
            <w:r>
              <w:rPr/>
              <w:t>Average signature loan balance outstanding during period (a)</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4" w:type="dxa"/>
            <w:tcBorders/>
            <w:shd w:fill="CCEEFF" w:val="clear"/>
            <w:vAlign w:val="bottom"/>
          </w:tcPr>
          <w:p>
            <w:pPr>
              <w:pStyle w:val="TableContents"/>
              <w:spacing w:before="0" w:after="283"/>
              <w:jc w:val="right"/>
              <w:rPr/>
            </w:pPr>
            <w:r>
              <w:rPr/>
              <w:t>23,779</w:t>
            </w:r>
          </w:p>
        </w:tc>
        <w:tc>
          <w:tcPr>
            <w:tcW w:w="227"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15,845</w:t>
            </w:r>
          </w:p>
        </w:tc>
        <w:tc>
          <w:tcPr>
            <w:tcW w:w="218"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1" w:type="dxa"/>
            <w:tcBorders/>
            <w:shd w:fill="CCEEFF" w:val="clear"/>
            <w:vAlign w:val="bottom"/>
          </w:tcPr>
          <w:p>
            <w:pPr>
              <w:pStyle w:val="TableContents"/>
              <w:spacing w:before="0" w:after="283"/>
              <w:jc w:val="right"/>
              <w:rPr/>
            </w:pPr>
            <w:r>
              <w:rPr/>
              <w:t>22,222</w:t>
            </w:r>
          </w:p>
        </w:tc>
        <w:tc>
          <w:tcPr>
            <w:tcW w:w="2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w:t>
            </w:r>
          </w:p>
        </w:tc>
        <w:tc>
          <w:tcPr>
            <w:tcW w:w="815" w:type="dxa"/>
            <w:tcBorders/>
            <w:shd w:fill="CCEEFF" w:val="clear"/>
            <w:vAlign w:val="bottom"/>
          </w:tcPr>
          <w:p>
            <w:pPr>
              <w:pStyle w:val="TableContents"/>
              <w:spacing w:before="0" w:after="283"/>
              <w:jc w:val="right"/>
              <w:rPr/>
            </w:pPr>
            <w:r>
              <w:rPr/>
              <w:t>15,299</w:t>
            </w:r>
          </w:p>
        </w:tc>
        <w:tc>
          <w:tcPr>
            <w:tcW w:w="230" w:type="dxa"/>
            <w:tcBorders/>
            <w:shd w:fill="CCEEFF"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0"/>
              <w:ind w:left="225" w:right="0" w:hanging="225"/>
              <w:rPr/>
            </w:pPr>
            <w:r>
              <w:rPr/>
              <w:t>Signature loan balance at end of period (a)</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4" w:type="dxa"/>
            <w:tcBorders/>
            <w:shd w:fill="auto" w:val="clear"/>
            <w:vAlign w:val="bottom"/>
          </w:tcPr>
          <w:p>
            <w:pPr>
              <w:pStyle w:val="TableContents"/>
              <w:spacing w:before="0" w:after="283"/>
              <w:jc w:val="right"/>
              <w:rPr/>
            </w:pPr>
            <w:r>
              <w:rPr/>
              <w:t>26,023</w:t>
            </w:r>
          </w:p>
        </w:tc>
        <w:tc>
          <w:tcPr>
            <w:tcW w:w="227" w:type="dxa"/>
            <w:tcBorders/>
            <w:shd w:fill="auto" w:val="clear"/>
            <w:vAlign w:val="bottom"/>
          </w:tcPr>
          <w:p>
            <w:pPr>
              <w:pStyle w:val="TableContents"/>
              <w:spacing w:before="0" w:after="283"/>
              <w:rPr/>
            </w:pPr>
            <w:r>
              <w:rPr/>
              <w:t> </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w:t>
            </w:r>
          </w:p>
        </w:tc>
        <w:tc>
          <w:tcPr>
            <w:tcW w:w="837" w:type="dxa"/>
            <w:tcBorders/>
            <w:shd w:fill="auto" w:val="clear"/>
            <w:vAlign w:val="bottom"/>
          </w:tcPr>
          <w:p>
            <w:pPr>
              <w:pStyle w:val="TableContents"/>
              <w:spacing w:before="0" w:after="283"/>
              <w:jc w:val="right"/>
              <w:rPr/>
            </w:pPr>
            <w:r>
              <w:rPr/>
              <w:t>17,870</w:t>
            </w:r>
          </w:p>
        </w:tc>
        <w:tc>
          <w:tcPr>
            <w:tcW w:w="218" w:type="dxa"/>
            <w:tcBorders/>
            <w:shd w:fill="auto" w:val="clear"/>
            <w:vAlign w:val="bottom"/>
          </w:tcPr>
          <w:p>
            <w:pPr>
              <w:pStyle w:val="TableContents"/>
              <w:spacing w:before="0" w:after="283"/>
              <w:rPr/>
            </w:pPr>
            <w:r>
              <w:rPr/>
              <w:t> </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1" w:type="dxa"/>
            <w:tcBorders/>
            <w:shd w:fill="auto" w:val="clear"/>
            <w:vAlign w:val="bottom"/>
          </w:tcPr>
          <w:p>
            <w:pPr>
              <w:pStyle w:val="TableContents"/>
              <w:spacing w:before="0" w:after="283"/>
              <w:jc w:val="right"/>
              <w:rPr/>
            </w:pPr>
            <w:r>
              <w:rPr/>
              <w:t>26,023</w:t>
            </w:r>
          </w:p>
        </w:tc>
        <w:tc>
          <w:tcPr>
            <w:tcW w:w="220" w:type="dxa"/>
            <w:tcBorders/>
            <w:shd w:fill="auto" w:val="clear"/>
            <w:vAlign w:val="bottom"/>
          </w:tcPr>
          <w:p>
            <w:pPr>
              <w:pStyle w:val="TableContents"/>
              <w:spacing w:before="0" w:after="283"/>
              <w:rPr/>
            </w:pPr>
            <w:r>
              <w:rPr/>
              <w:t> </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w:t>
            </w:r>
          </w:p>
        </w:tc>
        <w:tc>
          <w:tcPr>
            <w:tcW w:w="815" w:type="dxa"/>
            <w:tcBorders/>
            <w:shd w:fill="auto" w:val="clear"/>
            <w:vAlign w:val="bottom"/>
          </w:tcPr>
          <w:p>
            <w:pPr>
              <w:pStyle w:val="TableContents"/>
              <w:spacing w:before="0" w:after="283"/>
              <w:jc w:val="right"/>
              <w:rPr/>
            </w:pPr>
            <w:r>
              <w:rPr/>
              <w:t>17,870</w:t>
            </w:r>
          </w:p>
        </w:tc>
        <w:tc>
          <w:tcPr>
            <w:tcW w:w="230" w:type="dxa"/>
            <w:tcBorders/>
            <w:shd w:fill="auto" w:val="clear"/>
            <w:vAlign w:val="bottom"/>
          </w:tcPr>
          <w:p>
            <w:pPr>
              <w:pStyle w:val="TableContents"/>
              <w:spacing w:before="0" w:after="283"/>
              <w:rPr/>
            </w:pPr>
            <w:r>
              <w:rPr/>
              <w:t> </w:t>
            </w:r>
          </w:p>
        </w:tc>
      </w:tr>
      <w:tr>
        <w:trPr/>
        <w:tc>
          <w:tcPr>
            <w:tcW w:w="3934" w:type="dxa"/>
            <w:tcBorders/>
            <w:shd w:fill="CCEEFF" w:val="clear"/>
            <w:vAlign w:val="bottom"/>
          </w:tcPr>
          <w:p>
            <w:pPr>
              <w:pStyle w:val="TableContents"/>
              <w:spacing w:before="0" w:after="0"/>
              <w:ind w:left="225" w:right="0" w:hanging="225"/>
              <w:rPr/>
            </w:pPr>
            <w:r>
              <w:rPr/>
              <w:t>Participating stores at end of period</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4" w:type="dxa"/>
            <w:tcBorders/>
            <w:shd w:fill="CCEEFF" w:val="clear"/>
            <w:vAlign w:val="bottom"/>
          </w:tcPr>
          <w:p>
            <w:pPr>
              <w:pStyle w:val="TableContents"/>
              <w:spacing w:before="0" w:after="283"/>
              <w:jc w:val="right"/>
              <w:rPr/>
            </w:pPr>
            <w:r>
              <w:rPr/>
              <w:t>470</w:t>
            </w:r>
          </w:p>
        </w:tc>
        <w:tc>
          <w:tcPr>
            <w:tcW w:w="227" w:type="dxa"/>
            <w:tcBorders/>
            <w:shd w:fill="CCEEFF" w:val="clear"/>
            <w:vAlign w:val="bottom"/>
          </w:tcPr>
          <w:p>
            <w:pPr>
              <w:pStyle w:val="TableContents"/>
              <w:spacing w:before="0" w:after="283"/>
              <w:rPr/>
            </w:pPr>
            <w:r>
              <w:rPr/>
              <w:t> </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370</w:t>
            </w:r>
          </w:p>
        </w:tc>
        <w:tc>
          <w:tcPr>
            <w:tcW w:w="218" w:type="dxa"/>
            <w:tcBorders/>
            <w:shd w:fill="CCEEFF" w:val="clear"/>
            <w:vAlign w:val="bottom"/>
          </w:tcPr>
          <w:p>
            <w:pPr>
              <w:pStyle w:val="TableContents"/>
              <w:spacing w:before="0" w:after="283"/>
              <w:rPr/>
            </w:pPr>
            <w:r>
              <w:rPr/>
              <w:t> </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1" w:type="dxa"/>
            <w:tcBorders/>
            <w:shd w:fill="CCEEFF" w:val="clear"/>
            <w:vAlign w:val="bottom"/>
          </w:tcPr>
          <w:p>
            <w:pPr>
              <w:pStyle w:val="TableContents"/>
              <w:spacing w:before="0" w:after="283"/>
              <w:jc w:val="right"/>
              <w:rPr/>
            </w:pPr>
            <w:r>
              <w:rPr/>
              <w:t>470</w:t>
            </w:r>
          </w:p>
        </w:tc>
        <w:tc>
          <w:tcPr>
            <w:tcW w:w="220" w:type="dxa"/>
            <w:tcBorders/>
            <w:shd w:fill="CCEEFF" w:val="clear"/>
            <w:vAlign w:val="bottom"/>
          </w:tcPr>
          <w:p>
            <w:pPr>
              <w:pStyle w:val="TableContents"/>
              <w:spacing w:before="0" w:after="283"/>
              <w:rPr/>
            </w:pPr>
            <w:r>
              <w:rPr/>
              <w:t> </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rPr/>
            </w:pPr>
            <w:r>
              <w:rPr/>
              <w:t> </w:t>
            </w:r>
          </w:p>
        </w:tc>
        <w:tc>
          <w:tcPr>
            <w:tcW w:w="815" w:type="dxa"/>
            <w:tcBorders/>
            <w:shd w:fill="CCEEFF" w:val="clear"/>
            <w:vAlign w:val="bottom"/>
          </w:tcPr>
          <w:p>
            <w:pPr>
              <w:pStyle w:val="TableContents"/>
              <w:spacing w:before="0" w:after="283"/>
              <w:jc w:val="right"/>
              <w:rPr/>
            </w:pPr>
            <w:r>
              <w:rPr/>
              <w:t>370</w:t>
            </w:r>
          </w:p>
        </w:tc>
        <w:tc>
          <w:tcPr>
            <w:tcW w:w="230" w:type="dxa"/>
            <w:tcBorders/>
            <w:shd w:fill="CCEEFF" w:val="clear"/>
            <w:vAlign w:val="bottom"/>
          </w:tcPr>
          <w:p>
            <w:pPr>
              <w:pStyle w:val="TableContents"/>
              <w:spacing w:before="0" w:after="283"/>
              <w:rPr/>
            </w:pPr>
            <w:r>
              <w:rPr/>
              <w:t> </w:t>
            </w:r>
          </w:p>
        </w:tc>
      </w:tr>
      <w:tr>
        <w:trPr/>
        <w:tc>
          <w:tcPr>
            <w:tcW w:w="3934" w:type="dxa"/>
            <w:tcBorders/>
            <w:shd w:fill="auto" w:val="clear"/>
            <w:vAlign w:val="bottom"/>
          </w:tcPr>
          <w:p>
            <w:pPr>
              <w:pStyle w:val="TableContents"/>
              <w:spacing w:before="0" w:after="0"/>
              <w:ind w:left="225" w:right="0" w:hanging="225"/>
              <w:rPr/>
            </w:pPr>
            <w:r>
              <w:rPr/>
              <w:t>Signature loan bad debt, as a percent of fee revenue</w:t>
            </w:r>
          </w:p>
        </w:tc>
        <w:tc>
          <w:tcPr>
            <w:tcW w:w="353"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834" w:type="dxa"/>
            <w:tcBorders/>
            <w:shd w:fill="auto" w:val="clear"/>
            <w:vAlign w:val="bottom"/>
          </w:tcPr>
          <w:p>
            <w:pPr>
              <w:pStyle w:val="TableContents"/>
              <w:spacing w:before="0" w:after="283"/>
              <w:jc w:val="right"/>
              <w:rPr/>
            </w:pPr>
            <w:r>
              <w:rPr/>
              <w:t>37.5</w:t>
            </w:r>
          </w:p>
        </w:tc>
        <w:tc>
          <w:tcPr>
            <w:tcW w:w="227" w:type="dxa"/>
            <w:tcBorders/>
            <w:shd w:fill="auto" w:val="clear"/>
            <w:vAlign w:val="bottom"/>
          </w:tcPr>
          <w:p>
            <w:pPr>
              <w:pStyle w:val="TableContents"/>
              <w:spacing w:before="0" w:after="283"/>
              <w:rPr/>
            </w:pPr>
            <w:r>
              <w:rPr/>
              <w:t>%</w:t>
            </w:r>
          </w:p>
        </w:tc>
        <w:tc>
          <w:tcPr>
            <w:tcW w:w="355" w:type="dxa"/>
            <w:tcBorders/>
            <w:shd w:fill="auto" w:val="clear"/>
            <w:vAlign w:val="bottom"/>
          </w:tcPr>
          <w:p>
            <w:pPr>
              <w:pStyle w:val="TableContents"/>
              <w:spacing w:before="0" w:after="283"/>
              <w:rPr/>
            </w:pPr>
            <w:r>
              <w:rPr/>
              <w:t> </w:t>
            </w:r>
          </w:p>
        </w:tc>
        <w:tc>
          <w:tcPr>
            <w:tcW w:w="169" w:type="dxa"/>
            <w:tcBorders/>
            <w:shd w:fill="auto" w:val="clear"/>
            <w:vAlign w:val="bottom"/>
          </w:tcPr>
          <w:p>
            <w:pPr>
              <w:pStyle w:val="TableContents"/>
              <w:spacing w:before="0" w:after="283"/>
              <w:jc w:val="left"/>
              <w:rPr/>
            </w:pPr>
            <w:r>
              <w:rPr/>
              <w:t> </w:t>
            </w:r>
          </w:p>
        </w:tc>
        <w:tc>
          <w:tcPr>
            <w:tcW w:w="837" w:type="dxa"/>
            <w:tcBorders/>
            <w:shd w:fill="auto" w:val="clear"/>
            <w:vAlign w:val="bottom"/>
          </w:tcPr>
          <w:p>
            <w:pPr>
              <w:pStyle w:val="TableContents"/>
              <w:spacing w:before="0" w:after="283"/>
              <w:jc w:val="right"/>
              <w:rPr/>
            </w:pPr>
            <w:r>
              <w:rPr/>
              <w:t>31.0</w:t>
            </w:r>
          </w:p>
        </w:tc>
        <w:tc>
          <w:tcPr>
            <w:tcW w:w="218" w:type="dxa"/>
            <w:tcBorders/>
            <w:shd w:fill="auto" w:val="clear"/>
            <w:vAlign w:val="bottom"/>
          </w:tcPr>
          <w:p>
            <w:pPr>
              <w:pStyle w:val="TableContents"/>
              <w:spacing w:before="0" w:after="283"/>
              <w:rPr/>
            </w:pPr>
            <w:r>
              <w:rPr/>
              <w:t>%</w:t>
            </w:r>
          </w:p>
        </w:tc>
        <w:tc>
          <w:tcPr>
            <w:tcW w:w="352"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11" w:type="dxa"/>
            <w:tcBorders/>
            <w:shd w:fill="auto" w:val="clear"/>
            <w:vAlign w:val="bottom"/>
          </w:tcPr>
          <w:p>
            <w:pPr>
              <w:pStyle w:val="TableContents"/>
              <w:spacing w:before="0" w:after="283"/>
              <w:jc w:val="right"/>
              <w:rPr/>
            </w:pPr>
            <w:r>
              <w:rPr/>
              <w:t>25.7</w:t>
            </w:r>
          </w:p>
        </w:tc>
        <w:tc>
          <w:tcPr>
            <w:tcW w:w="220" w:type="dxa"/>
            <w:tcBorders/>
            <w:shd w:fill="auto" w:val="clear"/>
            <w:vAlign w:val="bottom"/>
          </w:tcPr>
          <w:p>
            <w:pPr>
              <w:pStyle w:val="TableContents"/>
              <w:spacing w:before="0" w:after="283"/>
              <w:rPr/>
            </w:pPr>
            <w:r>
              <w:rPr/>
              <w:t>%</w:t>
            </w:r>
          </w:p>
        </w:tc>
        <w:tc>
          <w:tcPr>
            <w:tcW w:w="353" w:type="dxa"/>
            <w:tcBorders/>
            <w:shd w:fill="auto" w:val="clear"/>
            <w:vAlign w:val="bottom"/>
          </w:tcPr>
          <w:p>
            <w:pPr>
              <w:pStyle w:val="TableContents"/>
              <w:spacing w:before="0" w:after="283"/>
              <w:rPr/>
            </w:pPr>
            <w:r>
              <w:rPr/>
              <w:t> </w:t>
            </w:r>
          </w:p>
        </w:tc>
        <w:tc>
          <w:tcPr>
            <w:tcW w:w="164" w:type="dxa"/>
            <w:tcBorders/>
            <w:shd w:fill="auto" w:val="clear"/>
            <w:vAlign w:val="bottom"/>
          </w:tcPr>
          <w:p>
            <w:pPr>
              <w:pStyle w:val="TableContents"/>
              <w:spacing w:before="0" w:after="283"/>
              <w:jc w:val="left"/>
              <w:rPr/>
            </w:pPr>
            <w:r>
              <w:rPr/>
              <w:t> </w:t>
            </w:r>
          </w:p>
        </w:tc>
        <w:tc>
          <w:tcPr>
            <w:tcW w:w="815" w:type="dxa"/>
            <w:tcBorders/>
            <w:shd w:fill="auto" w:val="clear"/>
            <w:vAlign w:val="bottom"/>
          </w:tcPr>
          <w:p>
            <w:pPr>
              <w:pStyle w:val="TableContents"/>
              <w:spacing w:before="0" w:after="283"/>
              <w:jc w:val="right"/>
              <w:rPr/>
            </w:pPr>
            <w:r>
              <w:rPr/>
              <w:t>24.1</w:t>
            </w:r>
          </w:p>
        </w:tc>
        <w:tc>
          <w:tcPr>
            <w:tcW w:w="230" w:type="dxa"/>
            <w:tcBorders/>
            <w:shd w:fill="auto" w:val="clear"/>
            <w:vAlign w:val="bottom"/>
          </w:tcPr>
          <w:p>
            <w:pPr>
              <w:pStyle w:val="TableContents"/>
              <w:spacing w:before="0" w:after="283"/>
              <w:rPr/>
            </w:pPr>
            <w:r>
              <w:rPr/>
              <w:t>%</w:t>
            </w:r>
          </w:p>
        </w:tc>
      </w:tr>
      <w:tr>
        <w:trPr/>
        <w:tc>
          <w:tcPr>
            <w:tcW w:w="3934" w:type="dxa"/>
            <w:tcBorders/>
            <w:shd w:fill="CCEEFF" w:val="clear"/>
            <w:vAlign w:val="bottom"/>
          </w:tcPr>
          <w:p>
            <w:pPr>
              <w:pStyle w:val="TableContents"/>
              <w:spacing w:before="0" w:after="0"/>
              <w:ind w:left="225" w:right="0" w:hanging="225"/>
              <w:rPr/>
            </w:pPr>
            <w:r>
              <w:rPr/>
              <w:t>Net default rate (a)(b)</w:t>
            </w:r>
          </w:p>
        </w:tc>
        <w:tc>
          <w:tcPr>
            <w:tcW w:w="353"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834" w:type="dxa"/>
            <w:tcBorders/>
            <w:shd w:fill="CCEEFF" w:val="clear"/>
            <w:vAlign w:val="bottom"/>
          </w:tcPr>
          <w:p>
            <w:pPr>
              <w:pStyle w:val="TableContents"/>
              <w:spacing w:before="0" w:after="283"/>
              <w:jc w:val="right"/>
              <w:rPr/>
            </w:pPr>
            <w:r>
              <w:rPr/>
              <w:t>6.1</w:t>
            </w:r>
          </w:p>
        </w:tc>
        <w:tc>
          <w:tcPr>
            <w:tcW w:w="227" w:type="dxa"/>
            <w:tcBorders/>
            <w:shd w:fill="CCEEFF" w:val="clear"/>
            <w:vAlign w:val="bottom"/>
          </w:tcPr>
          <w:p>
            <w:pPr>
              <w:pStyle w:val="TableContents"/>
              <w:spacing w:before="0" w:after="283"/>
              <w:rPr/>
            </w:pPr>
            <w:r>
              <w:rPr/>
              <w:t>%</w:t>
            </w:r>
          </w:p>
        </w:tc>
        <w:tc>
          <w:tcPr>
            <w:tcW w:w="355" w:type="dxa"/>
            <w:tcBorders/>
            <w:shd w:fill="CCEEFF" w:val="clear"/>
            <w:vAlign w:val="bottom"/>
          </w:tcPr>
          <w:p>
            <w:pPr>
              <w:pStyle w:val="TableContents"/>
              <w:spacing w:before="0" w:after="283"/>
              <w:rPr/>
            </w:pPr>
            <w:r>
              <w:rPr/>
              <w:t> </w:t>
            </w:r>
          </w:p>
        </w:tc>
        <w:tc>
          <w:tcPr>
            <w:tcW w:w="169" w:type="dxa"/>
            <w:tcBorders/>
            <w:shd w:fill="CCEEFF" w:val="clear"/>
            <w:vAlign w:val="bottom"/>
          </w:tcPr>
          <w:p>
            <w:pPr>
              <w:pStyle w:val="TableContents"/>
              <w:spacing w:before="0" w:after="283"/>
              <w:jc w:val="left"/>
              <w:rPr/>
            </w:pPr>
            <w:r>
              <w:rPr/>
              <w:t> </w:t>
            </w:r>
          </w:p>
        </w:tc>
        <w:tc>
          <w:tcPr>
            <w:tcW w:w="837" w:type="dxa"/>
            <w:tcBorders/>
            <w:shd w:fill="CCEEFF" w:val="clear"/>
            <w:vAlign w:val="bottom"/>
          </w:tcPr>
          <w:p>
            <w:pPr>
              <w:pStyle w:val="TableContents"/>
              <w:spacing w:before="0" w:after="283"/>
              <w:jc w:val="right"/>
              <w:rPr/>
            </w:pPr>
            <w:r>
              <w:rPr/>
              <w:t>5.0</w:t>
            </w:r>
          </w:p>
        </w:tc>
        <w:tc>
          <w:tcPr>
            <w:tcW w:w="218" w:type="dxa"/>
            <w:tcBorders/>
            <w:shd w:fill="CCEEFF" w:val="clear"/>
            <w:vAlign w:val="bottom"/>
          </w:tcPr>
          <w:p>
            <w:pPr>
              <w:pStyle w:val="TableContents"/>
              <w:spacing w:before="0" w:after="283"/>
              <w:rPr/>
            </w:pPr>
            <w:r>
              <w:rPr/>
              <w:t>%</w:t>
            </w:r>
          </w:p>
        </w:tc>
        <w:tc>
          <w:tcPr>
            <w:tcW w:w="352"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11" w:type="dxa"/>
            <w:tcBorders/>
            <w:shd w:fill="CCEEFF" w:val="clear"/>
            <w:vAlign w:val="bottom"/>
          </w:tcPr>
          <w:p>
            <w:pPr>
              <w:pStyle w:val="TableContents"/>
              <w:spacing w:before="0" w:after="283"/>
              <w:jc w:val="right"/>
              <w:rPr/>
            </w:pPr>
            <w:r>
              <w:rPr/>
              <w:t>4.6</w:t>
            </w:r>
          </w:p>
        </w:tc>
        <w:tc>
          <w:tcPr>
            <w:tcW w:w="220" w:type="dxa"/>
            <w:tcBorders/>
            <w:shd w:fill="CCEEFF" w:val="clear"/>
            <w:vAlign w:val="bottom"/>
          </w:tcPr>
          <w:p>
            <w:pPr>
              <w:pStyle w:val="TableContents"/>
              <w:spacing w:before="0" w:after="283"/>
              <w:rPr/>
            </w:pPr>
            <w:r>
              <w:rPr/>
              <w:t>%</w:t>
            </w:r>
          </w:p>
        </w:tc>
        <w:tc>
          <w:tcPr>
            <w:tcW w:w="353" w:type="dxa"/>
            <w:tcBorders/>
            <w:shd w:fill="CCEEFF" w:val="clear"/>
            <w:vAlign w:val="bottom"/>
          </w:tcPr>
          <w:p>
            <w:pPr>
              <w:pStyle w:val="TableContents"/>
              <w:spacing w:before="0" w:after="283"/>
              <w:rPr/>
            </w:pPr>
            <w:r>
              <w:rPr/>
              <w:t> </w:t>
            </w:r>
          </w:p>
        </w:tc>
        <w:tc>
          <w:tcPr>
            <w:tcW w:w="164" w:type="dxa"/>
            <w:tcBorders/>
            <w:shd w:fill="CCEEFF" w:val="clear"/>
            <w:vAlign w:val="bottom"/>
          </w:tcPr>
          <w:p>
            <w:pPr>
              <w:pStyle w:val="TableContents"/>
              <w:spacing w:before="0" w:after="283"/>
              <w:jc w:val="left"/>
              <w:rPr/>
            </w:pPr>
            <w:r>
              <w:rPr/>
              <w:t> </w:t>
            </w:r>
          </w:p>
        </w:tc>
        <w:tc>
          <w:tcPr>
            <w:tcW w:w="815" w:type="dxa"/>
            <w:tcBorders/>
            <w:shd w:fill="CCEEFF" w:val="clear"/>
            <w:vAlign w:val="bottom"/>
          </w:tcPr>
          <w:p>
            <w:pPr>
              <w:pStyle w:val="TableContents"/>
              <w:spacing w:before="0" w:after="283"/>
              <w:jc w:val="right"/>
              <w:rPr/>
            </w:pPr>
            <w:r>
              <w:rPr/>
              <w:t>4.5</w:t>
            </w:r>
          </w:p>
        </w:tc>
        <w:tc>
          <w:tcPr>
            <w:tcW w:w="230" w:type="dxa"/>
            <w:tcBorders/>
            <w:shd w:fill="CCEEFF" w:val="clear"/>
            <w:vAlign w:val="bottom"/>
          </w:tcPr>
          <w:p>
            <w:pPr>
              <w:pStyle w:val="TableContents"/>
              <w:spacing w:before="0" w:after="283"/>
              <w:rPr/>
            </w:pPr>
            <w:r>
              <w:rPr/>
              <w:t>%</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Principal defaults net of collections, as a percentage of signature loans made and renewed.</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Overview</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lend or provide credit services to individuals who do not have cash resources or access to credit to meet their short-term cash needs. We offer pawn loans in 295 domestic pawn stores, including fifteen acquired in the current quarter, and three Mexico pawn stores open at June 30, 2007. Pawn loans are non-recourse loans collateralized by tangible personal property. At these stores, we also sell merchandise, primarily collateral forfeited from our pawn lending operations, to customers looking for good value. In 390 EZMONEY stores and 80 of our domestic pawn stores open June 30, 2007, we offer short-term non-collateralized loans, often called payday loans, or fee-based credit services to customers seeking loans (collectively, signature loans).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manage our business as two segments. The EZPAWN Operations segment offers pawn related activities in all 298 pawn stores, and offers signature loans in 80 pawn stores and seven EZMONEY stores. The EZMONEY Operations segment offers signature loans in 383 EZMONEY stores, and accounts for approximately 97% of our consolidated signature loan revenues. The following tables present store data by operating segment: </w:t>
      </w:r>
    </w:p>
    <w:tbl>
      <w:tblPr>
        <w:tblW w:w="5000" w:type="pct"/>
        <w:jc w:val="center"/>
        <w:tblInd w:w="0" w:type="dxa"/>
        <w:tblCellMar>
          <w:top w:w="0" w:type="dxa"/>
          <w:left w:w="0" w:type="dxa"/>
          <w:bottom w:w="0" w:type="dxa"/>
          <w:right w:w="0" w:type="dxa"/>
        </w:tblCellMar>
      </w:tblPr>
      <w:tblGrid>
        <w:gridCol w:w="4848"/>
        <w:gridCol w:w="377"/>
        <w:gridCol w:w="167"/>
        <w:gridCol w:w="976"/>
        <w:gridCol w:w="158"/>
        <w:gridCol w:w="427"/>
        <w:gridCol w:w="182"/>
        <w:gridCol w:w="1077"/>
        <w:gridCol w:w="158"/>
        <w:gridCol w:w="427"/>
        <w:gridCol w:w="186"/>
        <w:gridCol w:w="1105"/>
        <w:gridCol w:w="117"/>
      </w:tblGrid>
      <w:tr>
        <w:trPr/>
        <w:tc>
          <w:tcPr>
            <w:tcW w:w="484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11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4863" w:type="dxa"/>
            <w:gridSpan w:val="10"/>
            <w:tcBorders>
              <w:bottom w:val="single" w:sz="2" w:space="0" w:color="000000"/>
            </w:tcBorders>
            <w:shd w:fill="auto" w:val="clear"/>
            <w:tcMar>
              <w:bottom w:w="28" w:type="dxa"/>
            </w:tcMar>
            <w:vAlign w:val="bottom"/>
          </w:tcPr>
          <w:p>
            <w:pPr>
              <w:pStyle w:val="TableContents"/>
              <w:spacing w:before="0" w:after="283"/>
              <w:jc w:val="center"/>
              <w:rPr/>
            </w:pPr>
            <w:r>
              <w:rPr/>
              <w:t>Three Months Ended June 30, 2007</w:t>
            </w:r>
          </w:p>
        </w:tc>
        <w:tc>
          <w:tcPr>
            <w:tcW w:w="11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43" w:type="dxa"/>
            <w:gridSpan w:val="2"/>
            <w:tcBorders/>
            <w:shd w:fill="auto" w:val="clear"/>
            <w:vAlign w:val="bottom"/>
          </w:tcPr>
          <w:p>
            <w:pPr>
              <w:pStyle w:val="TableContents"/>
              <w:spacing w:before="0" w:after="283"/>
              <w:jc w:val="right"/>
              <w:rPr/>
            </w:pPr>
            <w:r>
              <w:rPr/>
              <w:t>EZPAWN</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59" w:type="dxa"/>
            <w:gridSpan w:val="2"/>
            <w:tcBorders/>
            <w:shd w:fill="auto" w:val="clear"/>
            <w:vAlign w:val="bottom"/>
          </w:tcPr>
          <w:p>
            <w:pPr>
              <w:pStyle w:val="TableContents"/>
              <w:spacing w:before="0" w:after="283"/>
              <w:jc w:val="right"/>
              <w:rPr/>
            </w:pPr>
            <w:r>
              <w:rPr/>
              <w:t>EZMONEY</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91" w:type="dxa"/>
            <w:gridSpan w:val="2"/>
            <w:tcBorders/>
            <w:shd w:fill="auto" w:val="clear"/>
            <w:vAlign w:val="bottom"/>
          </w:tcPr>
          <w:p>
            <w:pPr>
              <w:pStyle w:val="TableContents"/>
              <w:spacing w:before="0" w:after="283"/>
              <w:jc w:val="right"/>
              <w:rPr/>
            </w:pPr>
            <w:r>
              <w:rPr/>
              <w:t> </w:t>
            </w:r>
          </w:p>
        </w:tc>
        <w:tc>
          <w:tcPr>
            <w:tcW w:w="117" w:type="dxa"/>
            <w:tcBorders/>
            <w:shd w:fill="auto"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1143"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59"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291"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17" w:type="dxa"/>
            <w:tcBorders/>
            <w:shd w:fill="auto" w:val="clear"/>
            <w:vAlign w:val="bottom"/>
          </w:tcPr>
          <w:p>
            <w:pPr>
              <w:pStyle w:val="TableContents"/>
              <w:spacing w:before="0" w:after="283"/>
              <w:rPr/>
            </w:pPr>
            <w:r>
              <w:rPr/>
              <w:t> </w:t>
            </w:r>
          </w:p>
        </w:tc>
      </w:tr>
      <w:tr>
        <w:trPr/>
        <w:tc>
          <w:tcPr>
            <w:tcW w:w="4848" w:type="dxa"/>
            <w:tcBorders/>
            <w:shd w:fill="CCEEFF" w:val="clear"/>
            <w:vAlign w:val="bottom"/>
          </w:tcPr>
          <w:p>
            <w:pPr>
              <w:pStyle w:val="TableContents"/>
              <w:spacing w:before="0" w:after="0"/>
              <w:ind w:left="225" w:right="0" w:hanging="225"/>
              <w:rPr/>
            </w:pPr>
            <w:r>
              <w:rPr/>
              <w:t>Stores in operation:</w:t>
            </w:r>
          </w:p>
        </w:tc>
        <w:tc>
          <w:tcPr>
            <w:tcW w:w="3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0"/>
              <w:ind w:left="450" w:right="0" w:hanging="225"/>
              <w:rPr/>
            </w:pPr>
            <w:r>
              <w:rPr/>
              <w:t>Beginning of period</w:t>
            </w:r>
          </w:p>
        </w:tc>
        <w:tc>
          <w:tcPr>
            <w:tcW w:w="3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pPr>
            <w:r>
              <w:rPr/>
              <w:t>289</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362</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651</w:t>
            </w:r>
          </w:p>
        </w:tc>
        <w:tc>
          <w:tcPr>
            <w:tcW w:w="117" w:type="dxa"/>
            <w:tcBorders/>
            <w:shd w:fill="auto" w:val="clear"/>
            <w:vAlign w:val="bottom"/>
          </w:tcPr>
          <w:p>
            <w:pPr>
              <w:pStyle w:val="TableContents"/>
              <w:spacing w:before="0" w:after="283"/>
              <w:rPr/>
            </w:pPr>
            <w:r>
              <w:rPr/>
              <w:t> </w:t>
            </w:r>
          </w:p>
        </w:tc>
      </w:tr>
      <w:tr>
        <w:trPr/>
        <w:tc>
          <w:tcPr>
            <w:tcW w:w="4848" w:type="dxa"/>
            <w:tcBorders/>
            <w:shd w:fill="CCEEFF" w:val="clear"/>
            <w:vAlign w:val="bottom"/>
          </w:tcPr>
          <w:p>
            <w:pPr>
              <w:pStyle w:val="TableContents"/>
              <w:spacing w:before="0" w:after="0"/>
              <w:ind w:left="450" w:right="0" w:hanging="225"/>
              <w:rPr/>
            </w:pPr>
            <w:r>
              <w:rPr/>
              <w:t>New openings</w:t>
            </w:r>
          </w:p>
        </w:tc>
        <w:tc>
          <w:tcPr>
            <w:tcW w:w="3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1</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20</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21</w:t>
            </w:r>
          </w:p>
        </w:tc>
        <w:tc>
          <w:tcPr>
            <w:tcW w:w="117" w:type="dxa"/>
            <w:tcBorders/>
            <w:shd w:fill="CCEEFF" w:val="clear"/>
            <w:vAlign w:val="bottom"/>
          </w:tcPr>
          <w:p>
            <w:pPr>
              <w:pStyle w:val="TableContents"/>
              <w:spacing w:before="0" w:after="283"/>
              <w:rPr/>
            </w:pPr>
            <w:r>
              <w:rPr/>
              <w:t> </w:t>
            </w:r>
          </w:p>
        </w:tc>
      </w:tr>
      <w:tr>
        <w:trPr/>
        <w:tc>
          <w:tcPr>
            <w:tcW w:w="4848" w:type="dxa"/>
            <w:tcBorders/>
            <w:shd w:fill="auto" w:val="clear"/>
            <w:vAlign w:val="bottom"/>
          </w:tcPr>
          <w:p>
            <w:pPr>
              <w:pStyle w:val="TableContents"/>
              <w:spacing w:before="0" w:after="0"/>
              <w:ind w:left="450" w:right="0" w:hanging="225"/>
              <w:rPr/>
            </w:pPr>
            <w:r>
              <w:rPr/>
              <w:t>Acquired</w:t>
            </w:r>
          </w:p>
        </w:tc>
        <w:tc>
          <w:tcPr>
            <w:tcW w:w="3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pPr>
            <w:r>
              <w:rPr/>
              <w:t>15</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1</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16</w:t>
            </w:r>
          </w:p>
        </w:tc>
        <w:tc>
          <w:tcPr>
            <w:tcW w:w="117" w:type="dxa"/>
            <w:tcBorders/>
            <w:shd w:fill="auto" w:val="clear"/>
            <w:vAlign w:val="bottom"/>
          </w:tcPr>
          <w:p>
            <w:pPr>
              <w:pStyle w:val="TableContents"/>
              <w:spacing w:before="0" w:after="283"/>
              <w:rPr/>
            </w:pPr>
            <w:r>
              <w:rPr/>
              <w:t> </w:t>
            </w:r>
          </w:p>
        </w:tc>
      </w:tr>
      <w:tr>
        <w:trPr/>
        <w:tc>
          <w:tcPr>
            <w:tcW w:w="4848" w:type="dxa"/>
            <w:tcBorders/>
            <w:shd w:fill="CCEEFF" w:val="clear"/>
            <w:vAlign w:val="bottom"/>
          </w:tcPr>
          <w:p>
            <w:pPr>
              <w:pStyle w:val="TableContents"/>
              <w:spacing w:before="0" w:after="0"/>
              <w:ind w:left="450" w:right="0" w:hanging="225"/>
              <w:rPr/>
            </w:pPr>
            <w:r>
              <w:rPr/>
              <w:t>Sold, combined, or closed</w:t>
            </w:r>
          </w:p>
        </w:tc>
        <w:tc>
          <w:tcPr>
            <w:tcW w:w="3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w:t>
            </w:r>
          </w:p>
        </w:tc>
        <w:tc>
          <w:tcPr>
            <w:tcW w:w="117" w:type="dxa"/>
            <w:tcBorders/>
            <w:shd w:fill="CCEEFF" w:val="clear"/>
            <w:vAlign w:val="bottom"/>
          </w:tcPr>
          <w:p>
            <w:pPr>
              <w:pStyle w:val="TableContents"/>
              <w:spacing w:before="0" w:after="283"/>
              <w:rPr/>
            </w:pPr>
            <w:r>
              <w:rPr/>
              <w:t> </w:t>
            </w:r>
          </w:p>
        </w:tc>
      </w:tr>
      <w:tr>
        <w:trPr/>
        <w:tc>
          <w:tcPr>
            <w:tcW w:w="4848"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14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5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48" w:type="dxa"/>
            <w:tcBorders/>
            <w:shd w:fill="auto" w:val="clear"/>
            <w:vAlign w:val="bottom"/>
          </w:tcPr>
          <w:p>
            <w:pPr>
              <w:pStyle w:val="TableContents"/>
              <w:spacing w:before="0" w:after="0"/>
              <w:ind w:left="450" w:right="0" w:hanging="225"/>
              <w:rPr/>
            </w:pPr>
            <w:r>
              <w:rPr/>
              <w:t>End of period</w:t>
            </w:r>
          </w:p>
        </w:tc>
        <w:tc>
          <w:tcPr>
            <w:tcW w:w="377" w:type="dxa"/>
            <w:tcBorders/>
            <w:shd w:fill="auto" w:val="clear"/>
            <w:vAlign w:val="bottom"/>
          </w:tcPr>
          <w:p>
            <w:pPr>
              <w:pStyle w:val="TableContents"/>
              <w:spacing w:before="0" w:after="283"/>
              <w:rPr/>
            </w:pPr>
            <w:r>
              <w:rPr/>
              <w:t> </w:t>
            </w:r>
          </w:p>
        </w:tc>
        <w:tc>
          <w:tcPr>
            <w:tcW w:w="167" w:type="dxa"/>
            <w:tcBorders/>
            <w:shd w:fill="auto" w:val="clear"/>
            <w:vAlign w:val="bottom"/>
          </w:tcPr>
          <w:p>
            <w:pPr>
              <w:pStyle w:val="TableContents"/>
              <w:spacing w:before="0" w:after="283"/>
              <w:rPr/>
            </w:pPr>
            <w:r>
              <w:rPr/>
              <w:t> </w:t>
            </w:r>
          </w:p>
        </w:tc>
        <w:tc>
          <w:tcPr>
            <w:tcW w:w="976" w:type="dxa"/>
            <w:tcBorders/>
            <w:shd w:fill="auto" w:val="clear"/>
            <w:vAlign w:val="bottom"/>
          </w:tcPr>
          <w:p>
            <w:pPr>
              <w:pStyle w:val="TableContents"/>
              <w:spacing w:before="0" w:after="283"/>
              <w:jc w:val="right"/>
              <w:rPr/>
            </w:pPr>
            <w:r>
              <w:rPr/>
              <w:t>305</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2" w:type="dxa"/>
            <w:tcBorders/>
            <w:shd w:fill="auto" w:val="clear"/>
            <w:vAlign w:val="bottom"/>
          </w:tcPr>
          <w:p>
            <w:pPr>
              <w:pStyle w:val="TableContents"/>
              <w:spacing w:before="0" w:after="283"/>
              <w:rPr/>
            </w:pPr>
            <w:r>
              <w:rPr/>
              <w:t> </w:t>
            </w:r>
          </w:p>
        </w:tc>
        <w:tc>
          <w:tcPr>
            <w:tcW w:w="1077" w:type="dxa"/>
            <w:tcBorders/>
            <w:shd w:fill="auto" w:val="clear"/>
            <w:vAlign w:val="bottom"/>
          </w:tcPr>
          <w:p>
            <w:pPr>
              <w:pStyle w:val="TableContents"/>
              <w:spacing w:before="0" w:after="283"/>
              <w:jc w:val="right"/>
              <w:rPr/>
            </w:pPr>
            <w:r>
              <w:rPr/>
              <w:t>383</w:t>
            </w:r>
          </w:p>
        </w:tc>
        <w:tc>
          <w:tcPr>
            <w:tcW w:w="158" w:type="dxa"/>
            <w:tcBorders/>
            <w:shd w:fill="auto" w:val="clear"/>
            <w:vAlign w:val="bottom"/>
          </w:tcPr>
          <w:p>
            <w:pPr>
              <w:pStyle w:val="TableContents"/>
              <w:spacing w:before="0" w:after="283"/>
              <w:rPr/>
            </w:pPr>
            <w:r>
              <w:rPr/>
              <w:t> </w:t>
            </w:r>
          </w:p>
        </w:tc>
        <w:tc>
          <w:tcPr>
            <w:tcW w:w="427" w:type="dxa"/>
            <w:tcBorders/>
            <w:shd w:fill="auto" w:val="clear"/>
            <w:vAlign w:val="bottom"/>
          </w:tcPr>
          <w:p>
            <w:pPr>
              <w:pStyle w:val="TableContents"/>
              <w:spacing w:before="0" w:after="283"/>
              <w:rPr/>
            </w:pPr>
            <w:r>
              <w:rPr/>
              <w:t> </w:t>
            </w:r>
          </w:p>
        </w:tc>
        <w:tc>
          <w:tcPr>
            <w:tcW w:w="18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688</w:t>
            </w:r>
          </w:p>
        </w:tc>
        <w:tc>
          <w:tcPr>
            <w:tcW w:w="117" w:type="dxa"/>
            <w:tcBorders/>
            <w:shd w:fill="auto" w:val="clear"/>
            <w:vAlign w:val="bottom"/>
          </w:tcPr>
          <w:p>
            <w:pPr>
              <w:pStyle w:val="TableContents"/>
              <w:spacing w:before="0" w:after="283"/>
              <w:rPr/>
            </w:pPr>
            <w:r>
              <w:rPr/>
              <w:t> </w:t>
            </w:r>
          </w:p>
        </w:tc>
      </w:tr>
      <w:tr>
        <w:trPr/>
        <w:tc>
          <w:tcPr>
            <w:tcW w:w="4848" w:type="dxa"/>
            <w:tcBorders/>
            <w:shd w:fill="auto" w:val="clear"/>
            <w:vAlign w:val="center"/>
          </w:tcPr>
          <w:p>
            <w:pPr>
              <w:pStyle w:val="TableContents"/>
              <w:spacing w:before="0" w:after="0"/>
              <w:ind w:left="225" w:right="0" w:hanging="225"/>
              <w:rPr/>
            </w:pPr>
            <w:r>
              <w:rPr/>
              <w:t> </w:t>
            </w:r>
          </w:p>
        </w:tc>
        <w:tc>
          <w:tcPr>
            <w:tcW w:w="377" w:type="dxa"/>
            <w:tcBorders/>
            <w:shd w:fill="auto" w:val="clear"/>
            <w:vAlign w:val="center"/>
          </w:tcPr>
          <w:p>
            <w:pPr>
              <w:pStyle w:val="TableContents"/>
              <w:spacing w:before="0" w:after="283"/>
              <w:rPr/>
            </w:pPr>
            <w:r>
              <w:rPr/>
              <w:t> </w:t>
            </w:r>
          </w:p>
        </w:tc>
        <w:tc>
          <w:tcPr>
            <w:tcW w:w="114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5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8" w:type="dxa"/>
            <w:tcBorders/>
            <w:shd w:fill="auto" w:val="clear"/>
            <w:vAlign w:val="center"/>
          </w:tcPr>
          <w:p>
            <w:pPr>
              <w:pStyle w:val="TableContents"/>
              <w:spacing w:before="0" w:after="283"/>
              <w:rPr/>
            </w:pPr>
            <w:r>
              <w:rPr/>
              <w:t> </w:t>
            </w:r>
          </w:p>
        </w:tc>
        <w:tc>
          <w:tcPr>
            <w:tcW w:w="427" w:type="dxa"/>
            <w:tcBorders/>
            <w:shd w:fill="auto" w:val="clear"/>
            <w:vAlign w:val="center"/>
          </w:tcPr>
          <w:p>
            <w:pPr>
              <w:pStyle w:val="TableContents"/>
              <w:spacing w:before="0" w:after="283"/>
              <w:rPr/>
            </w:pPr>
            <w:r>
              <w:rPr/>
              <w:t> </w:t>
            </w:r>
          </w:p>
        </w:tc>
        <w:tc>
          <w:tcPr>
            <w:tcW w:w="12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17" w:type="dxa"/>
            <w:tcBorders/>
            <w:shd w:fill="auto" w:val="clear"/>
            <w:vAlign w:val="center"/>
          </w:tcPr>
          <w:p>
            <w:pPr>
              <w:pStyle w:val="TableContents"/>
              <w:spacing w:before="0" w:after="283"/>
              <w:rPr/>
            </w:pPr>
            <w:r>
              <w:rPr/>
              <w:t> </w:t>
            </w:r>
          </w:p>
        </w:tc>
      </w:tr>
      <w:tr>
        <w:trPr/>
        <w:tc>
          <w:tcPr>
            <w:tcW w:w="4848" w:type="dxa"/>
            <w:tcBorders/>
            <w:shd w:fill="CCEEFF" w:val="clear"/>
            <w:vAlign w:val="bottom"/>
          </w:tcPr>
          <w:p>
            <w:pPr>
              <w:pStyle w:val="TableContents"/>
              <w:spacing w:before="0" w:after="0"/>
              <w:ind w:left="225" w:right="0" w:hanging="225"/>
              <w:rPr/>
            </w:pPr>
            <w:r>
              <w:rPr/>
              <w:t>Average number of stores during the period</w:t>
            </w:r>
          </w:p>
        </w:tc>
        <w:tc>
          <w:tcPr>
            <w:tcW w:w="377" w:type="dxa"/>
            <w:tcBorders/>
            <w:shd w:fill="CCEEFF" w:val="clear"/>
            <w:vAlign w:val="bottom"/>
          </w:tcPr>
          <w:p>
            <w:pPr>
              <w:pStyle w:val="TableContents"/>
              <w:spacing w:before="0" w:after="283"/>
              <w:rPr/>
            </w:pPr>
            <w:r>
              <w:rPr/>
              <w:t> </w:t>
            </w:r>
          </w:p>
        </w:tc>
        <w:tc>
          <w:tcPr>
            <w:tcW w:w="167" w:type="dxa"/>
            <w:tcBorders/>
            <w:shd w:fill="CCEEFF" w:val="clear"/>
            <w:vAlign w:val="bottom"/>
          </w:tcPr>
          <w:p>
            <w:pPr>
              <w:pStyle w:val="TableContents"/>
              <w:spacing w:before="0" w:after="283"/>
              <w:rPr/>
            </w:pPr>
            <w:r>
              <w:rPr/>
              <w:t> </w:t>
            </w:r>
          </w:p>
        </w:tc>
        <w:tc>
          <w:tcPr>
            <w:tcW w:w="976" w:type="dxa"/>
            <w:tcBorders/>
            <w:shd w:fill="CCEEFF" w:val="clear"/>
            <w:vAlign w:val="bottom"/>
          </w:tcPr>
          <w:p>
            <w:pPr>
              <w:pStyle w:val="TableContents"/>
              <w:spacing w:before="0" w:after="283"/>
              <w:jc w:val="right"/>
              <w:rPr/>
            </w:pPr>
            <w:r>
              <w:rPr/>
              <w:t>293</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2" w:type="dxa"/>
            <w:tcBorders/>
            <w:shd w:fill="CCEEFF" w:val="clear"/>
            <w:vAlign w:val="bottom"/>
          </w:tcPr>
          <w:p>
            <w:pPr>
              <w:pStyle w:val="TableContents"/>
              <w:spacing w:before="0" w:after="283"/>
              <w:rPr/>
            </w:pPr>
            <w:r>
              <w:rPr/>
              <w:t> </w:t>
            </w:r>
          </w:p>
        </w:tc>
        <w:tc>
          <w:tcPr>
            <w:tcW w:w="1077" w:type="dxa"/>
            <w:tcBorders/>
            <w:shd w:fill="CCEEFF" w:val="clear"/>
            <w:vAlign w:val="bottom"/>
          </w:tcPr>
          <w:p>
            <w:pPr>
              <w:pStyle w:val="TableContents"/>
              <w:spacing w:before="0" w:after="283"/>
              <w:jc w:val="right"/>
              <w:rPr/>
            </w:pPr>
            <w:r>
              <w:rPr/>
              <w:t>369</w:t>
            </w:r>
          </w:p>
        </w:tc>
        <w:tc>
          <w:tcPr>
            <w:tcW w:w="158" w:type="dxa"/>
            <w:tcBorders/>
            <w:shd w:fill="CCEEFF" w:val="clear"/>
            <w:vAlign w:val="bottom"/>
          </w:tcPr>
          <w:p>
            <w:pPr>
              <w:pStyle w:val="TableContents"/>
              <w:spacing w:before="0" w:after="283"/>
              <w:rPr/>
            </w:pPr>
            <w:r>
              <w:rPr/>
              <w:t> </w:t>
            </w:r>
          </w:p>
        </w:tc>
        <w:tc>
          <w:tcPr>
            <w:tcW w:w="427" w:type="dxa"/>
            <w:tcBorders/>
            <w:shd w:fill="CCEEFF" w:val="clear"/>
            <w:vAlign w:val="bottom"/>
          </w:tcPr>
          <w:p>
            <w:pPr>
              <w:pStyle w:val="TableContents"/>
              <w:spacing w:before="0" w:after="283"/>
              <w:rPr/>
            </w:pPr>
            <w:r>
              <w:rPr/>
              <w:t> </w:t>
            </w:r>
          </w:p>
        </w:tc>
        <w:tc>
          <w:tcPr>
            <w:tcW w:w="18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662</w:t>
            </w:r>
          </w:p>
        </w:tc>
        <w:tc>
          <w:tcPr>
            <w:tcW w:w="117"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862"/>
        <w:gridCol w:w="366"/>
        <w:gridCol w:w="165"/>
        <w:gridCol w:w="967"/>
        <w:gridCol w:w="152"/>
        <w:gridCol w:w="412"/>
        <w:gridCol w:w="180"/>
        <w:gridCol w:w="1067"/>
        <w:gridCol w:w="204"/>
        <w:gridCol w:w="412"/>
        <w:gridCol w:w="185"/>
        <w:gridCol w:w="1095"/>
        <w:gridCol w:w="138"/>
      </w:tblGrid>
      <w:tr>
        <w:trPr/>
        <w:tc>
          <w:tcPr>
            <w:tcW w:w="486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4839" w:type="dxa"/>
            <w:gridSpan w:val="10"/>
            <w:tcBorders>
              <w:bottom w:val="single" w:sz="2" w:space="0" w:color="000000"/>
            </w:tcBorders>
            <w:shd w:fill="auto" w:val="clear"/>
            <w:tcMar>
              <w:bottom w:w="28" w:type="dxa"/>
            </w:tcMar>
            <w:vAlign w:val="bottom"/>
          </w:tcPr>
          <w:p>
            <w:pPr>
              <w:pStyle w:val="TableContents"/>
              <w:spacing w:before="0" w:after="283"/>
              <w:jc w:val="center"/>
              <w:rPr/>
            </w:pPr>
            <w:r>
              <w:rPr/>
              <w:t>Nine Months Ended June 30, 2007</w:t>
            </w:r>
          </w:p>
        </w:tc>
        <w:tc>
          <w:tcPr>
            <w:tcW w:w="138" w:type="dxa"/>
            <w:tcBorders/>
            <w:shd w:fill="auto"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32" w:type="dxa"/>
            <w:gridSpan w:val="2"/>
            <w:tcBorders/>
            <w:shd w:fill="auto" w:val="clear"/>
            <w:vAlign w:val="bottom"/>
          </w:tcPr>
          <w:p>
            <w:pPr>
              <w:pStyle w:val="TableContents"/>
              <w:spacing w:before="0" w:after="283"/>
              <w:jc w:val="right"/>
              <w:rPr/>
            </w:pPr>
            <w:r>
              <w:rPr/>
              <w:t>EZPAWN</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47" w:type="dxa"/>
            <w:gridSpan w:val="2"/>
            <w:tcBorders/>
            <w:shd w:fill="auto" w:val="clear"/>
            <w:vAlign w:val="bottom"/>
          </w:tcPr>
          <w:p>
            <w:pPr>
              <w:pStyle w:val="TableContents"/>
              <w:spacing w:before="0" w:after="283"/>
              <w:jc w:val="right"/>
              <w:rPr/>
            </w:pPr>
            <w:r>
              <w:rPr/>
              <w:t>EZMONEY</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80" w:type="dxa"/>
            <w:gridSpan w:val="2"/>
            <w:tcBorders/>
            <w:shd w:fill="auto" w:val="clear"/>
            <w:vAlign w:val="bottom"/>
          </w:tcPr>
          <w:p>
            <w:pPr>
              <w:pStyle w:val="TableContents"/>
              <w:spacing w:before="0" w:after="283"/>
              <w:jc w:val="right"/>
              <w:rPr/>
            </w:pPr>
            <w:r>
              <w:rPr/>
              <w:t> </w:t>
            </w:r>
          </w:p>
        </w:tc>
        <w:tc>
          <w:tcPr>
            <w:tcW w:w="138" w:type="dxa"/>
            <w:tcBorders/>
            <w:shd w:fill="auto"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283"/>
              <w:rPr/>
            </w:pPr>
            <w:r>
              <w:rPr/>
              <w:t> </w:t>
            </w:r>
          </w:p>
        </w:tc>
        <w:tc>
          <w:tcPr>
            <w:tcW w:w="366" w:type="dxa"/>
            <w:tcBorders/>
            <w:shd w:fill="auto" w:val="clear"/>
            <w:vAlign w:val="bottom"/>
          </w:tcPr>
          <w:p>
            <w:pPr>
              <w:pStyle w:val="TableContents"/>
              <w:spacing w:before="0" w:after="283"/>
              <w:rPr/>
            </w:pPr>
            <w:r>
              <w:rPr/>
              <w:t> </w:t>
            </w:r>
          </w:p>
        </w:tc>
        <w:tc>
          <w:tcPr>
            <w:tcW w:w="1132"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47"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280"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38" w:type="dxa"/>
            <w:tcBorders/>
            <w:shd w:fill="auto" w:val="clear"/>
            <w:vAlign w:val="bottom"/>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225" w:right="0" w:hanging="225"/>
              <w:rPr/>
            </w:pPr>
            <w:r>
              <w:rPr/>
              <w:t>Stores in operation:</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rPr/>
            </w:pPr>
            <w:r>
              <w:rPr/>
              <w:t> </w:t>
            </w:r>
          </w:p>
        </w:tc>
        <w:tc>
          <w:tcPr>
            <w:tcW w:w="138"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0"/>
              <w:ind w:left="450" w:right="0" w:hanging="225"/>
              <w:rPr/>
            </w:pPr>
            <w:r>
              <w:rPr/>
              <w:t>Beginning of period</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287</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327</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614</w:t>
            </w:r>
          </w:p>
        </w:tc>
        <w:tc>
          <w:tcPr>
            <w:tcW w:w="138" w:type="dxa"/>
            <w:tcBorders/>
            <w:shd w:fill="auto" w:val="clear"/>
            <w:vAlign w:val="bottom"/>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450" w:right="0" w:hanging="225"/>
              <w:rPr/>
            </w:pPr>
            <w:r>
              <w:rPr/>
              <w:t>New openings</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3</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57</w:t>
            </w:r>
          </w:p>
        </w:tc>
        <w:tc>
          <w:tcPr>
            <w:tcW w:w="20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60</w:t>
            </w:r>
          </w:p>
        </w:tc>
        <w:tc>
          <w:tcPr>
            <w:tcW w:w="138"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0"/>
              <w:ind w:left="450" w:right="0" w:hanging="225"/>
              <w:rPr/>
            </w:pPr>
            <w:r>
              <w:rPr/>
              <w:t>Acquired</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15</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1</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16</w:t>
            </w:r>
          </w:p>
        </w:tc>
        <w:tc>
          <w:tcPr>
            <w:tcW w:w="138" w:type="dxa"/>
            <w:tcBorders/>
            <w:shd w:fill="auto" w:val="clear"/>
            <w:vAlign w:val="bottom"/>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450" w:right="0" w:hanging="225"/>
              <w:rPr/>
            </w:pPr>
            <w:r>
              <w:rPr/>
              <w:t>Sold, combined, or closed</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jc w:val="left"/>
              <w:rPr/>
            </w:pPr>
            <w:r>
              <w:rPr/>
              <w:t> </w:t>
            </w:r>
          </w:p>
        </w:tc>
        <w:tc>
          <w:tcPr>
            <w:tcW w:w="1067" w:type="dxa"/>
            <w:tcBorders/>
            <w:shd w:fill="CCEEFF" w:val="clear"/>
            <w:vAlign w:val="bottom"/>
          </w:tcPr>
          <w:p>
            <w:pPr>
              <w:pStyle w:val="TableContents"/>
              <w:spacing w:before="0" w:after="283"/>
              <w:jc w:val="right"/>
              <w:rPr/>
            </w:pPr>
            <w:r>
              <w:rPr/>
              <w:t>(2</w:t>
            </w:r>
          </w:p>
        </w:tc>
        <w:tc>
          <w:tcPr>
            <w:tcW w:w="204" w:type="dxa"/>
            <w:tcBorders/>
            <w:shd w:fill="CCEEFF" w:val="clear"/>
            <w:vAlign w:val="bottom"/>
          </w:tcPr>
          <w:p>
            <w:pPr>
              <w:pStyle w:val="TableContents"/>
              <w:spacing w:before="0" w:after="283"/>
              <w:rPr/>
            </w:pPr>
            <w:r>
              <w:rPr/>
              <w:t>)</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(2</w:t>
            </w:r>
          </w:p>
        </w:tc>
        <w:tc>
          <w:tcPr>
            <w:tcW w:w="138" w:type="dxa"/>
            <w:tcBorders/>
            <w:shd w:fill="CCEEFF" w:val="clear"/>
            <w:vAlign w:val="bottom"/>
          </w:tcPr>
          <w:p>
            <w:pPr>
              <w:pStyle w:val="TableContents"/>
              <w:spacing w:before="0" w:after="283"/>
              <w:rPr/>
            </w:pPr>
            <w:r>
              <w:rPr/>
              <w:t>)</w:t>
            </w:r>
          </w:p>
        </w:tc>
      </w:tr>
      <w:tr>
        <w:trPr/>
        <w:tc>
          <w:tcPr>
            <w:tcW w:w="4862" w:type="dxa"/>
            <w:tcBorders/>
            <w:shd w:fill="auto" w:val="clear"/>
            <w:vAlign w:val="center"/>
          </w:tcPr>
          <w:p>
            <w:pPr>
              <w:pStyle w:val="TableContents"/>
              <w:spacing w:before="0" w:after="0"/>
              <w:ind w:left="225" w:right="0" w:hanging="225"/>
              <w:rPr/>
            </w:pPr>
            <w:r>
              <w:rPr/>
              <w:t> </w:t>
            </w:r>
          </w:p>
        </w:tc>
        <w:tc>
          <w:tcPr>
            <w:tcW w:w="366"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862" w:type="dxa"/>
            <w:tcBorders/>
            <w:shd w:fill="auto" w:val="clear"/>
            <w:vAlign w:val="bottom"/>
          </w:tcPr>
          <w:p>
            <w:pPr>
              <w:pStyle w:val="TableContents"/>
              <w:spacing w:before="0" w:after="0"/>
              <w:ind w:left="450" w:right="0" w:hanging="225"/>
              <w:rPr/>
            </w:pPr>
            <w:r>
              <w:rPr/>
              <w:t>End of period</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305</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383</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688</w:t>
            </w:r>
          </w:p>
        </w:tc>
        <w:tc>
          <w:tcPr>
            <w:tcW w:w="138" w:type="dxa"/>
            <w:tcBorders/>
            <w:shd w:fill="auto" w:val="clear"/>
            <w:vAlign w:val="bottom"/>
          </w:tcPr>
          <w:p>
            <w:pPr>
              <w:pStyle w:val="TableContents"/>
              <w:spacing w:before="0" w:after="283"/>
              <w:rPr/>
            </w:pPr>
            <w:r>
              <w:rPr/>
              <w:t> </w:t>
            </w:r>
          </w:p>
        </w:tc>
      </w:tr>
      <w:tr>
        <w:trPr/>
        <w:tc>
          <w:tcPr>
            <w:tcW w:w="4862" w:type="dxa"/>
            <w:tcBorders/>
            <w:shd w:fill="auto" w:val="clear"/>
            <w:vAlign w:val="center"/>
          </w:tcPr>
          <w:p>
            <w:pPr>
              <w:pStyle w:val="TableContents"/>
              <w:spacing w:before="0" w:after="0"/>
              <w:ind w:left="225" w:right="0" w:hanging="225"/>
              <w:rPr/>
            </w:pPr>
            <w:r>
              <w:rPr/>
              <w:t> </w:t>
            </w:r>
          </w:p>
        </w:tc>
        <w:tc>
          <w:tcPr>
            <w:tcW w:w="366"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225" w:right="0" w:hanging="225"/>
              <w:rPr/>
            </w:pPr>
            <w:r>
              <w:rPr/>
              <w:t>Average number of stores during the period</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290</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348</w:t>
            </w:r>
          </w:p>
        </w:tc>
        <w:tc>
          <w:tcPr>
            <w:tcW w:w="20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638</w:t>
            </w:r>
          </w:p>
        </w:tc>
        <w:tc>
          <w:tcPr>
            <w:tcW w:w="138"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0"/>
              <w:ind w:left="225" w:right="0" w:hanging="225"/>
              <w:rPr/>
            </w:pPr>
            <w:r>
              <w:rPr/>
              <w:t> </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0"/>
              <w:ind w:left="225" w:right="0" w:hanging="225"/>
              <w:rPr/>
            </w:pPr>
            <w:r>
              <w:rPr/>
              <w:t>Composition of ending stores:</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450" w:right="0" w:hanging="225"/>
              <w:rPr/>
            </w:pPr>
            <w:r>
              <w:rPr/>
              <w:t>EZPAWN  United States</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295</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w:t>
            </w:r>
          </w:p>
        </w:tc>
        <w:tc>
          <w:tcPr>
            <w:tcW w:w="20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295</w:t>
            </w:r>
          </w:p>
        </w:tc>
        <w:tc>
          <w:tcPr>
            <w:tcW w:w="138"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0"/>
              <w:ind w:left="450" w:right="0" w:hanging="225"/>
              <w:rPr/>
            </w:pPr>
            <w:r>
              <w:rPr/>
              <w:t>EZPAWN  Mexico</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3</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3</w:t>
            </w:r>
          </w:p>
        </w:tc>
        <w:tc>
          <w:tcPr>
            <w:tcW w:w="138" w:type="dxa"/>
            <w:tcBorders/>
            <w:shd w:fill="auto" w:val="clear"/>
            <w:vAlign w:val="bottom"/>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450" w:right="0" w:hanging="225"/>
              <w:rPr/>
            </w:pPr>
            <w:r>
              <w:rPr/>
              <w:t>EZMONEY signature loan stores adjoining EZPAWNs</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7</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159</w:t>
            </w:r>
          </w:p>
        </w:tc>
        <w:tc>
          <w:tcPr>
            <w:tcW w:w="20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166</w:t>
            </w:r>
          </w:p>
        </w:tc>
        <w:tc>
          <w:tcPr>
            <w:tcW w:w="138" w:type="dxa"/>
            <w:tcBorders/>
            <w:shd w:fill="CCEEFF" w:val="clear"/>
            <w:vAlign w:val="bottom"/>
          </w:tcPr>
          <w:p>
            <w:pPr>
              <w:pStyle w:val="TableContents"/>
              <w:spacing w:before="0" w:after="283"/>
              <w:rPr/>
            </w:pPr>
            <w:r>
              <w:rPr/>
              <w:t> </w:t>
            </w:r>
          </w:p>
        </w:tc>
      </w:tr>
      <w:tr>
        <w:trPr/>
        <w:tc>
          <w:tcPr>
            <w:tcW w:w="4862" w:type="dxa"/>
            <w:tcBorders/>
            <w:shd w:fill="auto" w:val="clear"/>
            <w:vAlign w:val="bottom"/>
          </w:tcPr>
          <w:p>
            <w:pPr>
              <w:pStyle w:val="TableContents"/>
              <w:spacing w:before="0" w:after="0"/>
              <w:ind w:left="450" w:right="0" w:hanging="225"/>
              <w:rPr/>
            </w:pPr>
            <w:r>
              <w:rPr/>
              <w:t>EZMONEY signature loan stores  free standing</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224</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224</w:t>
            </w:r>
          </w:p>
        </w:tc>
        <w:tc>
          <w:tcPr>
            <w:tcW w:w="138" w:type="dxa"/>
            <w:tcBorders/>
            <w:shd w:fill="auto" w:val="clear"/>
            <w:vAlign w:val="bottom"/>
          </w:tcPr>
          <w:p>
            <w:pPr>
              <w:pStyle w:val="TableContents"/>
              <w:spacing w:before="0" w:after="283"/>
              <w:rPr/>
            </w:pPr>
            <w:r>
              <w:rPr/>
              <w:t> </w:t>
            </w:r>
          </w:p>
        </w:tc>
      </w:tr>
      <w:tr>
        <w:trPr/>
        <w:tc>
          <w:tcPr>
            <w:tcW w:w="4862" w:type="dxa"/>
            <w:tcBorders/>
            <w:shd w:fill="auto" w:val="clear"/>
            <w:vAlign w:val="center"/>
          </w:tcPr>
          <w:p>
            <w:pPr>
              <w:pStyle w:val="TableContents"/>
              <w:spacing w:before="0" w:after="0"/>
              <w:ind w:left="225" w:right="0" w:hanging="225"/>
              <w:rPr/>
            </w:pPr>
            <w:r>
              <w:rPr/>
              <w:t> </w:t>
            </w:r>
          </w:p>
        </w:tc>
        <w:tc>
          <w:tcPr>
            <w:tcW w:w="366" w:type="dxa"/>
            <w:tcBorders/>
            <w:shd w:fill="auto" w:val="clear"/>
            <w:vAlign w:val="center"/>
          </w:tcPr>
          <w:p>
            <w:pPr>
              <w:pStyle w:val="TableContents"/>
              <w:spacing w:before="0" w:after="283"/>
              <w:rPr/>
            </w:pPr>
            <w:r>
              <w:rPr/>
              <w:t> </w:t>
            </w:r>
          </w:p>
        </w:tc>
        <w:tc>
          <w:tcPr>
            <w:tcW w:w="113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4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862" w:type="dxa"/>
            <w:tcBorders/>
            <w:shd w:fill="CCEEFF" w:val="clear"/>
            <w:vAlign w:val="bottom"/>
          </w:tcPr>
          <w:p>
            <w:pPr>
              <w:pStyle w:val="TableContents"/>
              <w:spacing w:before="0" w:after="0"/>
              <w:ind w:left="450" w:right="0" w:hanging="225"/>
              <w:rPr/>
            </w:pPr>
            <w:r>
              <w:rPr/>
              <w:t>Total stores in operation</w:t>
            </w:r>
          </w:p>
        </w:tc>
        <w:tc>
          <w:tcPr>
            <w:tcW w:w="366"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7" w:type="dxa"/>
            <w:tcBorders/>
            <w:shd w:fill="CCEEFF" w:val="clear"/>
            <w:vAlign w:val="bottom"/>
          </w:tcPr>
          <w:p>
            <w:pPr>
              <w:pStyle w:val="TableContents"/>
              <w:spacing w:before="0" w:after="283"/>
              <w:jc w:val="right"/>
              <w:rPr/>
            </w:pPr>
            <w:r>
              <w:rPr/>
              <w:t>305</w:t>
            </w:r>
          </w:p>
        </w:tc>
        <w:tc>
          <w:tcPr>
            <w:tcW w:w="152"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pPr>
            <w:r>
              <w:rPr/>
              <w:t>383</w:t>
            </w:r>
          </w:p>
        </w:tc>
        <w:tc>
          <w:tcPr>
            <w:tcW w:w="204" w:type="dxa"/>
            <w:tcBorders/>
            <w:shd w:fill="CCEEFF" w:val="clear"/>
            <w:vAlign w:val="bottom"/>
          </w:tcPr>
          <w:p>
            <w:pPr>
              <w:pStyle w:val="TableContents"/>
              <w:spacing w:before="0" w:after="283"/>
              <w:rPr/>
            </w:pPr>
            <w:r>
              <w:rPr/>
              <w:t> </w:t>
            </w:r>
          </w:p>
        </w:tc>
        <w:tc>
          <w:tcPr>
            <w:tcW w:w="41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5" w:type="dxa"/>
            <w:tcBorders/>
            <w:shd w:fill="CCEEFF" w:val="clear"/>
            <w:vAlign w:val="bottom"/>
          </w:tcPr>
          <w:p>
            <w:pPr>
              <w:pStyle w:val="TableContents"/>
              <w:spacing w:before="0" w:after="283"/>
              <w:jc w:val="right"/>
              <w:rPr/>
            </w:pPr>
            <w:r>
              <w:rPr/>
              <w:t>688</w:t>
            </w:r>
          </w:p>
        </w:tc>
        <w:tc>
          <w:tcPr>
            <w:tcW w:w="138" w:type="dxa"/>
            <w:tcBorders/>
            <w:shd w:fill="CCEEFF" w:val="clear"/>
            <w:vAlign w:val="bottom"/>
          </w:tcPr>
          <w:p>
            <w:pPr>
              <w:pStyle w:val="TableContents"/>
              <w:spacing w:before="0" w:after="283"/>
              <w:rPr/>
            </w:pPr>
            <w:r>
              <w:rPr/>
              <w:t> </w:t>
            </w:r>
          </w:p>
        </w:tc>
      </w:tr>
      <w:tr>
        <w:trPr/>
        <w:tc>
          <w:tcPr>
            <w:tcW w:w="4862" w:type="dxa"/>
            <w:tcBorders/>
            <w:shd w:fill="auto" w:val="clear"/>
            <w:vAlign w:val="center"/>
          </w:tcPr>
          <w:p>
            <w:pPr>
              <w:pStyle w:val="TableContents"/>
              <w:spacing w:before="0" w:after="0"/>
              <w:ind w:left="225" w:right="0" w:hanging="225"/>
              <w:rPr/>
            </w:pPr>
            <w:r>
              <w:rPr/>
              <w:t> </w:t>
            </w:r>
          </w:p>
        </w:tc>
        <w:tc>
          <w:tcPr>
            <w:tcW w:w="366" w:type="dxa"/>
            <w:tcBorders/>
            <w:shd w:fill="auto" w:val="clear"/>
            <w:vAlign w:val="center"/>
          </w:tcPr>
          <w:p>
            <w:pPr>
              <w:pStyle w:val="TableContents"/>
              <w:spacing w:before="0" w:after="283"/>
              <w:rPr/>
            </w:pPr>
            <w:r>
              <w:rPr/>
              <w:t> </w:t>
            </w:r>
          </w:p>
        </w:tc>
        <w:tc>
          <w:tcPr>
            <w:tcW w:w="113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2"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4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4" w:type="dxa"/>
            <w:tcBorders/>
            <w:shd w:fill="auto" w:val="clear"/>
            <w:vAlign w:val="center"/>
          </w:tcPr>
          <w:p>
            <w:pPr>
              <w:pStyle w:val="TableContents"/>
              <w:spacing w:before="0" w:after="283"/>
              <w:rPr/>
            </w:pPr>
            <w:r>
              <w:rPr/>
              <w:t> </w:t>
            </w:r>
          </w:p>
        </w:tc>
        <w:tc>
          <w:tcPr>
            <w:tcW w:w="412" w:type="dxa"/>
            <w:tcBorders/>
            <w:shd w:fill="auto" w:val="clear"/>
            <w:vAlign w:val="center"/>
          </w:tcPr>
          <w:p>
            <w:pPr>
              <w:pStyle w:val="TableContents"/>
              <w:spacing w:before="0" w:after="283"/>
              <w:rPr/>
            </w:pPr>
            <w:r>
              <w:rPr/>
              <w:t> </w:t>
            </w:r>
          </w:p>
        </w:tc>
        <w:tc>
          <w:tcPr>
            <w:tcW w:w="12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8" w:type="dxa"/>
            <w:tcBorders/>
            <w:shd w:fill="auto" w:val="clear"/>
            <w:vAlign w:val="center"/>
          </w:tcPr>
          <w:p>
            <w:pPr>
              <w:pStyle w:val="TableContents"/>
              <w:spacing w:before="0" w:after="283"/>
              <w:rPr/>
            </w:pPr>
            <w:r>
              <w:rPr/>
              <w:t> </w:t>
            </w:r>
          </w:p>
        </w:tc>
      </w:tr>
      <w:tr>
        <w:trPr/>
        <w:tc>
          <w:tcPr>
            <w:tcW w:w="4862" w:type="dxa"/>
            <w:tcBorders/>
            <w:shd w:fill="auto" w:val="clear"/>
            <w:vAlign w:val="bottom"/>
          </w:tcPr>
          <w:p>
            <w:pPr>
              <w:pStyle w:val="TableContents"/>
              <w:spacing w:before="0" w:after="0"/>
              <w:ind w:left="450" w:right="0" w:hanging="225"/>
              <w:rPr/>
            </w:pPr>
            <w:r>
              <w:rPr/>
              <w:t>Total stores offering signature loans</w:t>
            </w:r>
          </w:p>
        </w:tc>
        <w:tc>
          <w:tcPr>
            <w:tcW w:w="366"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7" w:type="dxa"/>
            <w:tcBorders/>
            <w:shd w:fill="auto" w:val="clear"/>
            <w:vAlign w:val="bottom"/>
          </w:tcPr>
          <w:p>
            <w:pPr>
              <w:pStyle w:val="TableContents"/>
              <w:spacing w:before="0" w:after="283"/>
              <w:jc w:val="right"/>
              <w:rPr/>
            </w:pPr>
            <w:r>
              <w:rPr/>
              <w:t>87</w:t>
            </w:r>
          </w:p>
        </w:tc>
        <w:tc>
          <w:tcPr>
            <w:tcW w:w="152"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067" w:type="dxa"/>
            <w:tcBorders/>
            <w:shd w:fill="auto" w:val="clear"/>
            <w:vAlign w:val="bottom"/>
          </w:tcPr>
          <w:p>
            <w:pPr>
              <w:pStyle w:val="TableContents"/>
              <w:spacing w:before="0" w:after="283"/>
              <w:jc w:val="right"/>
              <w:rPr/>
            </w:pPr>
            <w:r>
              <w:rPr/>
              <w:t>383</w:t>
            </w:r>
          </w:p>
        </w:tc>
        <w:tc>
          <w:tcPr>
            <w:tcW w:w="204" w:type="dxa"/>
            <w:tcBorders/>
            <w:shd w:fill="auto" w:val="clear"/>
            <w:vAlign w:val="bottom"/>
          </w:tcPr>
          <w:p>
            <w:pPr>
              <w:pStyle w:val="TableContents"/>
              <w:spacing w:before="0" w:after="283"/>
              <w:rPr/>
            </w:pPr>
            <w:r>
              <w:rPr/>
              <w:t> </w:t>
            </w:r>
          </w:p>
        </w:tc>
        <w:tc>
          <w:tcPr>
            <w:tcW w:w="41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5" w:type="dxa"/>
            <w:tcBorders/>
            <w:shd w:fill="auto" w:val="clear"/>
            <w:vAlign w:val="bottom"/>
          </w:tcPr>
          <w:p>
            <w:pPr>
              <w:pStyle w:val="TableContents"/>
              <w:spacing w:before="0" w:after="283"/>
              <w:jc w:val="right"/>
              <w:rPr/>
            </w:pPr>
            <w:r>
              <w:rPr/>
              <w:t>470</w:t>
            </w:r>
          </w:p>
        </w:tc>
        <w:tc>
          <w:tcPr>
            <w:tcW w:w="138" w:type="dxa"/>
            <w:tcBorders/>
            <w:shd w:fill="auto" w:val="clear"/>
            <w:vAlign w:val="bottom"/>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16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tbl>
      <w:tblPr>
        <w:tblW w:w="5000" w:type="pct"/>
        <w:jc w:val="center"/>
        <w:tblInd w:w="0" w:type="dxa"/>
        <w:tblCellMar>
          <w:top w:w="0" w:type="dxa"/>
          <w:left w:w="0" w:type="dxa"/>
          <w:bottom w:w="0" w:type="dxa"/>
          <w:right w:w="0" w:type="dxa"/>
        </w:tblCellMar>
      </w:tblPr>
      <w:tblGrid>
        <w:gridCol w:w="4817"/>
        <w:gridCol w:w="375"/>
        <w:gridCol w:w="166"/>
        <w:gridCol w:w="969"/>
        <w:gridCol w:w="208"/>
        <w:gridCol w:w="422"/>
        <w:gridCol w:w="181"/>
        <w:gridCol w:w="1068"/>
        <w:gridCol w:w="155"/>
        <w:gridCol w:w="422"/>
        <w:gridCol w:w="185"/>
        <w:gridCol w:w="1096"/>
        <w:gridCol w:w="141"/>
      </w:tblGrid>
      <w:tr>
        <w:trPr/>
        <w:tc>
          <w:tcPr>
            <w:tcW w:w="48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rPr/>
            </w:pPr>
            <w:r>
              <w:rPr/>
              <w:t> </w:t>
            </w:r>
          </w:p>
        </w:tc>
        <w:tc>
          <w:tcPr>
            <w:tcW w:w="20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rPr/>
            </w:pPr>
            <w:r>
              <w:rPr/>
              <w:t> </w:t>
            </w:r>
          </w:p>
        </w:tc>
        <w:tc>
          <w:tcPr>
            <w:tcW w:w="15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r>
      <w:tr>
        <w:trPr/>
        <w:tc>
          <w:tcPr>
            <w:tcW w:w="48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4872" w:type="dxa"/>
            <w:gridSpan w:val="10"/>
            <w:tcBorders>
              <w:bottom w:val="single" w:sz="2" w:space="0" w:color="000000"/>
            </w:tcBorders>
            <w:shd w:fill="auto" w:val="clear"/>
            <w:tcMar>
              <w:bottom w:w="28" w:type="dxa"/>
            </w:tcMar>
            <w:vAlign w:val="bottom"/>
          </w:tcPr>
          <w:p>
            <w:pPr>
              <w:pStyle w:val="TableContents"/>
              <w:spacing w:before="0" w:after="283"/>
              <w:jc w:val="center"/>
              <w:rPr/>
            </w:pPr>
            <w:r>
              <w:rPr/>
              <w:t>Three Months Ended June 30, 2006</w:t>
            </w:r>
          </w:p>
        </w:tc>
        <w:tc>
          <w:tcPr>
            <w:tcW w:w="141" w:type="dxa"/>
            <w:tcBorders/>
            <w:shd w:fill="auto" w:val="clear"/>
            <w:vAlign w:val="bottom"/>
          </w:tcPr>
          <w:p>
            <w:pPr>
              <w:pStyle w:val="TableContents"/>
              <w:spacing w:before="0" w:after="283"/>
              <w:rPr/>
            </w:pPr>
            <w:r>
              <w:rPr/>
              <w:t> </w:t>
            </w:r>
          </w:p>
        </w:tc>
      </w:tr>
      <w:tr>
        <w:trPr/>
        <w:tc>
          <w:tcPr>
            <w:tcW w:w="48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135" w:type="dxa"/>
            <w:gridSpan w:val="2"/>
            <w:tcBorders/>
            <w:shd w:fill="auto" w:val="clear"/>
            <w:vAlign w:val="bottom"/>
          </w:tcPr>
          <w:p>
            <w:pPr>
              <w:pStyle w:val="TableContents"/>
              <w:spacing w:before="0" w:after="283"/>
              <w:jc w:val="right"/>
              <w:rPr/>
            </w:pPr>
            <w:r>
              <w:rPr/>
              <w:t>EZPAWN</w:t>
            </w:r>
          </w:p>
        </w:tc>
        <w:tc>
          <w:tcPr>
            <w:tcW w:w="20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jc w:val="right"/>
              <w:rPr/>
            </w:pPr>
            <w:r>
              <w:rPr/>
              <w:t>EZMONEY</w:t>
            </w:r>
          </w:p>
        </w:tc>
        <w:tc>
          <w:tcPr>
            <w:tcW w:w="15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81" w:type="dxa"/>
            <w:gridSpan w:val="2"/>
            <w:tcBorders/>
            <w:shd w:fill="auto" w:val="clear"/>
            <w:vAlign w:val="bottom"/>
          </w:tcPr>
          <w:p>
            <w:pPr>
              <w:pStyle w:val="TableContents"/>
              <w:spacing w:before="0" w:after="283"/>
              <w:jc w:val="right"/>
              <w:rPr/>
            </w:pPr>
            <w:r>
              <w:rPr/>
              <w:t> </w:t>
            </w:r>
          </w:p>
        </w:tc>
        <w:tc>
          <w:tcPr>
            <w:tcW w:w="141" w:type="dxa"/>
            <w:tcBorders/>
            <w:shd w:fill="auto" w:val="clear"/>
            <w:vAlign w:val="bottom"/>
          </w:tcPr>
          <w:p>
            <w:pPr>
              <w:pStyle w:val="TableContents"/>
              <w:spacing w:before="0" w:after="283"/>
              <w:rPr/>
            </w:pPr>
            <w:r>
              <w:rPr/>
              <w:t> </w:t>
            </w:r>
          </w:p>
        </w:tc>
      </w:tr>
      <w:tr>
        <w:trPr/>
        <w:tc>
          <w:tcPr>
            <w:tcW w:w="4817" w:type="dxa"/>
            <w:tcBorders/>
            <w:shd w:fill="auto" w:val="clear"/>
            <w:vAlign w:val="bottom"/>
          </w:tcPr>
          <w:p>
            <w:pPr>
              <w:pStyle w:val="TableContents"/>
              <w:spacing w:before="0" w:after="283"/>
              <w:rPr/>
            </w:pPr>
            <w:r>
              <w:rPr/>
              <w:t> </w:t>
            </w:r>
          </w:p>
        </w:tc>
        <w:tc>
          <w:tcPr>
            <w:tcW w:w="375" w:type="dxa"/>
            <w:tcBorders/>
            <w:shd w:fill="auto" w:val="clear"/>
            <w:vAlign w:val="bottom"/>
          </w:tcPr>
          <w:p>
            <w:pPr>
              <w:pStyle w:val="TableContents"/>
              <w:spacing w:before="0" w:after="283"/>
              <w:rPr/>
            </w:pPr>
            <w:r>
              <w:rPr/>
              <w:t> </w:t>
            </w:r>
          </w:p>
        </w:tc>
        <w:tc>
          <w:tcPr>
            <w:tcW w:w="1135"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20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49"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15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281"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41" w:type="dxa"/>
            <w:tcBorders/>
            <w:shd w:fill="auto" w:val="clear"/>
            <w:vAlign w:val="bottom"/>
          </w:tcPr>
          <w:p>
            <w:pPr>
              <w:pStyle w:val="TableContents"/>
              <w:spacing w:before="0" w:after="283"/>
              <w:rPr/>
            </w:pPr>
            <w:r>
              <w:rPr/>
              <w:t> </w:t>
            </w:r>
          </w:p>
        </w:tc>
      </w:tr>
      <w:tr>
        <w:trPr/>
        <w:tc>
          <w:tcPr>
            <w:tcW w:w="4817" w:type="dxa"/>
            <w:tcBorders/>
            <w:shd w:fill="CCEEFF" w:val="clear"/>
            <w:vAlign w:val="bottom"/>
          </w:tcPr>
          <w:p>
            <w:pPr>
              <w:pStyle w:val="TableContents"/>
              <w:spacing w:before="0" w:after="0"/>
              <w:ind w:left="225" w:right="0" w:hanging="225"/>
              <w:rPr/>
            </w:pPr>
            <w:r>
              <w:rPr/>
              <w:t>Stores in operation:</w:t>
            </w:r>
          </w:p>
        </w:tc>
        <w:tc>
          <w:tcPr>
            <w:tcW w:w="37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rPr/>
            </w:pPr>
            <w:r>
              <w:rPr/>
              <w:t> </w:t>
            </w:r>
          </w:p>
        </w:tc>
        <w:tc>
          <w:tcPr>
            <w:tcW w:w="20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rPr/>
            </w:pPr>
            <w:r>
              <w:rPr/>
              <w:t> </w:t>
            </w:r>
          </w:p>
        </w:tc>
        <w:tc>
          <w:tcPr>
            <w:tcW w:w="155"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r>
      <w:tr>
        <w:trPr/>
        <w:tc>
          <w:tcPr>
            <w:tcW w:w="4817" w:type="dxa"/>
            <w:tcBorders/>
            <w:shd w:fill="auto" w:val="clear"/>
            <w:vAlign w:val="bottom"/>
          </w:tcPr>
          <w:p>
            <w:pPr>
              <w:pStyle w:val="TableContents"/>
              <w:spacing w:before="0" w:after="0"/>
              <w:ind w:left="450" w:right="0" w:hanging="225"/>
              <w:rPr/>
            </w:pPr>
            <w:r>
              <w:rPr/>
              <w:t>Beginning of period</w:t>
            </w:r>
          </w:p>
        </w:tc>
        <w:tc>
          <w:tcPr>
            <w:tcW w:w="3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288</w:t>
            </w:r>
          </w:p>
        </w:tc>
        <w:tc>
          <w:tcPr>
            <w:tcW w:w="20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256</w:t>
            </w:r>
          </w:p>
        </w:tc>
        <w:tc>
          <w:tcPr>
            <w:tcW w:w="15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544</w:t>
            </w:r>
          </w:p>
        </w:tc>
        <w:tc>
          <w:tcPr>
            <w:tcW w:w="141" w:type="dxa"/>
            <w:tcBorders/>
            <w:shd w:fill="auto" w:val="clear"/>
            <w:vAlign w:val="bottom"/>
          </w:tcPr>
          <w:p>
            <w:pPr>
              <w:pStyle w:val="TableContents"/>
              <w:spacing w:before="0" w:after="283"/>
              <w:rPr/>
            </w:pPr>
            <w:r>
              <w:rPr/>
              <w:t> </w:t>
            </w:r>
          </w:p>
        </w:tc>
      </w:tr>
      <w:tr>
        <w:trPr/>
        <w:tc>
          <w:tcPr>
            <w:tcW w:w="4817" w:type="dxa"/>
            <w:tcBorders/>
            <w:shd w:fill="CCEEFF" w:val="clear"/>
            <w:vAlign w:val="bottom"/>
          </w:tcPr>
          <w:p>
            <w:pPr>
              <w:pStyle w:val="TableContents"/>
              <w:spacing w:before="0" w:after="0"/>
              <w:ind w:left="450" w:right="0" w:hanging="225"/>
              <w:rPr/>
            </w:pPr>
            <w:r>
              <w:rPr/>
              <w:t>New openings</w:t>
            </w:r>
          </w:p>
        </w:tc>
        <w:tc>
          <w:tcPr>
            <w:tcW w:w="37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w:t>
            </w:r>
          </w:p>
        </w:tc>
        <w:tc>
          <w:tcPr>
            <w:tcW w:w="20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25</w:t>
            </w:r>
          </w:p>
        </w:tc>
        <w:tc>
          <w:tcPr>
            <w:tcW w:w="155"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25</w:t>
            </w:r>
          </w:p>
        </w:tc>
        <w:tc>
          <w:tcPr>
            <w:tcW w:w="141" w:type="dxa"/>
            <w:tcBorders/>
            <w:shd w:fill="CCEEFF" w:val="clear"/>
            <w:vAlign w:val="bottom"/>
          </w:tcPr>
          <w:p>
            <w:pPr>
              <w:pStyle w:val="TableContents"/>
              <w:spacing w:before="0" w:after="283"/>
              <w:rPr/>
            </w:pPr>
            <w:r>
              <w:rPr/>
              <w:t> </w:t>
            </w:r>
          </w:p>
        </w:tc>
      </w:tr>
      <w:tr>
        <w:trPr/>
        <w:tc>
          <w:tcPr>
            <w:tcW w:w="4817" w:type="dxa"/>
            <w:tcBorders/>
            <w:shd w:fill="auto" w:val="clear"/>
            <w:vAlign w:val="bottom"/>
          </w:tcPr>
          <w:p>
            <w:pPr>
              <w:pStyle w:val="TableContents"/>
              <w:spacing w:before="0" w:after="0"/>
              <w:ind w:left="450" w:right="0" w:hanging="225"/>
              <w:rPr/>
            </w:pPr>
            <w:r>
              <w:rPr/>
              <w:t>Acquired</w:t>
            </w:r>
          </w:p>
        </w:tc>
        <w:tc>
          <w:tcPr>
            <w:tcW w:w="3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w:t>
            </w:r>
          </w:p>
        </w:tc>
        <w:tc>
          <w:tcPr>
            <w:tcW w:w="20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w:t>
            </w:r>
          </w:p>
        </w:tc>
        <w:tc>
          <w:tcPr>
            <w:tcW w:w="15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w:t>
            </w:r>
          </w:p>
        </w:tc>
        <w:tc>
          <w:tcPr>
            <w:tcW w:w="141" w:type="dxa"/>
            <w:tcBorders/>
            <w:shd w:fill="auto" w:val="clear"/>
            <w:vAlign w:val="bottom"/>
          </w:tcPr>
          <w:p>
            <w:pPr>
              <w:pStyle w:val="TableContents"/>
              <w:spacing w:before="0" w:after="283"/>
              <w:rPr/>
            </w:pPr>
            <w:r>
              <w:rPr/>
              <w:t> </w:t>
            </w:r>
          </w:p>
        </w:tc>
      </w:tr>
      <w:tr>
        <w:trPr/>
        <w:tc>
          <w:tcPr>
            <w:tcW w:w="4817" w:type="dxa"/>
            <w:tcBorders/>
            <w:shd w:fill="CCEEFF" w:val="clear"/>
            <w:vAlign w:val="bottom"/>
          </w:tcPr>
          <w:p>
            <w:pPr>
              <w:pStyle w:val="TableContents"/>
              <w:spacing w:before="0" w:after="0"/>
              <w:ind w:left="450" w:right="0" w:hanging="225"/>
              <w:rPr/>
            </w:pPr>
            <w:r>
              <w:rPr/>
              <w:t>Sold, combined, or closed</w:t>
            </w:r>
          </w:p>
        </w:tc>
        <w:tc>
          <w:tcPr>
            <w:tcW w:w="37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jc w:val="left"/>
              <w:rPr/>
            </w:pPr>
            <w:r>
              <w:rPr/>
              <w:t> </w:t>
            </w:r>
          </w:p>
        </w:tc>
        <w:tc>
          <w:tcPr>
            <w:tcW w:w="969" w:type="dxa"/>
            <w:tcBorders/>
            <w:shd w:fill="CCEEFF" w:val="clear"/>
            <w:vAlign w:val="bottom"/>
          </w:tcPr>
          <w:p>
            <w:pPr>
              <w:pStyle w:val="TableContents"/>
              <w:spacing w:before="0" w:after="283"/>
              <w:jc w:val="right"/>
              <w:rPr/>
            </w:pPr>
            <w:r>
              <w:rPr/>
              <w:t>(1</w:t>
            </w:r>
          </w:p>
        </w:tc>
        <w:tc>
          <w:tcPr>
            <w:tcW w:w="208" w:type="dxa"/>
            <w:tcBorders/>
            <w:shd w:fill="CCEEFF" w:val="clear"/>
            <w:vAlign w:val="bottom"/>
          </w:tcPr>
          <w:p>
            <w:pPr>
              <w:pStyle w:val="TableContents"/>
              <w:spacing w:before="0" w:after="283"/>
              <w:rPr/>
            </w:pPr>
            <w:r>
              <w:rPr/>
              <w:t>)</w:t>
            </w:r>
          </w:p>
        </w:tc>
        <w:tc>
          <w:tcPr>
            <w:tcW w:w="42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w:t>
            </w:r>
          </w:p>
        </w:tc>
        <w:tc>
          <w:tcPr>
            <w:tcW w:w="155"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(1</w:t>
            </w:r>
          </w:p>
        </w:tc>
        <w:tc>
          <w:tcPr>
            <w:tcW w:w="141" w:type="dxa"/>
            <w:tcBorders/>
            <w:shd w:fill="CCEEFF" w:val="clear"/>
            <w:vAlign w:val="bottom"/>
          </w:tcPr>
          <w:p>
            <w:pPr>
              <w:pStyle w:val="TableContents"/>
              <w:spacing w:before="0" w:after="283"/>
              <w:rPr/>
            </w:pPr>
            <w:r>
              <w:rPr/>
              <w:t>)</w:t>
            </w:r>
          </w:p>
        </w:tc>
      </w:tr>
      <w:tr>
        <w:trPr/>
        <w:tc>
          <w:tcPr>
            <w:tcW w:w="4817"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13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8"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24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28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17" w:type="dxa"/>
            <w:tcBorders/>
            <w:shd w:fill="auto" w:val="clear"/>
            <w:vAlign w:val="bottom"/>
          </w:tcPr>
          <w:p>
            <w:pPr>
              <w:pStyle w:val="TableContents"/>
              <w:spacing w:before="0" w:after="0"/>
              <w:ind w:left="450" w:right="0" w:hanging="225"/>
              <w:rPr/>
            </w:pPr>
            <w:r>
              <w:rPr/>
              <w:t>End of period</w:t>
            </w:r>
          </w:p>
        </w:tc>
        <w:tc>
          <w:tcPr>
            <w:tcW w:w="375"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287</w:t>
            </w:r>
          </w:p>
        </w:tc>
        <w:tc>
          <w:tcPr>
            <w:tcW w:w="208"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68" w:type="dxa"/>
            <w:tcBorders/>
            <w:shd w:fill="auto" w:val="clear"/>
            <w:vAlign w:val="bottom"/>
          </w:tcPr>
          <w:p>
            <w:pPr>
              <w:pStyle w:val="TableContents"/>
              <w:spacing w:before="0" w:after="283"/>
              <w:jc w:val="right"/>
              <w:rPr/>
            </w:pPr>
            <w:r>
              <w:rPr/>
              <w:t>281</w:t>
            </w:r>
          </w:p>
        </w:tc>
        <w:tc>
          <w:tcPr>
            <w:tcW w:w="155" w:type="dxa"/>
            <w:tcBorders/>
            <w:shd w:fill="auto" w:val="clear"/>
            <w:vAlign w:val="bottom"/>
          </w:tcPr>
          <w:p>
            <w:pPr>
              <w:pStyle w:val="TableContents"/>
              <w:spacing w:before="0" w:after="283"/>
              <w:rPr/>
            </w:pPr>
            <w:r>
              <w:rPr/>
              <w:t> </w:t>
            </w:r>
          </w:p>
        </w:tc>
        <w:tc>
          <w:tcPr>
            <w:tcW w:w="422" w:type="dxa"/>
            <w:tcBorders/>
            <w:shd w:fill="auto" w:val="clear"/>
            <w:vAlign w:val="bottom"/>
          </w:tcPr>
          <w:p>
            <w:pPr>
              <w:pStyle w:val="TableContents"/>
              <w:spacing w:before="0" w:after="283"/>
              <w:rPr/>
            </w:pPr>
            <w:r>
              <w:rPr/>
              <w:t> </w:t>
            </w:r>
          </w:p>
        </w:tc>
        <w:tc>
          <w:tcPr>
            <w:tcW w:w="185" w:type="dxa"/>
            <w:tcBorders/>
            <w:shd w:fill="auto" w:val="clear"/>
            <w:vAlign w:val="bottom"/>
          </w:tcPr>
          <w:p>
            <w:pPr>
              <w:pStyle w:val="TableContents"/>
              <w:spacing w:before="0" w:after="283"/>
              <w:rPr/>
            </w:pPr>
            <w:r>
              <w:rPr/>
              <w:t> </w:t>
            </w:r>
          </w:p>
        </w:tc>
        <w:tc>
          <w:tcPr>
            <w:tcW w:w="1096" w:type="dxa"/>
            <w:tcBorders/>
            <w:shd w:fill="auto" w:val="clear"/>
            <w:vAlign w:val="bottom"/>
          </w:tcPr>
          <w:p>
            <w:pPr>
              <w:pStyle w:val="TableContents"/>
              <w:spacing w:before="0" w:after="283"/>
              <w:jc w:val="right"/>
              <w:rPr/>
            </w:pPr>
            <w:r>
              <w:rPr/>
              <w:t>568</w:t>
            </w:r>
          </w:p>
        </w:tc>
        <w:tc>
          <w:tcPr>
            <w:tcW w:w="141" w:type="dxa"/>
            <w:tcBorders/>
            <w:shd w:fill="auto" w:val="clear"/>
            <w:vAlign w:val="bottom"/>
          </w:tcPr>
          <w:p>
            <w:pPr>
              <w:pStyle w:val="TableContents"/>
              <w:spacing w:before="0" w:after="283"/>
              <w:rPr/>
            </w:pPr>
            <w:r>
              <w:rPr/>
              <w:t> </w:t>
            </w:r>
          </w:p>
        </w:tc>
      </w:tr>
      <w:tr>
        <w:trPr/>
        <w:tc>
          <w:tcPr>
            <w:tcW w:w="4817" w:type="dxa"/>
            <w:tcBorders/>
            <w:shd w:fill="auto" w:val="clear"/>
            <w:vAlign w:val="center"/>
          </w:tcPr>
          <w:p>
            <w:pPr>
              <w:pStyle w:val="TableContents"/>
              <w:spacing w:before="0" w:after="0"/>
              <w:ind w:left="225" w:right="0" w:hanging="225"/>
              <w:rPr/>
            </w:pPr>
            <w:r>
              <w:rPr/>
              <w:t> </w:t>
            </w:r>
          </w:p>
        </w:tc>
        <w:tc>
          <w:tcPr>
            <w:tcW w:w="375" w:type="dxa"/>
            <w:tcBorders/>
            <w:shd w:fill="auto" w:val="clear"/>
            <w:vAlign w:val="center"/>
          </w:tcPr>
          <w:p>
            <w:pPr>
              <w:pStyle w:val="TableContents"/>
              <w:spacing w:before="0" w:after="283"/>
              <w:rPr/>
            </w:pPr>
            <w:r>
              <w:rPr/>
              <w:t> </w:t>
            </w:r>
          </w:p>
        </w:tc>
        <w:tc>
          <w:tcPr>
            <w:tcW w:w="1135"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8"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24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55" w:type="dxa"/>
            <w:tcBorders/>
            <w:shd w:fill="auto" w:val="clear"/>
            <w:vAlign w:val="center"/>
          </w:tcPr>
          <w:p>
            <w:pPr>
              <w:pStyle w:val="TableContents"/>
              <w:spacing w:before="0" w:after="283"/>
              <w:rPr/>
            </w:pPr>
            <w:r>
              <w:rPr/>
              <w:t> </w:t>
            </w:r>
          </w:p>
        </w:tc>
        <w:tc>
          <w:tcPr>
            <w:tcW w:w="422" w:type="dxa"/>
            <w:tcBorders/>
            <w:shd w:fill="auto" w:val="clear"/>
            <w:vAlign w:val="center"/>
          </w:tcPr>
          <w:p>
            <w:pPr>
              <w:pStyle w:val="TableContents"/>
              <w:spacing w:before="0" w:after="283"/>
              <w:rPr/>
            </w:pPr>
            <w:r>
              <w:rPr/>
              <w:t> </w:t>
            </w:r>
          </w:p>
        </w:tc>
        <w:tc>
          <w:tcPr>
            <w:tcW w:w="128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41" w:type="dxa"/>
            <w:tcBorders/>
            <w:shd w:fill="auto" w:val="clear"/>
            <w:vAlign w:val="center"/>
          </w:tcPr>
          <w:p>
            <w:pPr>
              <w:pStyle w:val="TableContents"/>
              <w:spacing w:before="0" w:after="283"/>
              <w:rPr/>
            </w:pPr>
            <w:r>
              <w:rPr/>
              <w:t> </w:t>
            </w:r>
          </w:p>
        </w:tc>
      </w:tr>
      <w:tr>
        <w:trPr/>
        <w:tc>
          <w:tcPr>
            <w:tcW w:w="4817" w:type="dxa"/>
            <w:tcBorders/>
            <w:shd w:fill="CCEEFF" w:val="clear"/>
            <w:vAlign w:val="bottom"/>
          </w:tcPr>
          <w:p>
            <w:pPr>
              <w:pStyle w:val="TableContents"/>
              <w:spacing w:before="0" w:after="0"/>
              <w:ind w:left="225" w:right="0" w:hanging="225"/>
              <w:rPr/>
            </w:pPr>
            <w:r>
              <w:rPr/>
              <w:t>Average number of stores during the period</w:t>
            </w:r>
          </w:p>
        </w:tc>
        <w:tc>
          <w:tcPr>
            <w:tcW w:w="375"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288</w:t>
            </w:r>
          </w:p>
        </w:tc>
        <w:tc>
          <w:tcPr>
            <w:tcW w:w="208"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68" w:type="dxa"/>
            <w:tcBorders/>
            <w:shd w:fill="CCEEFF" w:val="clear"/>
            <w:vAlign w:val="bottom"/>
          </w:tcPr>
          <w:p>
            <w:pPr>
              <w:pStyle w:val="TableContents"/>
              <w:spacing w:before="0" w:after="283"/>
              <w:jc w:val="right"/>
              <w:rPr/>
            </w:pPr>
            <w:r>
              <w:rPr/>
              <w:t>263</w:t>
            </w:r>
          </w:p>
        </w:tc>
        <w:tc>
          <w:tcPr>
            <w:tcW w:w="155" w:type="dxa"/>
            <w:tcBorders/>
            <w:shd w:fill="CCEEFF" w:val="clear"/>
            <w:vAlign w:val="bottom"/>
          </w:tcPr>
          <w:p>
            <w:pPr>
              <w:pStyle w:val="TableContents"/>
              <w:spacing w:before="0" w:after="283"/>
              <w:rPr/>
            </w:pPr>
            <w:r>
              <w:rPr/>
              <w:t> </w:t>
            </w:r>
          </w:p>
        </w:tc>
        <w:tc>
          <w:tcPr>
            <w:tcW w:w="422" w:type="dxa"/>
            <w:tcBorders/>
            <w:shd w:fill="CCEEFF" w:val="clear"/>
            <w:vAlign w:val="bottom"/>
          </w:tcPr>
          <w:p>
            <w:pPr>
              <w:pStyle w:val="TableContents"/>
              <w:spacing w:before="0" w:after="283"/>
              <w:rPr/>
            </w:pPr>
            <w:r>
              <w:rPr/>
              <w:t> </w:t>
            </w:r>
          </w:p>
        </w:tc>
        <w:tc>
          <w:tcPr>
            <w:tcW w:w="185" w:type="dxa"/>
            <w:tcBorders/>
            <w:shd w:fill="CCEEFF" w:val="clear"/>
            <w:vAlign w:val="bottom"/>
          </w:tcPr>
          <w:p>
            <w:pPr>
              <w:pStyle w:val="TableContents"/>
              <w:spacing w:before="0" w:after="283"/>
              <w:rPr/>
            </w:pPr>
            <w:r>
              <w:rPr/>
              <w:t> </w:t>
            </w:r>
          </w:p>
        </w:tc>
        <w:tc>
          <w:tcPr>
            <w:tcW w:w="1096" w:type="dxa"/>
            <w:tcBorders/>
            <w:shd w:fill="CCEEFF" w:val="clear"/>
            <w:vAlign w:val="bottom"/>
          </w:tcPr>
          <w:p>
            <w:pPr>
              <w:pStyle w:val="TableContents"/>
              <w:spacing w:before="0" w:after="283"/>
              <w:jc w:val="right"/>
              <w:rPr/>
            </w:pPr>
            <w:r>
              <w:rPr/>
              <w:t>550</w:t>
            </w:r>
          </w:p>
        </w:tc>
        <w:tc>
          <w:tcPr>
            <w:tcW w:w="141" w:type="dxa"/>
            <w:tcBorders/>
            <w:shd w:fill="CCEEFF"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4819"/>
        <w:gridCol w:w="362"/>
        <w:gridCol w:w="165"/>
        <w:gridCol w:w="969"/>
        <w:gridCol w:w="202"/>
        <w:gridCol w:w="406"/>
        <w:gridCol w:w="181"/>
        <w:gridCol w:w="1071"/>
        <w:gridCol w:w="202"/>
        <w:gridCol w:w="406"/>
        <w:gridCol w:w="184"/>
        <w:gridCol w:w="1099"/>
        <w:gridCol w:w="139"/>
      </w:tblGrid>
      <w:tr>
        <w:trPr/>
        <w:tc>
          <w:tcPr>
            <w:tcW w:w="4819"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4885" w:type="dxa"/>
            <w:gridSpan w:val="10"/>
            <w:tcBorders>
              <w:bottom w:val="single" w:sz="2" w:space="0" w:color="000000"/>
            </w:tcBorders>
            <w:shd w:fill="auto" w:val="clear"/>
            <w:tcMar>
              <w:bottom w:w="28" w:type="dxa"/>
            </w:tcMar>
            <w:vAlign w:val="bottom"/>
          </w:tcPr>
          <w:p>
            <w:pPr>
              <w:pStyle w:val="TableContents"/>
              <w:spacing w:before="0" w:after="283"/>
              <w:jc w:val="center"/>
              <w:rPr/>
            </w:pPr>
            <w:r>
              <w:rPr/>
              <w:t>Nine Months Ended June 30, 2006</w:t>
            </w:r>
          </w:p>
        </w:tc>
        <w:tc>
          <w:tcPr>
            <w:tcW w:w="139" w:type="dxa"/>
            <w:tcBorders/>
            <w:shd w:fill="auto"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134" w:type="dxa"/>
            <w:gridSpan w:val="2"/>
            <w:tcBorders/>
            <w:shd w:fill="auto" w:val="clear"/>
            <w:vAlign w:val="bottom"/>
          </w:tcPr>
          <w:p>
            <w:pPr>
              <w:pStyle w:val="TableContents"/>
              <w:spacing w:before="0" w:after="283"/>
              <w:jc w:val="right"/>
              <w:rPr/>
            </w:pPr>
            <w:r>
              <w:rPr/>
              <w:t>EZPAWN</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252" w:type="dxa"/>
            <w:gridSpan w:val="2"/>
            <w:tcBorders/>
            <w:shd w:fill="auto" w:val="clear"/>
            <w:vAlign w:val="bottom"/>
          </w:tcPr>
          <w:p>
            <w:pPr>
              <w:pStyle w:val="TableContents"/>
              <w:spacing w:before="0" w:after="283"/>
              <w:jc w:val="right"/>
              <w:rPr/>
            </w:pPr>
            <w:r>
              <w:rPr/>
              <w:t>EZMONEY</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283" w:type="dxa"/>
            <w:gridSpan w:val="2"/>
            <w:tcBorders/>
            <w:shd w:fill="auto" w:val="clear"/>
            <w:vAlign w:val="bottom"/>
          </w:tcPr>
          <w:p>
            <w:pPr>
              <w:pStyle w:val="TableContents"/>
              <w:spacing w:before="0" w:after="283"/>
              <w:jc w:val="right"/>
              <w:rPr/>
            </w:pPr>
            <w:r>
              <w:rPr/>
              <w:t> </w:t>
            </w:r>
          </w:p>
        </w:tc>
        <w:tc>
          <w:tcPr>
            <w:tcW w:w="139" w:type="dxa"/>
            <w:tcBorders/>
            <w:shd w:fill="auto"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283"/>
              <w:rPr/>
            </w:pPr>
            <w:r>
              <w:rPr/>
              <w:t> </w:t>
            </w:r>
          </w:p>
        </w:tc>
        <w:tc>
          <w:tcPr>
            <w:tcW w:w="362" w:type="dxa"/>
            <w:tcBorders/>
            <w:shd w:fill="auto" w:val="clear"/>
            <w:vAlign w:val="bottom"/>
          </w:tcPr>
          <w:p>
            <w:pPr>
              <w:pStyle w:val="TableContents"/>
              <w:spacing w:before="0" w:after="283"/>
              <w:rPr/>
            </w:pPr>
            <w:r>
              <w:rPr/>
              <w:t> </w:t>
            </w:r>
          </w:p>
        </w:tc>
        <w:tc>
          <w:tcPr>
            <w:tcW w:w="1134"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252" w:type="dxa"/>
            <w:gridSpan w:val="2"/>
            <w:tcBorders>
              <w:bottom w:val="single" w:sz="2" w:space="0" w:color="000000"/>
            </w:tcBorders>
            <w:shd w:fill="auto" w:val="clear"/>
            <w:tcMar>
              <w:bottom w:w="28" w:type="dxa"/>
            </w:tcMar>
            <w:vAlign w:val="bottom"/>
          </w:tcPr>
          <w:p>
            <w:pPr>
              <w:pStyle w:val="TableContents"/>
              <w:spacing w:before="0" w:after="283"/>
              <w:jc w:val="right"/>
              <w:rPr/>
            </w:pPr>
            <w:r>
              <w:rPr/>
              <w:t>Operations</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283" w:type="dxa"/>
            <w:gridSpan w:val="2"/>
            <w:tcBorders>
              <w:bottom w:val="single" w:sz="2" w:space="0" w:color="000000"/>
            </w:tcBorders>
            <w:shd w:fill="auto" w:val="clear"/>
            <w:tcMar>
              <w:bottom w:w="28" w:type="dxa"/>
            </w:tcMar>
            <w:vAlign w:val="bottom"/>
          </w:tcPr>
          <w:p>
            <w:pPr>
              <w:pStyle w:val="TableContents"/>
              <w:spacing w:before="0" w:after="283"/>
              <w:jc w:val="right"/>
              <w:rPr/>
            </w:pPr>
            <w:r>
              <w:rPr/>
              <w:t>Consolidated</w:t>
            </w:r>
          </w:p>
        </w:tc>
        <w:tc>
          <w:tcPr>
            <w:tcW w:w="139" w:type="dxa"/>
            <w:tcBorders/>
            <w:shd w:fill="auto"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225" w:right="0" w:hanging="225"/>
              <w:rPr/>
            </w:pPr>
            <w:r>
              <w:rPr/>
              <w:t>Stores in operation:</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rPr/>
            </w:pPr>
            <w:r>
              <w:rPr/>
              <w:t> </w:t>
            </w:r>
          </w:p>
        </w:tc>
        <w:tc>
          <w:tcPr>
            <w:tcW w:w="139" w:type="dxa"/>
            <w:tcBorders/>
            <w:shd w:fill="CCEEFF"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0"/>
              <w:ind w:left="450" w:right="0" w:hanging="225"/>
              <w:rPr/>
            </w:pPr>
            <w:r>
              <w:rPr/>
              <w:t>Beginning of period</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287</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227</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514</w:t>
            </w:r>
          </w:p>
        </w:tc>
        <w:tc>
          <w:tcPr>
            <w:tcW w:w="139" w:type="dxa"/>
            <w:tcBorders/>
            <w:shd w:fill="auto"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450" w:right="0" w:hanging="225"/>
              <w:rPr/>
            </w:pPr>
            <w:r>
              <w:rPr/>
              <w:t>New openings</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55</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55</w:t>
            </w:r>
          </w:p>
        </w:tc>
        <w:tc>
          <w:tcPr>
            <w:tcW w:w="139" w:type="dxa"/>
            <w:tcBorders/>
            <w:shd w:fill="CCEEFF"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0"/>
              <w:ind w:left="450" w:right="0" w:hanging="225"/>
              <w:rPr/>
            </w:pPr>
            <w:r>
              <w:rPr/>
              <w:t>Acquired</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1</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1</w:t>
            </w:r>
          </w:p>
        </w:tc>
        <w:tc>
          <w:tcPr>
            <w:tcW w:w="139" w:type="dxa"/>
            <w:tcBorders/>
            <w:shd w:fill="auto"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450" w:right="0" w:hanging="225"/>
              <w:rPr/>
            </w:pPr>
            <w:r>
              <w:rPr/>
              <w:t>Sold, combined, or closed</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jc w:val="left"/>
              <w:rPr/>
            </w:pPr>
            <w:r>
              <w:rPr/>
              <w:t> </w:t>
            </w:r>
          </w:p>
        </w:tc>
        <w:tc>
          <w:tcPr>
            <w:tcW w:w="969" w:type="dxa"/>
            <w:tcBorders/>
            <w:shd w:fill="CCEEFF" w:val="clear"/>
            <w:vAlign w:val="bottom"/>
          </w:tcPr>
          <w:p>
            <w:pPr>
              <w:pStyle w:val="TableContents"/>
              <w:spacing w:before="0" w:after="283"/>
              <w:jc w:val="right"/>
              <w:rPr/>
            </w:pPr>
            <w:r>
              <w:rPr/>
              <w:t>(1</w:t>
            </w:r>
          </w:p>
        </w:tc>
        <w:tc>
          <w:tcPr>
            <w:tcW w:w="202"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jc w:val="left"/>
              <w:rPr/>
            </w:pPr>
            <w:r>
              <w:rPr/>
              <w:t> </w:t>
            </w:r>
          </w:p>
        </w:tc>
        <w:tc>
          <w:tcPr>
            <w:tcW w:w="1071" w:type="dxa"/>
            <w:tcBorders/>
            <w:shd w:fill="CCEEFF" w:val="clear"/>
            <w:vAlign w:val="bottom"/>
          </w:tcPr>
          <w:p>
            <w:pPr>
              <w:pStyle w:val="TableContents"/>
              <w:spacing w:before="0" w:after="283"/>
              <w:jc w:val="right"/>
              <w:rPr/>
            </w:pPr>
            <w:r>
              <w:rPr/>
              <w:t>(1</w:t>
            </w:r>
          </w:p>
        </w:tc>
        <w:tc>
          <w:tcPr>
            <w:tcW w:w="202" w:type="dxa"/>
            <w:tcBorders/>
            <w:shd w:fill="CCEEFF" w:val="clear"/>
            <w:vAlign w:val="bottom"/>
          </w:tcPr>
          <w:p>
            <w:pPr>
              <w:pStyle w:val="TableContents"/>
              <w:spacing w:before="0" w:after="283"/>
              <w:rPr/>
            </w:pPr>
            <w:r>
              <w:rPr/>
              <w:t>)</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jc w:val="left"/>
              <w:rPr/>
            </w:pPr>
            <w:r>
              <w:rPr/>
              <w:t> </w:t>
            </w:r>
          </w:p>
        </w:tc>
        <w:tc>
          <w:tcPr>
            <w:tcW w:w="1099" w:type="dxa"/>
            <w:tcBorders/>
            <w:shd w:fill="CCEEFF" w:val="clear"/>
            <w:vAlign w:val="bottom"/>
          </w:tcPr>
          <w:p>
            <w:pPr>
              <w:pStyle w:val="TableContents"/>
              <w:spacing w:before="0" w:after="283"/>
              <w:jc w:val="right"/>
              <w:rPr/>
            </w:pPr>
            <w:r>
              <w:rPr/>
              <w:t>(2</w:t>
            </w:r>
          </w:p>
        </w:tc>
        <w:tc>
          <w:tcPr>
            <w:tcW w:w="139" w:type="dxa"/>
            <w:tcBorders/>
            <w:shd w:fill="CCEEFF" w:val="clear"/>
            <w:vAlign w:val="bottom"/>
          </w:tcPr>
          <w:p>
            <w:pPr>
              <w:pStyle w:val="TableContents"/>
              <w:spacing w:before="0" w:after="283"/>
              <w:rPr/>
            </w:pPr>
            <w:r>
              <w:rPr/>
              <w:t>)</w:t>
            </w:r>
          </w:p>
        </w:tc>
      </w:tr>
      <w:tr>
        <w:trPr/>
        <w:tc>
          <w:tcPr>
            <w:tcW w:w="4819"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819" w:type="dxa"/>
            <w:tcBorders/>
            <w:shd w:fill="auto" w:val="clear"/>
            <w:vAlign w:val="bottom"/>
          </w:tcPr>
          <w:p>
            <w:pPr>
              <w:pStyle w:val="TableContents"/>
              <w:spacing w:before="0" w:after="0"/>
              <w:ind w:left="450" w:right="0" w:hanging="225"/>
              <w:rPr/>
            </w:pPr>
            <w:r>
              <w:rPr/>
              <w:t>End of period</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287</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281</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568</w:t>
            </w:r>
          </w:p>
        </w:tc>
        <w:tc>
          <w:tcPr>
            <w:tcW w:w="139" w:type="dxa"/>
            <w:tcBorders/>
            <w:shd w:fill="auto" w:val="clear"/>
            <w:vAlign w:val="bottom"/>
          </w:tcPr>
          <w:p>
            <w:pPr>
              <w:pStyle w:val="TableContents"/>
              <w:spacing w:before="0" w:after="283"/>
              <w:rPr/>
            </w:pPr>
            <w:r>
              <w:rPr/>
              <w:t> </w:t>
            </w:r>
          </w:p>
        </w:tc>
      </w:tr>
      <w:tr>
        <w:trPr/>
        <w:tc>
          <w:tcPr>
            <w:tcW w:w="4819"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225" w:right="0" w:hanging="225"/>
              <w:rPr/>
            </w:pPr>
            <w:r>
              <w:rPr/>
              <w:t>Average number of stores during the period</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288</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244</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532</w:t>
            </w:r>
          </w:p>
        </w:tc>
        <w:tc>
          <w:tcPr>
            <w:tcW w:w="139" w:type="dxa"/>
            <w:tcBorders/>
            <w:shd w:fill="CCEEFF"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0"/>
              <w:ind w:left="225" w:right="0" w:hanging="225"/>
              <w:rPr/>
            </w:pPr>
            <w:r>
              <w:rPr/>
              <w:t> </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0"/>
              <w:ind w:left="225" w:right="0" w:hanging="225"/>
              <w:rPr/>
            </w:pPr>
            <w:r>
              <w:rPr/>
              <w:t>Composition of ending stores:</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rPr/>
            </w:pPr>
            <w:r>
              <w:rPr/>
              <w:t> </w:t>
            </w:r>
          </w:p>
        </w:tc>
        <w:tc>
          <w:tcPr>
            <w:tcW w:w="139" w:type="dxa"/>
            <w:tcBorders/>
            <w:shd w:fill="auto"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450" w:right="0" w:hanging="225"/>
              <w:rPr/>
            </w:pPr>
            <w:r>
              <w:rPr/>
              <w:t>EZPAWN  United States</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280</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280</w:t>
            </w:r>
          </w:p>
        </w:tc>
        <w:tc>
          <w:tcPr>
            <w:tcW w:w="139" w:type="dxa"/>
            <w:tcBorders/>
            <w:shd w:fill="CCEEFF"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0"/>
              <w:ind w:left="450" w:right="0" w:hanging="225"/>
              <w:rPr/>
            </w:pPr>
            <w:r>
              <w:rPr/>
              <w:t>EZPAWN  Mexico</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w:t>
            </w:r>
          </w:p>
        </w:tc>
        <w:tc>
          <w:tcPr>
            <w:tcW w:w="139" w:type="dxa"/>
            <w:tcBorders/>
            <w:shd w:fill="auto" w:val="clear"/>
            <w:vAlign w:val="bottom"/>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450" w:right="0" w:hanging="225"/>
              <w:rPr/>
            </w:pPr>
            <w:r>
              <w:rPr/>
              <w:t>EZMONEY signature loan stores adjoining EZPAWNs</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7</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158</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165</w:t>
            </w:r>
          </w:p>
        </w:tc>
        <w:tc>
          <w:tcPr>
            <w:tcW w:w="139" w:type="dxa"/>
            <w:tcBorders/>
            <w:shd w:fill="CCEEFF" w:val="clear"/>
            <w:vAlign w:val="bottom"/>
          </w:tcPr>
          <w:p>
            <w:pPr>
              <w:pStyle w:val="TableContents"/>
              <w:spacing w:before="0" w:after="283"/>
              <w:rPr/>
            </w:pPr>
            <w:r>
              <w:rPr/>
              <w:t> </w:t>
            </w:r>
          </w:p>
        </w:tc>
      </w:tr>
      <w:tr>
        <w:trPr/>
        <w:tc>
          <w:tcPr>
            <w:tcW w:w="4819" w:type="dxa"/>
            <w:tcBorders/>
            <w:shd w:fill="auto" w:val="clear"/>
            <w:vAlign w:val="bottom"/>
          </w:tcPr>
          <w:p>
            <w:pPr>
              <w:pStyle w:val="TableContents"/>
              <w:spacing w:before="0" w:after="0"/>
              <w:ind w:left="450" w:right="0" w:hanging="225"/>
              <w:rPr/>
            </w:pPr>
            <w:r>
              <w:rPr/>
              <w:t>EZMONEY signature loan stores  free standing</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123</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123</w:t>
            </w:r>
          </w:p>
        </w:tc>
        <w:tc>
          <w:tcPr>
            <w:tcW w:w="139" w:type="dxa"/>
            <w:tcBorders/>
            <w:shd w:fill="auto" w:val="clear"/>
            <w:vAlign w:val="bottom"/>
          </w:tcPr>
          <w:p>
            <w:pPr>
              <w:pStyle w:val="TableContents"/>
              <w:spacing w:before="0" w:after="283"/>
              <w:rPr/>
            </w:pPr>
            <w:r>
              <w:rPr/>
              <w:t> </w:t>
            </w:r>
          </w:p>
        </w:tc>
      </w:tr>
      <w:tr>
        <w:trPr/>
        <w:tc>
          <w:tcPr>
            <w:tcW w:w="4819"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3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5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8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819" w:type="dxa"/>
            <w:tcBorders/>
            <w:shd w:fill="CCEEFF" w:val="clear"/>
            <w:vAlign w:val="bottom"/>
          </w:tcPr>
          <w:p>
            <w:pPr>
              <w:pStyle w:val="TableContents"/>
              <w:spacing w:before="0" w:after="0"/>
              <w:ind w:left="450" w:right="0" w:hanging="225"/>
              <w:rPr/>
            </w:pPr>
            <w:r>
              <w:rPr/>
              <w:t>Total stores in operation</w:t>
            </w:r>
          </w:p>
        </w:tc>
        <w:tc>
          <w:tcPr>
            <w:tcW w:w="362" w:type="dxa"/>
            <w:tcBorders/>
            <w:shd w:fill="CCEEFF" w:val="clear"/>
            <w:vAlign w:val="bottom"/>
          </w:tcPr>
          <w:p>
            <w:pPr>
              <w:pStyle w:val="TableContents"/>
              <w:spacing w:before="0" w:after="283"/>
              <w:rPr/>
            </w:pPr>
            <w:r>
              <w:rPr/>
              <w:t> </w:t>
            </w:r>
          </w:p>
        </w:tc>
        <w:tc>
          <w:tcPr>
            <w:tcW w:w="165" w:type="dxa"/>
            <w:tcBorders/>
            <w:shd w:fill="CCEEFF" w:val="clear"/>
            <w:vAlign w:val="bottom"/>
          </w:tcPr>
          <w:p>
            <w:pPr>
              <w:pStyle w:val="TableContents"/>
              <w:spacing w:before="0" w:after="283"/>
              <w:rPr/>
            </w:pPr>
            <w:r>
              <w:rPr/>
              <w:t> </w:t>
            </w:r>
          </w:p>
        </w:tc>
        <w:tc>
          <w:tcPr>
            <w:tcW w:w="969" w:type="dxa"/>
            <w:tcBorders/>
            <w:shd w:fill="CCEEFF" w:val="clear"/>
            <w:vAlign w:val="bottom"/>
          </w:tcPr>
          <w:p>
            <w:pPr>
              <w:pStyle w:val="TableContents"/>
              <w:spacing w:before="0" w:after="283"/>
              <w:jc w:val="right"/>
              <w:rPr/>
            </w:pPr>
            <w:r>
              <w:rPr/>
              <w:t>287</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071" w:type="dxa"/>
            <w:tcBorders/>
            <w:shd w:fill="CCEEFF" w:val="clear"/>
            <w:vAlign w:val="bottom"/>
          </w:tcPr>
          <w:p>
            <w:pPr>
              <w:pStyle w:val="TableContents"/>
              <w:spacing w:before="0" w:after="283"/>
              <w:jc w:val="right"/>
              <w:rPr/>
            </w:pPr>
            <w:r>
              <w:rPr/>
              <w:t>281</w:t>
            </w:r>
          </w:p>
        </w:tc>
        <w:tc>
          <w:tcPr>
            <w:tcW w:w="202" w:type="dxa"/>
            <w:tcBorders/>
            <w:shd w:fill="CCEEFF" w:val="clear"/>
            <w:vAlign w:val="bottom"/>
          </w:tcPr>
          <w:p>
            <w:pPr>
              <w:pStyle w:val="TableContents"/>
              <w:spacing w:before="0" w:after="283"/>
              <w:rPr/>
            </w:pPr>
            <w:r>
              <w:rPr/>
              <w:t> </w:t>
            </w:r>
          </w:p>
        </w:tc>
        <w:tc>
          <w:tcPr>
            <w:tcW w:w="406" w:type="dxa"/>
            <w:tcBorders/>
            <w:shd w:fill="CCEEFF" w:val="clear"/>
            <w:vAlign w:val="bottom"/>
          </w:tcPr>
          <w:p>
            <w:pPr>
              <w:pStyle w:val="TableContents"/>
              <w:spacing w:before="0" w:after="283"/>
              <w:rPr/>
            </w:pPr>
            <w:r>
              <w:rPr/>
              <w:t> </w:t>
            </w:r>
          </w:p>
        </w:tc>
        <w:tc>
          <w:tcPr>
            <w:tcW w:w="184" w:type="dxa"/>
            <w:tcBorders/>
            <w:shd w:fill="CCEEFF" w:val="clear"/>
            <w:vAlign w:val="bottom"/>
          </w:tcPr>
          <w:p>
            <w:pPr>
              <w:pStyle w:val="TableContents"/>
              <w:spacing w:before="0" w:after="283"/>
              <w:rPr/>
            </w:pPr>
            <w:r>
              <w:rPr/>
              <w:t> </w:t>
            </w:r>
          </w:p>
        </w:tc>
        <w:tc>
          <w:tcPr>
            <w:tcW w:w="1099" w:type="dxa"/>
            <w:tcBorders/>
            <w:shd w:fill="CCEEFF" w:val="clear"/>
            <w:vAlign w:val="bottom"/>
          </w:tcPr>
          <w:p>
            <w:pPr>
              <w:pStyle w:val="TableContents"/>
              <w:spacing w:before="0" w:after="283"/>
              <w:jc w:val="right"/>
              <w:rPr/>
            </w:pPr>
            <w:r>
              <w:rPr/>
              <w:t>568</w:t>
            </w:r>
          </w:p>
        </w:tc>
        <w:tc>
          <w:tcPr>
            <w:tcW w:w="139" w:type="dxa"/>
            <w:tcBorders/>
            <w:shd w:fill="CCEEFF" w:val="clear"/>
            <w:vAlign w:val="bottom"/>
          </w:tcPr>
          <w:p>
            <w:pPr>
              <w:pStyle w:val="TableContents"/>
              <w:spacing w:before="0" w:after="283"/>
              <w:rPr/>
            </w:pPr>
            <w:r>
              <w:rPr/>
              <w:t> </w:t>
            </w:r>
          </w:p>
        </w:tc>
      </w:tr>
      <w:tr>
        <w:trPr/>
        <w:tc>
          <w:tcPr>
            <w:tcW w:w="4819" w:type="dxa"/>
            <w:tcBorders/>
            <w:shd w:fill="auto" w:val="clear"/>
            <w:vAlign w:val="center"/>
          </w:tcPr>
          <w:p>
            <w:pPr>
              <w:pStyle w:val="TableContents"/>
              <w:spacing w:before="0" w:after="0"/>
              <w:ind w:left="225" w:right="0" w:hanging="225"/>
              <w:rPr/>
            </w:pPr>
            <w:r>
              <w:rPr/>
              <w:t> </w:t>
            </w:r>
          </w:p>
        </w:tc>
        <w:tc>
          <w:tcPr>
            <w:tcW w:w="362" w:type="dxa"/>
            <w:tcBorders/>
            <w:shd w:fill="auto" w:val="clear"/>
            <w:vAlign w:val="center"/>
          </w:tcPr>
          <w:p>
            <w:pPr>
              <w:pStyle w:val="TableContents"/>
              <w:spacing w:before="0" w:after="283"/>
              <w:rPr/>
            </w:pPr>
            <w:r>
              <w:rPr/>
              <w:t> </w:t>
            </w:r>
          </w:p>
        </w:tc>
        <w:tc>
          <w:tcPr>
            <w:tcW w:w="113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5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02" w:type="dxa"/>
            <w:tcBorders/>
            <w:shd w:fill="auto" w:val="clear"/>
            <w:vAlign w:val="center"/>
          </w:tcPr>
          <w:p>
            <w:pPr>
              <w:pStyle w:val="TableContents"/>
              <w:spacing w:before="0" w:after="283"/>
              <w:rPr/>
            </w:pPr>
            <w:r>
              <w:rPr/>
              <w:t> </w:t>
            </w:r>
          </w:p>
        </w:tc>
        <w:tc>
          <w:tcPr>
            <w:tcW w:w="406" w:type="dxa"/>
            <w:tcBorders/>
            <w:shd w:fill="auto" w:val="clear"/>
            <w:vAlign w:val="center"/>
          </w:tcPr>
          <w:p>
            <w:pPr>
              <w:pStyle w:val="TableContents"/>
              <w:spacing w:before="0" w:after="283"/>
              <w:rPr/>
            </w:pPr>
            <w:r>
              <w:rPr/>
              <w:t> </w:t>
            </w:r>
          </w:p>
        </w:tc>
        <w:tc>
          <w:tcPr>
            <w:tcW w:w="128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139" w:type="dxa"/>
            <w:tcBorders/>
            <w:shd w:fill="auto" w:val="clear"/>
            <w:vAlign w:val="center"/>
          </w:tcPr>
          <w:p>
            <w:pPr>
              <w:pStyle w:val="TableContents"/>
              <w:spacing w:before="0" w:after="283"/>
              <w:rPr/>
            </w:pPr>
            <w:r>
              <w:rPr/>
              <w:t> </w:t>
            </w:r>
          </w:p>
        </w:tc>
      </w:tr>
      <w:tr>
        <w:trPr/>
        <w:tc>
          <w:tcPr>
            <w:tcW w:w="4819" w:type="dxa"/>
            <w:tcBorders/>
            <w:shd w:fill="auto" w:val="clear"/>
            <w:vAlign w:val="bottom"/>
          </w:tcPr>
          <w:p>
            <w:pPr>
              <w:pStyle w:val="TableContents"/>
              <w:spacing w:before="0" w:after="0"/>
              <w:ind w:left="450" w:right="0" w:hanging="225"/>
              <w:rPr/>
            </w:pPr>
            <w:r>
              <w:rPr/>
              <w:t>Total stores offering signature loans</w:t>
            </w:r>
          </w:p>
        </w:tc>
        <w:tc>
          <w:tcPr>
            <w:tcW w:w="362" w:type="dxa"/>
            <w:tcBorders/>
            <w:shd w:fill="auto" w:val="clear"/>
            <w:vAlign w:val="bottom"/>
          </w:tcPr>
          <w:p>
            <w:pPr>
              <w:pStyle w:val="TableContents"/>
              <w:spacing w:before="0" w:after="283"/>
              <w:rPr/>
            </w:pPr>
            <w:r>
              <w:rPr/>
              <w:t> </w:t>
            </w:r>
          </w:p>
        </w:tc>
        <w:tc>
          <w:tcPr>
            <w:tcW w:w="165" w:type="dxa"/>
            <w:tcBorders/>
            <w:shd w:fill="auto" w:val="clear"/>
            <w:vAlign w:val="bottom"/>
          </w:tcPr>
          <w:p>
            <w:pPr>
              <w:pStyle w:val="TableContents"/>
              <w:spacing w:before="0" w:after="283"/>
              <w:rPr/>
            </w:pPr>
            <w:r>
              <w:rPr/>
              <w:t> </w:t>
            </w:r>
          </w:p>
        </w:tc>
        <w:tc>
          <w:tcPr>
            <w:tcW w:w="969" w:type="dxa"/>
            <w:tcBorders/>
            <w:shd w:fill="auto" w:val="clear"/>
            <w:vAlign w:val="bottom"/>
          </w:tcPr>
          <w:p>
            <w:pPr>
              <w:pStyle w:val="TableContents"/>
              <w:spacing w:before="0" w:after="283"/>
              <w:jc w:val="right"/>
              <w:rPr/>
            </w:pPr>
            <w:r>
              <w:rPr/>
              <w:t>89</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1" w:type="dxa"/>
            <w:tcBorders/>
            <w:shd w:fill="auto" w:val="clear"/>
            <w:vAlign w:val="bottom"/>
          </w:tcPr>
          <w:p>
            <w:pPr>
              <w:pStyle w:val="TableContents"/>
              <w:spacing w:before="0" w:after="283"/>
              <w:rPr/>
            </w:pPr>
            <w:r>
              <w:rPr/>
              <w:t> </w:t>
            </w:r>
          </w:p>
        </w:tc>
        <w:tc>
          <w:tcPr>
            <w:tcW w:w="1071" w:type="dxa"/>
            <w:tcBorders/>
            <w:shd w:fill="auto" w:val="clear"/>
            <w:vAlign w:val="bottom"/>
          </w:tcPr>
          <w:p>
            <w:pPr>
              <w:pStyle w:val="TableContents"/>
              <w:spacing w:before="0" w:after="283"/>
              <w:jc w:val="right"/>
              <w:rPr/>
            </w:pPr>
            <w:r>
              <w:rPr/>
              <w:t>281</w:t>
            </w:r>
          </w:p>
        </w:tc>
        <w:tc>
          <w:tcPr>
            <w:tcW w:w="202"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84" w:type="dxa"/>
            <w:tcBorders/>
            <w:shd w:fill="auto" w:val="clear"/>
            <w:vAlign w:val="bottom"/>
          </w:tcPr>
          <w:p>
            <w:pPr>
              <w:pStyle w:val="TableContents"/>
              <w:spacing w:before="0" w:after="283"/>
              <w:rPr/>
            </w:pPr>
            <w:r>
              <w:rPr/>
              <w:t> </w:t>
            </w:r>
          </w:p>
        </w:tc>
        <w:tc>
          <w:tcPr>
            <w:tcW w:w="1099" w:type="dxa"/>
            <w:tcBorders/>
            <w:shd w:fill="auto" w:val="clear"/>
            <w:vAlign w:val="bottom"/>
          </w:tcPr>
          <w:p>
            <w:pPr>
              <w:pStyle w:val="TableContents"/>
              <w:spacing w:before="0" w:after="283"/>
              <w:jc w:val="right"/>
              <w:rPr/>
            </w:pPr>
            <w:r>
              <w:rPr/>
              <w:t>370</w:t>
            </w:r>
          </w:p>
        </w:tc>
        <w:tc>
          <w:tcPr>
            <w:tcW w:w="139" w:type="dxa"/>
            <w:tcBorders/>
            <w:shd w:fill="auto" w:val="clear"/>
            <w:vAlign w:val="bottom"/>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pawn service charge revenue on our pawn lending. While allowable service charges vary by state and loan size, a majority of our pawn loans are in amounts that allow 20% per month, or 240% annually. Our average pawn loan amount typically ranges between $80 and $90 but varies depending on the valuation of each item pawned. The total loan term, consisting of the primary term and grace period, ranges between 60 and 120 days.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Between August and November 2005, we reduced the total loan term on new pawn loans from 90 days to 60 days in 215 of our pawn stores. Forty-three stores had previously made the change. We estimate this change reduced our pawn portfolio approximately 15% for the loans in these stores that were between 60 and 90 days old, with very little or no impact on pawn service charge revenues. This change also created a one-time doubling of forfeitures in the prior year-to-date period as loans made 90 and 60 days earlier simultaneously forfeited for a 30-day period, resulting in a higher level of inventory available for sale (beginning inventory plus forfeitures and purchases). We experienced this doubling of forfeitures as loans in these 215 stores matured in the first two quarters of fiscal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our pawnshops, we acquire inventory for retail sales through pawn loan forfeitures and, to a lesser extent, through purchases of customers merchandise. The gross profit on sales of inventory depends primarily on our assessment of the resale value at the time the property is either accepted as loan collateral or purchased. Improper assessment of the resale value in the lending or purchasing process can result in lower margins or reduced marketability of the merchandise.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At June 30, 2007, 254 of our 383 EZMONEY stores and 50 of our 298 pawn stores offered credit services to customers seeking loans from unaffiliated lenders. We do not participate in any of the loans made by the lenders, but earn a fee for helping customers obtain credit and for enhancing customers creditworthiness by providing letters of credit. We also offer a free service to all credit service customers to improve or establish their credit histories by reporting their payments to an external credit-reporting agency. </w:t>
      </w:r>
    </w:p>
    <w:p>
      <w:pPr>
        <w:pStyle w:val="TextBody"/>
        <w:jc w:val="center"/>
        <w:rPr>
          <w:rFonts w:ascii="Times New Roman;Times;serif" w:hAnsi="Times New Roman;Times;serif"/>
          <w:sz w:val="17"/>
        </w:rPr>
      </w:pPr>
      <w:r>
        <w:rPr>
          <w:rFonts w:ascii="Times New Roman;Times;serif" w:hAnsi="Times New Roman;Times;serif"/>
          <w:sz w:val="17"/>
        </w:rPr>
        <w:t xml:space="preserve">17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our credit services, the unaffiliated lenders offer customers two types of loans. In all 254 EZMONEY stores offering credit services, customers can obtain short-term loans, with principal amounts up to $1,500 but averaging $550. Terms of these short-term loans are generally less than 30 days, averaging about 17 days, with due dates corresponding with the customers next payday. We typically earn a fee of 20% of the loan amount for our short-term loan credit services. In 13 EZMONEY stores offering credit services, customers can obtain longer-term installment loans from the unaffiliated lenders. The installment loans typically carry terms of about five months with ten equal installment payments due on customers paydays. Installment loan principal amounts range from $1,525 to $3,000, but average about $2,000. With each installment payment, we earn a fee of 10% of the initial loan amount. At June 30, 2007, short-term loans comprised 99% of the balance of loans brokered through our credit services, and installment loans comprised the remaining 1%.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 payday loan fee revenue on our payday loans. In 166 stores, we make payday loans subject to state law. The average payday loan amount is approximately $440 and the term is generally less than 30 days, averaging about 19 days. We typically charge a fee of 15% to 22% of the loan amount for a 7 to 23-day period. Through December 2005, we also marketed and serviced payday loans made by County Bank of Rehoboth Beach in some of our stores. We could purchase a 90% participation in the County Bank loans we marketed. As of December 31, 2005, County Bank discontinued its payday loan program. Most of our stores previously marketing County Bank loans now provide credit services to customers in obtaining loans from unaffiliated lenders.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June 18, 2007, we completed the acquisition of fifteen pawnshops and one payday loan store from Jumping Jack Cash, a competitor in Colorado for $23.2 million of cash and direct transaction costs. Results of the acquired stores are included in our consolidated results from the date of acquisition. Because the stores were acquired near the end of the current quarter, their impact on the current quarter and year-to-date operating results were not significant. The acquisition had a more material impact on the balance of assets and liabilities. The purchase price was allocated as presented in Note C, </w:t>
      </w:r>
      <w:r>
        <w:rPr>
          <w:rFonts w:ascii="Times New Roman;Times;serif" w:hAnsi="Times New Roman;Times;serif"/>
          <w:i/>
          <w:sz w:val="17"/>
        </w:rPr>
        <w:t xml:space="preserve">Acquisitions, </w:t>
      </w:r>
      <w:r>
        <w:rPr>
          <w:rFonts w:ascii="Times New Roman;Times;serif" w:hAnsi="Times New Roman;Times;serif"/>
          <w:sz w:val="17"/>
        </w:rPr>
        <w:t xml:space="preserve">in the Condensed Consolidated Financial Statements filed with this quarterly report.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EZPAWN Operations segment contributed $1.2 million greater store operating income compared to the prior year quarter, primarily from an increase in pawn service charges. Our EZMONEY Operations segment contributed $1.6 million greater store operating income, comprised of higher fees net of bad debt, somewhat offset by higher operating costs primarily at new stores. After an increase in administrative expenses and less material changes in other items, our consolidated net income improved to $6.8 million in the current quarter from $5.6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18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Results of Operations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u w:val="single"/>
        </w:rPr>
        <w:t>Third Quarter Ended June 30, 2007 vs. Third Quarter Ended June 30,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quarter ended June 30, 2007 (the current quarter) to the quarter ended June 30, 2006 (the prior year quarter). The discussion should be read with the accompanying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EZPAWN Operations segment: </w:t>
      </w:r>
    </w:p>
    <w:tbl>
      <w:tblPr>
        <w:tblW w:w="5000" w:type="pct"/>
        <w:jc w:val="center"/>
        <w:tblInd w:w="0" w:type="dxa"/>
        <w:tblCellMar>
          <w:top w:w="0" w:type="dxa"/>
          <w:left w:w="0" w:type="dxa"/>
          <w:bottom w:w="0" w:type="dxa"/>
          <w:right w:w="0" w:type="dxa"/>
        </w:tblCellMar>
      </w:tblPr>
      <w:tblGrid>
        <w:gridCol w:w="6020"/>
        <w:gridCol w:w="397"/>
        <w:gridCol w:w="236"/>
        <w:gridCol w:w="1161"/>
        <w:gridCol w:w="325"/>
        <w:gridCol w:w="421"/>
        <w:gridCol w:w="236"/>
        <w:gridCol w:w="1164"/>
        <w:gridCol w:w="245"/>
      </w:tblGrid>
      <w:tr>
        <w:trPr/>
        <w:tc>
          <w:tcPr>
            <w:tcW w:w="60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43"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13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25" w:type="dxa"/>
            <w:tcBorders>
              <w:bottom w:val="single" w:sz="2" w:space="0" w:color="000000"/>
            </w:tcBorders>
            <w:shd w:fill="auto" w:val="clear"/>
            <w:tcMar>
              <w:bottom w:w="28" w:type="dxa"/>
            </w:tcMar>
            <w:vAlign w:val="bottom"/>
          </w:tcPr>
          <w:p>
            <w:pPr>
              <w:pStyle w:val="TableContents"/>
              <w:spacing w:before="0" w:after="283"/>
              <w:rPr/>
            </w:pPr>
            <w:r>
              <w:rPr/>
              <w:t> </w:t>
            </w:r>
          </w:p>
        </w:tc>
        <w:tc>
          <w:tcPr>
            <w:tcW w:w="421" w:type="dxa"/>
            <w:tcBorders>
              <w:bottom w:val="single" w:sz="2" w:space="0" w:color="000000"/>
            </w:tcBorders>
            <w:shd w:fill="auto" w:val="clear"/>
            <w:tcMar>
              <w:bottom w:w="28" w:type="dxa"/>
            </w:tcMar>
            <w:vAlign w:val="bottom"/>
          </w:tcPr>
          <w:p>
            <w:pPr>
              <w:pStyle w:val="TableContents"/>
              <w:spacing w:before="0" w:after="283"/>
              <w:rPr/>
            </w:pPr>
            <w:r>
              <w:rPr/>
              <w:t> </w:t>
            </w:r>
          </w:p>
        </w:tc>
        <w:tc>
          <w:tcPr>
            <w:tcW w:w="1400"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283"/>
              <w:rPr/>
            </w:pPr>
            <w:r>
              <w:rPr/>
              <w:t> </w:t>
            </w:r>
          </w:p>
        </w:tc>
        <w:tc>
          <w:tcPr>
            <w:tcW w:w="397" w:type="dxa"/>
            <w:tcBorders/>
            <w:shd w:fill="auto" w:val="clear"/>
            <w:vAlign w:val="bottom"/>
          </w:tcPr>
          <w:p>
            <w:pPr>
              <w:pStyle w:val="TableContents"/>
              <w:spacing w:before="0" w:after="283"/>
              <w:rPr/>
            </w:pPr>
            <w:r>
              <w:rPr/>
              <w:t> </w:t>
            </w:r>
          </w:p>
        </w:tc>
        <w:tc>
          <w:tcPr>
            <w:tcW w:w="3543" w:type="dxa"/>
            <w:gridSpan w:val="6"/>
            <w:tcBorders/>
            <w:shd w:fill="auto" w:val="clear"/>
            <w:vAlign w:val="bottom"/>
          </w:tcPr>
          <w:p>
            <w:pPr>
              <w:pStyle w:val="TableContents"/>
              <w:spacing w:before="0" w:after="283"/>
              <w:jc w:val="center"/>
              <w:rPr>
                <w:i/>
              </w:rPr>
            </w:pPr>
            <w:r>
              <w:rPr>
                <w:i/>
              </w:rPr>
              <w:t>(Dollars in thousands)</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 </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450" w:right="0" w:hanging="225"/>
              <w:rPr/>
            </w:pPr>
            <w:r>
              <w:rPr/>
              <w:t>Sales</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61" w:type="dxa"/>
            <w:tcBorders/>
            <w:shd w:fill="CCEEFF" w:val="clear"/>
            <w:vAlign w:val="bottom"/>
          </w:tcPr>
          <w:p>
            <w:pPr>
              <w:pStyle w:val="TableContents"/>
              <w:spacing w:before="0" w:after="283"/>
              <w:jc w:val="right"/>
              <w:rPr/>
            </w:pPr>
            <w:r>
              <w:rPr/>
              <w:t>42,676</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40,640</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Pawn service charges</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16,978</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15,021</w:t>
            </w:r>
          </w:p>
        </w:tc>
        <w:tc>
          <w:tcPr>
            <w:tcW w:w="245"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450" w:right="0" w:hanging="225"/>
              <w:rPr/>
            </w:pPr>
            <w:r>
              <w:rPr/>
              <w:t>Signature loan fees</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808</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838</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Other</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315</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304</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3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5"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900" w:right="0" w:hanging="225"/>
              <w:rPr/>
            </w:pPr>
            <w:r>
              <w:rPr/>
              <w:t>Total revenues</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60,777</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56,803</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Cost of goods sold</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25,421</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23,698</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3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5"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900" w:right="0" w:hanging="225"/>
              <w:rPr/>
            </w:pPr>
            <w:r>
              <w:rPr/>
              <w:t>Net revenues</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35,356</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33,105</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Store operating expenses:</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450" w:right="0" w:hanging="225"/>
              <w:rPr/>
            </w:pPr>
            <w:r>
              <w:rPr/>
              <w:t>Operations expense</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21,613</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20,747</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Signature loan bad debt</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jc w:val="right"/>
              <w:rPr/>
            </w:pPr>
            <w:r>
              <w:rPr/>
              <w:t>570</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jc w:val="right"/>
              <w:rPr/>
            </w:pPr>
            <w:r>
              <w:rPr/>
              <w:t>406</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3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5"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675" w:right="0" w:hanging="225"/>
              <w:rPr/>
            </w:pPr>
            <w:r>
              <w:rPr/>
              <w:t>Total store operating expenses</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22,183</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21,153</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3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5"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rPr/>
            </w:pPr>
            <w:r>
              <w:rPr/>
              <w:t> </w:t>
            </w:r>
          </w:p>
        </w:tc>
        <w:tc>
          <w:tcPr>
            <w:tcW w:w="140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0" w:type="dxa"/>
            <w:tcBorders/>
            <w:shd w:fill="auto" w:val="clear"/>
            <w:vAlign w:val="bottom"/>
          </w:tcPr>
          <w:p>
            <w:pPr>
              <w:pStyle w:val="TableContents"/>
              <w:spacing w:before="0" w:after="0"/>
              <w:ind w:left="675" w:right="0" w:hanging="225"/>
              <w:rPr/>
            </w:pPr>
            <w:r>
              <w:rPr/>
              <w:t>Store operating income</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13,173</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64" w:type="dxa"/>
            <w:tcBorders/>
            <w:shd w:fill="auto" w:val="clear"/>
            <w:vAlign w:val="bottom"/>
          </w:tcPr>
          <w:p>
            <w:pPr>
              <w:pStyle w:val="TableContents"/>
              <w:spacing w:before="0" w:after="283"/>
              <w:jc w:val="right"/>
              <w:rPr/>
            </w:pPr>
            <w:r>
              <w:rPr/>
              <w:t>11,952</w:t>
            </w:r>
          </w:p>
        </w:tc>
        <w:tc>
          <w:tcPr>
            <w:tcW w:w="245" w:type="dxa"/>
            <w:tcBorders/>
            <w:shd w:fill="auto"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397" w:type="dxa"/>
            <w:tcBorders/>
            <w:shd w:fill="auto" w:val="clear"/>
            <w:vAlign w:val="center"/>
          </w:tcPr>
          <w:p>
            <w:pPr>
              <w:pStyle w:val="TableContents"/>
              <w:spacing w:before="0" w:after="283"/>
              <w:rPr/>
            </w:pPr>
            <w:r>
              <w:rPr/>
              <w:t> </w:t>
            </w:r>
          </w:p>
        </w:tc>
        <w:tc>
          <w:tcPr>
            <w:tcW w:w="13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5" w:type="dxa"/>
            <w:tcBorders/>
            <w:shd w:fill="auto" w:val="clear"/>
            <w:vAlign w:val="center"/>
          </w:tcPr>
          <w:p>
            <w:pPr>
              <w:pStyle w:val="TableContents"/>
              <w:spacing w:before="0" w:after="283"/>
              <w:rPr/>
            </w:pPr>
            <w:r>
              <w:rPr/>
              <w:t> </w:t>
            </w:r>
          </w:p>
        </w:tc>
        <w:tc>
          <w:tcPr>
            <w:tcW w:w="421" w:type="dxa"/>
            <w:tcBorders/>
            <w:shd w:fill="auto" w:val="clear"/>
            <w:vAlign w:val="center"/>
          </w:tcPr>
          <w:p>
            <w:pPr>
              <w:pStyle w:val="TableContents"/>
              <w:spacing w:before="0" w:after="283"/>
              <w:rPr/>
            </w:pPr>
            <w:r>
              <w:rPr/>
              <w:t> </w:t>
            </w:r>
          </w:p>
        </w:tc>
        <w:tc>
          <w:tcPr>
            <w:tcW w:w="140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5" w:type="dxa"/>
            <w:tcBorders/>
            <w:shd w:fill="auto" w:val="clear"/>
            <w:vAlign w:val="center"/>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 </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1" w:type="dxa"/>
            <w:tcBorders/>
            <w:shd w:fill="auto" w:val="clear"/>
            <w:vAlign w:val="bottom"/>
          </w:tcPr>
          <w:p>
            <w:pPr>
              <w:pStyle w:val="TableContents"/>
              <w:spacing w:before="0" w:after="283"/>
              <w:rPr/>
            </w:pPr>
            <w:r>
              <w:rPr/>
              <w:t> </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rPr/>
            </w:pPr>
            <w:r>
              <w:rPr/>
              <w:t> </w:t>
            </w:r>
          </w:p>
        </w:tc>
        <w:tc>
          <w:tcPr>
            <w:tcW w:w="1164" w:type="dxa"/>
            <w:tcBorders/>
            <w:shd w:fill="auto" w:val="clear"/>
            <w:vAlign w:val="bottom"/>
          </w:tcPr>
          <w:p>
            <w:pPr>
              <w:pStyle w:val="TableContents"/>
              <w:spacing w:before="0" w:after="283"/>
              <w:rPr/>
            </w:pPr>
            <w:r>
              <w:rPr/>
              <w:t> </w:t>
            </w:r>
          </w:p>
        </w:tc>
        <w:tc>
          <w:tcPr>
            <w:tcW w:w="245"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225" w:right="0" w:hanging="225"/>
              <w:rPr/>
            </w:pPr>
            <w:r>
              <w:rPr/>
              <w:t>Other data:</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rPr/>
            </w:pPr>
            <w:r>
              <w:rPr/>
              <w:t> </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rPr/>
            </w:pPr>
            <w:r>
              <w:rPr/>
              <w:t> </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Gross margin on sales</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283"/>
              <w:jc w:val="right"/>
              <w:rPr/>
            </w:pPr>
            <w:r>
              <w:rPr/>
              <w:t>40</w:t>
            </w:r>
          </w:p>
        </w:tc>
        <w:tc>
          <w:tcPr>
            <w:tcW w:w="325" w:type="dxa"/>
            <w:tcBorders/>
            <w:shd w:fill="auto" w:val="clear"/>
            <w:vAlign w:val="bottom"/>
          </w:tcPr>
          <w:p>
            <w:pPr>
              <w:pStyle w:val="TableContents"/>
              <w:spacing w:before="0" w:after="283"/>
              <w:rPr/>
            </w:pPr>
            <w:r>
              <w:rPr/>
              <w:t>%</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1164" w:type="dxa"/>
            <w:tcBorders/>
            <w:shd w:fill="auto" w:val="clear"/>
            <w:vAlign w:val="bottom"/>
          </w:tcPr>
          <w:p>
            <w:pPr>
              <w:pStyle w:val="TableContents"/>
              <w:spacing w:before="0" w:after="283"/>
              <w:jc w:val="right"/>
              <w:rPr/>
            </w:pPr>
            <w:r>
              <w:rPr/>
              <w:t>42</w:t>
            </w:r>
          </w:p>
        </w:tc>
        <w:tc>
          <w:tcPr>
            <w:tcW w:w="245" w:type="dxa"/>
            <w:tcBorders/>
            <w:shd w:fill="auto" w:val="clear"/>
            <w:vAlign w:val="bottom"/>
          </w:tcPr>
          <w:p>
            <w:pPr>
              <w:pStyle w:val="TableContents"/>
              <w:spacing w:before="0" w:after="283"/>
              <w:rPr/>
            </w:pPr>
            <w:r>
              <w:rPr/>
              <w:t>%</w:t>
            </w:r>
          </w:p>
        </w:tc>
      </w:tr>
      <w:tr>
        <w:trPr/>
        <w:tc>
          <w:tcPr>
            <w:tcW w:w="6020" w:type="dxa"/>
            <w:tcBorders/>
            <w:shd w:fill="CCEEFF" w:val="clear"/>
            <w:vAlign w:val="bottom"/>
          </w:tcPr>
          <w:p>
            <w:pPr>
              <w:pStyle w:val="TableContents"/>
              <w:spacing w:before="0" w:after="0"/>
              <w:ind w:left="450" w:right="0" w:hanging="225"/>
              <w:rPr/>
            </w:pPr>
            <w:r>
              <w:rPr/>
              <w:t>Annualized inventory turnover</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1" w:type="dxa"/>
            <w:tcBorders/>
            <w:shd w:fill="CCEEFF" w:val="clear"/>
            <w:vAlign w:val="bottom"/>
          </w:tcPr>
          <w:p>
            <w:pPr>
              <w:pStyle w:val="TableContents"/>
              <w:spacing w:before="0" w:after="283"/>
              <w:jc w:val="right"/>
              <w:rPr/>
            </w:pPr>
            <w:r>
              <w:rPr/>
              <w:t>3.4x</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rPr/>
            </w:pPr>
            <w:r>
              <w:rPr/>
              <w:t> </w:t>
            </w:r>
          </w:p>
        </w:tc>
        <w:tc>
          <w:tcPr>
            <w:tcW w:w="1164" w:type="dxa"/>
            <w:tcBorders/>
            <w:shd w:fill="CCEEFF" w:val="clear"/>
            <w:vAlign w:val="bottom"/>
          </w:tcPr>
          <w:p>
            <w:pPr>
              <w:pStyle w:val="TableContents"/>
              <w:spacing w:before="0" w:after="283"/>
              <w:jc w:val="right"/>
              <w:rPr/>
            </w:pPr>
            <w:r>
              <w:rPr/>
              <w:t>3.0x</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Average pawn loan balance per pawn store at quarter end</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195</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64" w:type="dxa"/>
            <w:tcBorders/>
            <w:shd w:fill="auto" w:val="clear"/>
            <w:vAlign w:val="bottom"/>
          </w:tcPr>
          <w:p>
            <w:pPr>
              <w:pStyle w:val="TableContents"/>
              <w:spacing w:before="0" w:after="283"/>
              <w:jc w:val="right"/>
              <w:rPr/>
            </w:pPr>
            <w:r>
              <w:rPr/>
              <w:t>175</w:t>
            </w:r>
          </w:p>
        </w:tc>
        <w:tc>
          <w:tcPr>
            <w:tcW w:w="245"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450" w:right="0" w:hanging="225"/>
              <w:rPr/>
            </w:pPr>
            <w:r>
              <w:rPr/>
              <w:t>Average inventory per pawn store at quarter end</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61" w:type="dxa"/>
            <w:tcBorders/>
            <w:shd w:fill="CCEEFF" w:val="clear"/>
            <w:vAlign w:val="bottom"/>
          </w:tcPr>
          <w:p>
            <w:pPr>
              <w:pStyle w:val="TableContents"/>
              <w:spacing w:before="0" w:after="283"/>
              <w:jc w:val="right"/>
              <w:rPr/>
            </w:pPr>
            <w:r>
              <w:rPr/>
              <w:t>113</w:t>
            </w:r>
          </w:p>
        </w:tc>
        <w:tc>
          <w:tcPr>
            <w:tcW w:w="325" w:type="dxa"/>
            <w:tcBorders/>
            <w:shd w:fill="CCEEFF" w:val="clear"/>
            <w:vAlign w:val="bottom"/>
          </w:tcPr>
          <w:p>
            <w:pPr>
              <w:pStyle w:val="TableContents"/>
              <w:spacing w:before="0" w:after="283"/>
              <w:rPr/>
            </w:pPr>
            <w:r>
              <w:rPr/>
              <w:t> </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w:t>
            </w:r>
          </w:p>
        </w:tc>
        <w:tc>
          <w:tcPr>
            <w:tcW w:w="1164" w:type="dxa"/>
            <w:tcBorders/>
            <w:shd w:fill="CCEEFF" w:val="clear"/>
            <w:vAlign w:val="bottom"/>
          </w:tcPr>
          <w:p>
            <w:pPr>
              <w:pStyle w:val="TableContents"/>
              <w:spacing w:before="0" w:after="283"/>
              <w:jc w:val="right"/>
              <w:rPr/>
            </w:pPr>
            <w:r>
              <w:rPr/>
              <w:t>118</w:t>
            </w:r>
          </w:p>
        </w:tc>
        <w:tc>
          <w:tcPr>
            <w:tcW w:w="245"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Average yield on pawn loan portfolio (a)</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1161" w:type="dxa"/>
            <w:tcBorders/>
            <w:shd w:fill="auto" w:val="clear"/>
            <w:vAlign w:val="bottom"/>
          </w:tcPr>
          <w:p>
            <w:pPr>
              <w:pStyle w:val="TableContents"/>
              <w:spacing w:before="0" w:after="283"/>
              <w:jc w:val="right"/>
              <w:rPr/>
            </w:pPr>
            <w:r>
              <w:rPr/>
              <w:t>136</w:t>
            </w:r>
          </w:p>
        </w:tc>
        <w:tc>
          <w:tcPr>
            <w:tcW w:w="325" w:type="dxa"/>
            <w:tcBorders/>
            <w:shd w:fill="auto" w:val="clear"/>
            <w:vAlign w:val="bottom"/>
          </w:tcPr>
          <w:p>
            <w:pPr>
              <w:pStyle w:val="TableContents"/>
              <w:spacing w:before="0" w:after="283"/>
              <w:rPr/>
            </w:pPr>
            <w:r>
              <w:rPr/>
              <w:t>%</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 </w:t>
            </w:r>
          </w:p>
        </w:tc>
        <w:tc>
          <w:tcPr>
            <w:tcW w:w="1164" w:type="dxa"/>
            <w:tcBorders/>
            <w:shd w:fill="auto" w:val="clear"/>
            <w:vAlign w:val="bottom"/>
          </w:tcPr>
          <w:p>
            <w:pPr>
              <w:pStyle w:val="TableContents"/>
              <w:spacing w:before="0" w:after="283"/>
              <w:jc w:val="right"/>
              <w:rPr/>
            </w:pPr>
            <w:r>
              <w:rPr/>
              <w:t>136</w:t>
            </w:r>
          </w:p>
        </w:tc>
        <w:tc>
          <w:tcPr>
            <w:tcW w:w="245" w:type="dxa"/>
            <w:tcBorders/>
            <w:shd w:fill="auto" w:val="clear"/>
            <w:vAlign w:val="bottom"/>
          </w:tcPr>
          <w:p>
            <w:pPr>
              <w:pStyle w:val="TableContents"/>
              <w:spacing w:before="0" w:after="283"/>
              <w:rPr/>
            </w:pPr>
            <w:r>
              <w:rPr/>
              <w:t>%</w:t>
            </w:r>
          </w:p>
        </w:tc>
      </w:tr>
      <w:tr>
        <w:trPr/>
        <w:tc>
          <w:tcPr>
            <w:tcW w:w="6020" w:type="dxa"/>
            <w:tcBorders/>
            <w:shd w:fill="CCEEFF" w:val="clear"/>
            <w:vAlign w:val="bottom"/>
          </w:tcPr>
          <w:p>
            <w:pPr>
              <w:pStyle w:val="TableContents"/>
              <w:spacing w:before="0" w:after="0"/>
              <w:ind w:left="450" w:right="0" w:hanging="225"/>
              <w:rPr/>
            </w:pPr>
            <w:r>
              <w:rPr/>
              <w:t>Pawn loan redemption rate</w:t>
            </w:r>
          </w:p>
        </w:tc>
        <w:tc>
          <w:tcPr>
            <w:tcW w:w="397"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61" w:type="dxa"/>
            <w:tcBorders/>
            <w:shd w:fill="CCEEFF" w:val="clear"/>
            <w:vAlign w:val="bottom"/>
          </w:tcPr>
          <w:p>
            <w:pPr>
              <w:pStyle w:val="TableContents"/>
              <w:spacing w:before="0" w:after="283"/>
              <w:jc w:val="right"/>
              <w:rPr/>
            </w:pPr>
            <w:r>
              <w:rPr/>
              <w:t>78</w:t>
            </w:r>
          </w:p>
        </w:tc>
        <w:tc>
          <w:tcPr>
            <w:tcW w:w="325" w:type="dxa"/>
            <w:tcBorders/>
            <w:shd w:fill="CCEEFF" w:val="clear"/>
            <w:vAlign w:val="bottom"/>
          </w:tcPr>
          <w:p>
            <w:pPr>
              <w:pStyle w:val="TableContents"/>
              <w:spacing w:before="0" w:after="283"/>
              <w:rPr/>
            </w:pPr>
            <w:r>
              <w:rPr/>
              <w:t>%</w:t>
            </w:r>
          </w:p>
        </w:tc>
        <w:tc>
          <w:tcPr>
            <w:tcW w:w="421" w:type="dxa"/>
            <w:tcBorders/>
            <w:shd w:fill="CCEEFF" w:val="clear"/>
            <w:vAlign w:val="bottom"/>
          </w:tcPr>
          <w:p>
            <w:pPr>
              <w:pStyle w:val="TableContents"/>
              <w:spacing w:before="0" w:after="283"/>
              <w:rPr/>
            </w:pPr>
            <w:r>
              <w:rPr/>
              <w:t> </w:t>
            </w:r>
          </w:p>
        </w:tc>
        <w:tc>
          <w:tcPr>
            <w:tcW w:w="236" w:type="dxa"/>
            <w:tcBorders/>
            <w:shd w:fill="CCEEFF" w:val="clear"/>
            <w:vAlign w:val="bottom"/>
          </w:tcPr>
          <w:p>
            <w:pPr>
              <w:pStyle w:val="TableContents"/>
              <w:spacing w:before="0" w:after="283"/>
              <w:jc w:val="left"/>
              <w:rPr/>
            </w:pPr>
            <w:r>
              <w:rPr/>
              <w:t> </w:t>
            </w:r>
          </w:p>
        </w:tc>
        <w:tc>
          <w:tcPr>
            <w:tcW w:w="1164" w:type="dxa"/>
            <w:tcBorders/>
            <w:shd w:fill="CCEEFF" w:val="clear"/>
            <w:vAlign w:val="bottom"/>
          </w:tcPr>
          <w:p>
            <w:pPr>
              <w:pStyle w:val="TableContents"/>
              <w:spacing w:before="0" w:after="283"/>
              <w:jc w:val="right"/>
              <w:rPr/>
            </w:pPr>
            <w:r>
              <w:rPr/>
              <w:t>77</w:t>
            </w:r>
          </w:p>
        </w:tc>
        <w:tc>
          <w:tcPr>
            <w:tcW w:w="245" w:type="dxa"/>
            <w:tcBorders/>
            <w:shd w:fill="CCEEFF" w:val="clear"/>
            <w:vAlign w:val="bottom"/>
          </w:tcPr>
          <w:p>
            <w:pPr>
              <w:pStyle w:val="TableContents"/>
              <w:spacing w:before="0" w:after="283"/>
              <w:rPr/>
            </w:pPr>
            <w:r>
              <w:rPr/>
              <w:t>%</w:t>
            </w:r>
          </w:p>
        </w:tc>
      </w:tr>
      <w:tr>
        <w:trPr/>
        <w:tc>
          <w:tcPr>
            <w:tcW w:w="6020" w:type="dxa"/>
            <w:tcBorders/>
            <w:shd w:fill="auto" w:val="clear"/>
            <w:vAlign w:val="bottom"/>
          </w:tcPr>
          <w:p>
            <w:pPr>
              <w:pStyle w:val="TableContents"/>
              <w:spacing w:before="0" w:after="0"/>
              <w:ind w:left="450" w:right="0" w:hanging="225"/>
              <w:rPr/>
            </w:pPr>
            <w:r>
              <w:rPr/>
              <w:t>Average signature loan balance per store offering signature loans at quarter end (b)</w:t>
            </w:r>
          </w:p>
        </w:tc>
        <w:tc>
          <w:tcPr>
            <w:tcW w:w="397"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61" w:type="dxa"/>
            <w:tcBorders/>
            <w:shd w:fill="auto" w:val="clear"/>
            <w:vAlign w:val="bottom"/>
          </w:tcPr>
          <w:p>
            <w:pPr>
              <w:pStyle w:val="TableContents"/>
              <w:spacing w:before="0" w:after="283"/>
              <w:jc w:val="right"/>
              <w:rPr/>
            </w:pPr>
            <w:r>
              <w:rPr/>
              <w:t>11</w:t>
            </w:r>
          </w:p>
        </w:tc>
        <w:tc>
          <w:tcPr>
            <w:tcW w:w="325" w:type="dxa"/>
            <w:tcBorders/>
            <w:shd w:fill="auto" w:val="clear"/>
            <w:vAlign w:val="bottom"/>
          </w:tcPr>
          <w:p>
            <w:pPr>
              <w:pStyle w:val="TableContents"/>
              <w:spacing w:before="0" w:after="283"/>
              <w:rPr/>
            </w:pPr>
            <w:r>
              <w:rPr/>
              <w:t> </w:t>
            </w:r>
          </w:p>
        </w:tc>
        <w:tc>
          <w:tcPr>
            <w:tcW w:w="421" w:type="dxa"/>
            <w:tcBorders/>
            <w:shd w:fill="auto" w:val="clear"/>
            <w:vAlign w:val="bottom"/>
          </w:tcPr>
          <w:p>
            <w:pPr>
              <w:pStyle w:val="TableContents"/>
              <w:spacing w:before="0" w:after="283"/>
              <w:rPr/>
            </w:pPr>
            <w:r>
              <w:rPr/>
              <w:t> </w:t>
            </w:r>
          </w:p>
        </w:tc>
        <w:tc>
          <w:tcPr>
            <w:tcW w:w="236" w:type="dxa"/>
            <w:tcBorders/>
            <w:shd w:fill="auto" w:val="clear"/>
            <w:vAlign w:val="bottom"/>
          </w:tcPr>
          <w:p>
            <w:pPr>
              <w:pStyle w:val="TableContents"/>
              <w:spacing w:before="0" w:after="283"/>
              <w:jc w:val="left"/>
              <w:rPr/>
            </w:pPr>
            <w:r>
              <w:rPr/>
              <w:t>$</w:t>
            </w:r>
          </w:p>
        </w:tc>
        <w:tc>
          <w:tcPr>
            <w:tcW w:w="1164" w:type="dxa"/>
            <w:tcBorders/>
            <w:shd w:fill="auto" w:val="clear"/>
            <w:vAlign w:val="bottom"/>
          </w:tcPr>
          <w:p>
            <w:pPr>
              <w:pStyle w:val="TableContents"/>
              <w:spacing w:before="0" w:after="283"/>
              <w:jc w:val="right"/>
              <w:rPr/>
            </w:pPr>
            <w:r>
              <w:rPr/>
              <w:t>11</w:t>
            </w:r>
          </w:p>
        </w:tc>
        <w:tc>
          <w:tcPr>
            <w:tcW w:w="245"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Average yield on pawn loan portfolio is calculated as annualized pawn service charge revenue for the period divided by the average pawn loan balance during the period.</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quarter pawn service charge revenue increased 13%, or $2.0 million from the prior year quarter to $17.0 million. This was due to a 13% higher average pawn loan balance, with the average loan yield unchanged. In the last two years, we have periodically raised our loan values on gold jewelry in response to increases in gold market values and similar changes by our competitors. This contributed about $1.2 million to the increase in pawn service charges in the current quarter. The ending pawn loan balance was 19% higher than the balance at June 30, 2006, indicating the year over year improvement in pawn service charges is likely to increase in the fourth fiscal quarter ending September 30, 2007. Eleven percentage points of the increase in the pawn loan balance was due to same store loan growth, with the remaining increase from the Jumping Jack Cash acquisition and three new Mexico pawn locations.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93% ($15.8 million) of recorded pawn service charge revenue was collected in cash, and $1.2 million resulted from an increase in pawn service charges receivable. In the comparable prior year quarter, 97% ($14.6 million) of recorded pawn service charge revenue was collected in cash, and $0.4 million resulted from an increase in pawn service charges receivable. The accrual of pawn service charges is dependent on the size of the loan portfolio and our estimate of collectible loans in the portfolio at the end of each quarter. </w:t>
      </w:r>
    </w:p>
    <w:p>
      <w:pPr>
        <w:pStyle w:val="TextBody"/>
        <w:jc w:val="center"/>
        <w:rPr>
          <w:rFonts w:ascii="Times New Roman;Times;serif" w:hAnsi="Times New Roman;Times;serif"/>
          <w:sz w:val="17"/>
        </w:rPr>
      </w:pPr>
      <w:r>
        <w:rPr>
          <w:rFonts w:ascii="Times New Roman;Times;serif" w:hAnsi="Times New Roman;Times;serif"/>
          <w:sz w:val="17"/>
        </w:rPr>
        <w:t xml:space="preserve">19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5905"/>
        <w:gridCol w:w="382"/>
        <w:gridCol w:w="307"/>
        <w:gridCol w:w="1088"/>
        <w:gridCol w:w="436"/>
        <w:gridCol w:w="434"/>
        <w:gridCol w:w="307"/>
        <w:gridCol w:w="1091"/>
        <w:gridCol w:w="255"/>
      </w:tblGrid>
      <w:tr>
        <w:trPr/>
        <w:tc>
          <w:tcPr>
            <w:tcW w:w="590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663"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139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436" w:type="dxa"/>
            <w:tcBorders>
              <w:bottom w:val="single" w:sz="2" w:space="0" w:color="000000"/>
            </w:tcBorders>
            <w:shd w:fill="auto" w:val="clear"/>
            <w:tcMar>
              <w:bottom w:w="28" w:type="dxa"/>
            </w:tcMar>
            <w:vAlign w:val="bottom"/>
          </w:tcPr>
          <w:p>
            <w:pPr>
              <w:pStyle w:val="TableContents"/>
              <w:spacing w:before="0" w:after="283"/>
              <w:rPr/>
            </w:pPr>
            <w:r>
              <w:rPr/>
              <w:t> </w:t>
            </w:r>
          </w:p>
        </w:tc>
        <w:tc>
          <w:tcPr>
            <w:tcW w:w="434" w:type="dxa"/>
            <w:tcBorders>
              <w:bottom w:val="single" w:sz="2" w:space="0" w:color="000000"/>
            </w:tcBorders>
            <w:shd w:fill="auto" w:val="clear"/>
            <w:tcMar>
              <w:bottom w:w="28" w:type="dxa"/>
            </w:tcMar>
            <w:vAlign w:val="bottom"/>
          </w:tcPr>
          <w:p>
            <w:pPr>
              <w:pStyle w:val="TableContents"/>
              <w:spacing w:before="0" w:after="283"/>
              <w:rPr/>
            </w:pPr>
            <w:r>
              <w:rPr/>
              <w:t> </w:t>
            </w:r>
          </w:p>
        </w:tc>
        <w:tc>
          <w:tcPr>
            <w:tcW w:w="1398"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283"/>
              <w:rPr/>
            </w:pPr>
            <w:r>
              <w:rPr/>
              <w:t> </w:t>
            </w:r>
          </w:p>
        </w:tc>
        <w:tc>
          <w:tcPr>
            <w:tcW w:w="382" w:type="dxa"/>
            <w:tcBorders/>
            <w:shd w:fill="auto" w:val="clear"/>
            <w:vAlign w:val="bottom"/>
          </w:tcPr>
          <w:p>
            <w:pPr>
              <w:pStyle w:val="TableContents"/>
              <w:spacing w:before="0" w:after="283"/>
              <w:rPr/>
            </w:pPr>
            <w:r>
              <w:rPr/>
              <w:t> </w:t>
            </w:r>
          </w:p>
        </w:tc>
        <w:tc>
          <w:tcPr>
            <w:tcW w:w="3663" w:type="dxa"/>
            <w:gridSpan w:val="6"/>
            <w:tcBorders/>
            <w:shd w:fill="auto" w:val="clear"/>
            <w:vAlign w:val="bottom"/>
          </w:tcPr>
          <w:p>
            <w:pPr>
              <w:pStyle w:val="TableContents"/>
              <w:spacing w:before="0" w:after="283"/>
              <w:jc w:val="center"/>
              <w:rPr>
                <w:i/>
              </w:rPr>
            </w:pPr>
            <w:r>
              <w:rPr>
                <w:i/>
              </w:rPr>
              <w:t>(Dollars in millions)</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0"/>
              <w:ind w:left="225" w:right="0" w:hanging="225"/>
              <w:rPr/>
            </w:pPr>
            <w:r>
              <w:rPr/>
              <w:t> </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5905" w:type="dxa"/>
            <w:tcBorders/>
            <w:shd w:fill="CCEEFF" w:val="clear"/>
            <w:vAlign w:val="bottom"/>
          </w:tcPr>
          <w:p>
            <w:pPr>
              <w:pStyle w:val="TableContents"/>
              <w:spacing w:before="0" w:after="0"/>
              <w:ind w:left="225" w:right="0" w:hanging="225"/>
              <w:rPr/>
            </w:pPr>
            <w:r>
              <w:rPr/>
              <w:t>Merchandise sales</w:t>
            </w:r>
          </w:p>
        </w:tc>
        <w:tc>
          <w:tcPr>
            <w:tcW w:w="382"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088" w:type="dxa"/>
            <w:tcBorders/>
            <w:shd w:fill="CCEEFF" w:val="clear"/>
            <w:vAlign w:val="bottom"/>
          </w:tcPr>
          <w:p>
            <w:pPr>
              <w:pStyle w:val="TableContents"/>
              <w:spacing w:before="0" w:after="283"/>
              <w:jc w:val="right"/>
              <w:rPr/>
            </w:pPr>
            <w:r>
              <w:rPr/>
              <w:t>30.6</w:t>
            </w:r>
          </w:p>
        </w:tc>
        <w:tc>
          <w:tcPr>
            <w:tcW w:w="436"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29.6</w:t>
            </w:r>
          </w:p>
        </w:tc>
        <w:tc>
          <w:tcPr>
            <w:tcW w:w="255" w:type="dxa"/>
            <w:tcBorders/>
            <w:shd w:fill="CCEEFF"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0"/>
              <w:ind w:left="225" w:right="0" w:hanging="225"/>
              <w:rPr/>
            </w:pPr>
            <w:r>
              <w:rPr/>
              <w:t>Jewelry scrapping sales</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jc w:val="right"/>
              <w:rPr/>
            </w:pPr>
            <w:r>
              <w:rPr/>
              <w:t>12.1</w:t>
            </w:r>
          </w:p>
        </w:tc>
        <w:tc>
          <w:tcPr>
            <w:tcW w:w="43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jc w:val="right"/>
              <w:rPr/>
            </w:pPr>
            <w:r>
              <w:rPr/>
              <w:t>11.0</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center"/>
          </w:tcPr>
          <w:p>
            <w:pPr>
              <w:pStyle w:val="TableContents"/>
              <w:spacing w:before="0" w:after="0"/>
              <w:ind w:left="225" w:right="0" w:hanging="225"/>
              <w:rPr/>
            </w:pPr>
            <w:r>
              <w:rPr/>
              <w:t> </w:t>
            </w:r>
          </w:p>
        </w:tc>
        <w:tc>
          <w:tcPr>
            <w:tcW w:w="382" w:type="dxa"/>
            <w:tcBorders/>
            <w:shd w:fill="auto" w:val="clear"/>
            <w:vAlign w:val="center"/>
          </w:tcPr>
          <w:p>
            <w:pPr>
              <w:pStyle w:val="TableContents"/>
              <w:spacing w:before="0" w:after="283"/>
              <w:rPr/>
            </w:pPr>
            <w:r>
              <w:rPr/>
              <w:t> </w:t>
            </w:r>
          </w:p>
        </w:tc>
        <w:tc>
          <w:tcPr>
            <w:tcW w:w="139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36" w:type="dxa"/>
            <w:tcBorders/>
            <w:shd w:fill="auto" w:val="clear"/>
            <w:vAlign w:val="center"/>
          </w:tcPr>
          <w:p>
            <w:pPr>
              <w:pStyle w:val="TableContents"/>
              <w:spacing w:before="0" w:after="283"/>
              <w:rPr/>
            </w:pPr>
            <w:r>
              <w:rPr/>
              <w:t> </w:t>
            </w:r>
          </w:p>
        </w:tc>
        <w:tc>
          <w:tcPr>
            <w:tcW w:w="434" w:type="dxa"/>
            <w:tcBorders/>
            <w:shd w:fill="auto" w:val="clear"/>
            <w:vAlign w:val="center"/>
          </w:tcPr>
          <w:p>
            <w:pPr>
              <w:pStyle w:val="TableContents"/>
              <w:spacing w:before="0" w:after="283"/>
              <w:rPr/>
            </w:pPr>
            <w:r>
              <w:rPr/>
              <w:t> </w:t>
            </w:r>
          </w:p>
        </w:tc>
        <w:tc>
          <w:tcPr>
            <w:tcW w:w="139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5" w:type="dxa"/>
            <w:tcBorders/>
            <w:shd w:fill="auto" w:val="clear"/>
            <w:vAlign w:val="center"/>
          </w:tcPr>
          <w:p>
            <w:pPr>
              <w:pStyle w:val="TableContents"/>
              <w:spacing w:before="0" w:after="283"/>
              <w:rPr/>
            </w:pPr>
            <w:r>
              <w:rPr/>
              <w:t> </w:t>
            </w:r>
          </w:p>
        </w:tc>
      </w:tr>
      <w:tr>
        <w:trPr/>
        <w:tc>
          <w:tcPr>
            <w:tcW w:w="5905" w:type="dxa"/>
            <w:tcBorders/>
            <w:shd w:fill="CCEEFF" w:val="clear"/>
            <w:vAlign w:val="bottom"/>
          </w:tcPr>
          <w:p>
            <w:pPr>
              <w:pStyle w:val="TableContents"/>
              <w:spacing w:before="0" w:after="0"/>
              <w:ind w:left="225" w:right="0" w:hanging="225"/>
              <w:rPr/>
            </w:pPr>
            <w:r>
              <w:rPr/>
              <w:t>Total sales</w:t>
            </w:r>
          </w:p>
        </w:tc>
        <w:tc>
          <w:tcPr>
            <w:tcW w:w="382"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088" w:type="dxa"/>
            <w:tcBorders/>
            <w:shd w:fill="CCEEFF" w:val="clear"/>
            <w:vAlign w:val="bottom"/>
          </w:tcPr>
          <w:p>
            <w:pPr>
              <w:pStyle w:val="TableContents"/>
              <w:spacing w:before="0" w:after="283"/>
              <w:jc w:val="right"/>
              <w:rPr/>
            </w:pPr>
            <w:r>
              <w:rPr/>
              <w:t>42.7</w:t>
            </w:r>
          </w:p>
        </w:tc>
        <w:tc>
          <w:tcPr>
            <w:tcW w:w="436"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40.6</w:t>
            </w:r>
          </w:p>
        </w:tc>
        <w:tc>
          <w:tcPr>
            <w:tcW w:w="255" w:type="dxa"/>
            <w:tcBorders/>
            <w:shd w:fill="CCEEFF"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0"/>
              <w:ind w:left="225" w:right="0" w:hanging="225"/>
              <w:rPr/>
            </w:pPr>
            <w:r>
              <w:rPr/>
              <w:t> </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0"/>
              <w:ind w:left="225" w:right="0" w:hanging="225"/>
              <w:rPr/>
            </w:pPr>
            <w:r>
              <w:rPr/>
              <w:t>Gross profit on merchandise sales</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w:t>
            </w:r>
          </w:p>
        </w:tc>
        <w:tc>
          <w:tcPr>
            <w:tcW w:w="1088" w:type="dxa"/>
            <w:tcBorders/>
            <w:shd w:fill="auto" w:val="clear"/>
            <w:vAlign w:val="bottom"/>
          </w:tcPr>
          <w:p>
            <w:pPr>
              <w:pStyle w:val="TableContents"/>
              <w:spacing w:before="0" w:after="283"/>
              <w:jc w:val="right"/>
              <w:rPr/>
            </w:pPr>
            <w:r>
              <w:rPr/>
              <w:t>12.9</w:t>
            </w:r>
          </w:p>
        </w:tc>
        <w:tc>
          <w:tcPr>
            <w:tcW w:w="43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w:t>
            </w:r>
          </w:p>
        </w:tc>
        <w:tc>
          <w:tcPr>
            <w:tcW w:w="1091" w:type="dxa"/>
            <w:tcBorders/>
            <w:shd w:fill="auto" w:val="clear"/>
            <w:vAlign w:val="bottom"/>
          </w:tcPr>
          <w:p>
            <w:pPr>
              <w:pStyle w:val="TableContents"/>
              <w:spacing w:before="0" w:after="283"/>
              <w:jc w:val="right"/>
              <w:rPr/>
            </w:pPr>
            <w:r>
              <w:rPr/>
              <w:t>12.7</w:t>
            </w:r>
          </w:p>
        </w:tc>
        <w:tc>
          <w:tcPr>
            <w:tcW w:w="255" w:type="dxa"/>
            <w:tcBorders/>
            <w:shd w:fill="auto" w:val="clear"/>
            <w:vAlign w:val="bottom"/>
          </w:tcPr>
          <w:p>
            <w:pPr>
              <w:pStyle w:val="TableContents"/>
              <w:spacing w:before="0" w:after="283"/>
              <w:rPr/>
            </w:pPr>
            <w:r>
              <w:rPr/>
              <w:t> </w:t>
            </w:r>
          </w:p>
        </w:tc>
      </w:tr>
      <w:tr>
        <w:trPr/>
        <w:tc>
          <w:tcPr>
            <w:tcW w:w="5905" w:type="dxa"/>
            <w:tcBorders/>
            <w:shd w:fill="CCEEFF" w:val="clear"/>
            <w:vAlign w:val="bottom"/>
          </w:tcPr>
          <w:p>
            <w:pPr>
              <w:pStyle w:val="TableContents"/>
              <w:spacing w:before="0" w:after="0"/>
              <w:ind w:left="225" w:right="0" w:hanging="225"/>
              <w:rPr/>
            </w:pPr>
            <w:r>
              <w:rPr/>
              <w:t>Gross profit on jewelry scrapping sales</w:t>
            </w:r>
          </w:p>
        </w:tc>
        <w:tc>
          <w:tcPr>
            <w:tcW w:w="382"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088" w:type="dxa"/>
            <w:tcBorders/>
            <w:shd w:fill="CCEEFF" w:val="clear"/>
            <w:vAlign w:val="bottom"/>
          </w:tcPr>
          <w:p>
            <w:pPr>
              <w:pStyle w:val="TableContents"/>
              <w:spacing w:before="0" w:after="283"/>
              <w:jc w:val="right"/>
              <w:rPr/>
            </w:pPr>
            <w:r>
              <w:rPr/>
              <w:t>4.4</w:t>
            </w:r>
          </w:p>
        </w:tc>
        <w:tc>
          <w:tcPr>
            <w:tcW w:w="436" w:type="dxa"/>
            <w:tcBorders/>
            <w:shd w:fill="CCEEFF" w:val="clear"/>
            <w:vAlign w:val="bottom"/>
          </w:tcPr>
          <w:p>
            <w:pPr>
              <w:pStyle w:val="TableContents"/>
              <w:spacing w:before="0" w:after="283"/>
              <w:rPr/>
            </w:pPr>
            <w:r>
              <w:rPr/>
              <w:t> </w:t>
            </w:r>
          </w:p>
        </w:tc>
        <w:tc>
          <w:tcPr>
            <w:tcW w:w="43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w:t>
            </w:r>
          </w:p>
        </w:tc>
        <w:tc>
          <w:tcPr>
            <w:tcW w:w="1091" w:type="dxa"/>
            <w:tcBorders/>
            <w:shd w:fill="CCEEFF" w:val="clear"/>
            <w:vAlign w:val="bottom"/>
          </w:tcPr>
          <w:p>
            <w:pPr>
              <w:pStyle w:val="TableContents"/>
              <w:spacing w:before="0" w:after="283"/>
              <w:jc w:val="right"/>
              <w:rPr/>
            </w:pPr>
            <w:r>
              <w:rPr/>
              <w:t>4.2</w:t>
            </w:r>
          </w:p>
        </w:tc>
        <w:tc>
          <w:tcPr>
            <w:tcW w:w="255" w:type="dxa"/>
            <w:tcBorders/>
            <w:shd w:fill="CCEEFF"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0"/>
              <w:ind w:left="225" w:right="0" w:hanging="225"/>
              <w:rPr/>
            </w:pPr>
            <w:r>
              <w:rPr/>
              <w:t> </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8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1091" w:type="dxa"/>
            <w:tcBorders/>
            <w:shd w:fill="auto" w:val="clear"/>
            <w:vAlign w:val="bottom"/>
          </w:tcPr>
          <w:p>
            <w:pPr>
              <w:pStyle w:val="TableContents"/>
              <w:spacing w:before="0" w:after="283"/>
              <w:rPr/>
            </w:pPr>
            <w:r>
              <w:rPr/>
              <w:t> </w:t>
            </w:r>
          </w:p>
        </w:tc>
        <w:tc>
          <w:tcPr>
            <w:tcW w:w="255" w:type="dxa"/>
            <w:tcBorders/>
            <w:shd w:fill="auto" w:val="clear"/>
            <w:vAlign w:val="bottom"/>
          </w:tcPr>
          <w:p>
            <w:pPr>
              <w:pStyle w:val="TableContents"/>
              <w:spacing w:before="0" w:after="283"/>
              <w:rPr/>
            </w:pPr>
            <w:r>
              <w:rPr/>
              <w:t> </w:t>
            </w:r>
          </w:p>
        </w:tc>
      </w:tr>
      <w:tr>
        <w:trPr/>
        <w:tc>
          <w:tcPr>
            <w:tcW w:w="5905" w:type="dxa"/>
            <w:tcBorders/>
            <w:shd w:fill="auto" w:val="clear"/>
            <w:vAlign w:val="bottom"/>
          </w:tcPr>
          <w:p>
            <w:pPr>
              <w:pStyle w:val="TableContents"/>
              <w:spacing w:before="0" w:after="0"/>
              <w:ind w:left="225" w:right="0" w:hanging="225"/>
              <w:rPr/>
            </w:pPr>
            <w:r>
              <w:rPr/>
              <w:t>Gross margin on merchandise sales</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 </w:t>
            </w:r>
          </w:p>
        </w:tc>
        <w:tc>
          <w:tcPr>
            <w:tcW w:w="1088" w:type="dxa"/>
            <w:tcBorders/>
            <w:shd w:fill="auto" w:val="clear"/>
            <w:vAlign w:val="bottom"/>
          </w:tcPr>
          <w:p>
            <w:pPr>
              <w:pStyle w:val="TableContents"/>
              <w:spacing w:before="0" w:after="283"/>
              <w:jc w:val="right"/>
              <w:rPr/>
            </w:pPr>
            <w:r>
              <w:rPr/>
              <w:t>42.0</w:t>
            </w:r>
          </w:p>
        </w:tc>
        <w:tc>
          <w:tcPr>
            <w:tcW w:w="436"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43.0</w:t>
            </w:r>
          </w:p>
        </w:tc>
        <w:tc>
          <w:tcPr>
            <w:tcW w:w="255" w:type="dxa"/>
            <w:tcBorders/>
            <w:shd w:fill="auto" w:val="clear"/>
            <w:vAlign w:val="bottom"/>
          </w:tcPr>
          <w:p>
            <w:pPr>
              <w:pStyle w:val="TableContents"/>
              <w:spacing w:before="0" w:after="283"/>
              <w:rPr/>
            </w:pPr>
            <w:r>
              <w:rPr/>
              <w:t>%</w:t>
            </w:r>
          </w:p>
        </w:tc>
      </w:tr>
      <w:tr>
        <w:trPr/>
        <w:tc>
          <w:tcPr>
            <w:tcW w:w="5905" w:type="dxa"/>
            <w:tcBorders/>
            <w:shd w:fill="CCEEFF" w:val="clear"/>
            <w:vAlign w:val="bottom"/>
          </w:tcPr>
          <w:p>
            <w:pPr>
              <w:pStyle w:val="TableContents"/>
              <w:spacing w:before="0" w:after="0"/>
              <w:ind w:left="225" w:right="0" w:hanging="225"/>
              <w:rPr/>
            </w:pPr>
            <w:r>
              <w:rPr/>
              <w:t>Gross margin on jewelry scrapping sales</w:t>
            </w:r>
          </w:p>
        </w:tc>
        <w:tc>
          <w:tcPr>
            <w:tcW w:w="382"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 </w:t>
            </w:r>
          </w:p>
        </w:tc>
        <w:tc>
          <w:tcPr>
            <w:tcW w:w="1088" w:type="dxa"/>
            <w:tcBorders/>
            <w:shd w:fill="CCEEFF" w:val="clear"/>
            <w:vAlign w:val="bottom"/>
          </w:tcPr>
          <w:p>
            <w:pPr>
              <w:pStyle w:val="TableContents"/>
              <w:spacing w:before="0" w:after="283"/>
              <w:jc w:val="right"/>
              <w:rPr/>
            </w:pPr>
            <w:r>
              <w:rPr/>
              <w:t>36.4</w:t>
            </w:r>
          </w:p>
        </w:tc>
        <w:tc>
          <w:tcPr>
            <w:tcW w:w="436" w:type="dxa"/>
            <w:tcBorders/>
            <w:shd w:fill="CCEEFF" w:val="clear"/>
            <w:vAlign w:val="bottom"/>
          </w:tcPr>
          <w:p>
            <w:pPr>
              <w:pStyle w:val="TableContents"/>
              <w:spacing w:before="0" w:after="283"/>
              <w:rPr/>
            </w:pPr>
            <w:r>
              <w:rPr/>
              <w:t>%</w:t>
            </w:r>
          </w:p>
        </w:tc>
        <w:tc>
          <w:tcPr>
            <w:tcW w:w="434"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jc w:val="left"/>
              <w:rPr/>
            </w:pPr>
            <w:r>
              <w:rPr/>
              <w:t> </w:t>
            </w:r>
          </w:p>
        </w:tc>
        <w:tc>
          <w:tcPr>
            <w:tcW w:w="1091" w:type="dxa"/>
            <w:tcBorders/>
            <w:shd w:fill="CCEEFF" w:val="clear"/>
            <w:vAlign w:val="bottom"/>
          </w:tcPr>
          <w:p>
            <w:pPr>
              <w:pStyle w:val="TableContents"/>
              <w:spacing w:before="0" w:after="283"/>
              <w:jc w:val="right"/>
              <w:rPr/>
            </w:pPr>
            <w:r>
              <w:rPr/>
              <w:t>38.1</w:t>
            </w:r>
          </w:p>
        </w:tc>
        <w:tc>
          <w:tcPr>
            <w:tcW w:w="255" w:type="dxa"/>
            <w:tcBorders/>
            <w:shd w:fill="CCEEFF" w:val="clear"/>
            <w:vAlign w:val="bottom"/>
          </w:tcPr>
          <w:p>
            <w:pPr>
              <w:pStyle w:val="TableContents"/>
              <w:spacing w:before="0" w:after="283"/>
              <w:rPr/>
            </w:pPr>
            <w:r>
              <w:rPr/>
              <w:t>%</w:t>
            </w:r>
          </w:p>
        </w:tc>
      </w:tr>
      <w:tr>
        <w:trPr/>
        <w:tc>
          <w:tcPr>
            <w:tcW w:w="5905" w:type="dxa"/>
            <w:tcBorders/>
            <w:shd w:fill="auto" w:val="clear"/>
            <w:vAlign w:val="bottom"/>
          </w:tcPr>
          <w:p>
            <w:pPr>
              <w:pStyle w:val="TableContents"/>
              <w:spacing w:before="0" w:after="0"/>
              <w:ind w:left="225" w:right="0" w:hanging="225"/>
              <w:rPr/>
            </w:pPr>
            <w:r>
              <w:rPr/>
              <w:t>Overall gross margin</w:t>
            </w:r>
          </w:p>
        </w:tc>
        <w:tc>
          <w:tcPr>
            <w:tcW w:w="382"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 </w:t>
            </w:r>
          </w:p>
        </w:tc>
        <w:tc>
          <w:tcPr>
            <w:tcW w:w="1088" w:type="dxa"/>
            <w:tcBorders/>
            <w:shd w:fill="auto" w:val="clear"/>
            <w:vAlign w:val="bottom"/>
          </w:tcPr>
          <w:p>
            <w:pPr>
              <w:pStyle w:val="TableContents"/>
              <w:spacing w:before="0" w:after="283"/>
              <w:jc w:val="right"/>
              <w:rPr/>
            </w:pPr>
            <w:r>
              <w:rPr/>
              <w:t>40.4</w:t>
            </w:r>
          </w:p>
        </w:tc>
        <w:tc>
          <w:tcPr>
            <w:tcW w:w="436" w:type="dxa"/>
            <w:tcBorders/>
            <w:shd w:fill="auto" w:val="clear"/>
            <w:vAlign w:val="bottom"/>
          </w:tcPr>
          <w:p>
            <w:pPr>
              <w:pStyle w:val="TableContents"/>
              <w:spacing w:before="0" w:after="283"/>
              <w:rPr/>
            </w:pPr>
            <w:r>
              <w:rPr/>
              <w:t>%</w:t>
            </w:r>
          </w:p>
        </w:tc>
        <w:tc>
          <w:tcPr>
            <w:tcW w:w="434"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jc w:val="left"/>
              <w:rPr/>
            </w:pPr>
            <w:r>
              <w:rPr/>
              <w:t> </w:t>
            </w:r>
          </w:p>
        </w:tc>
        <w:tc>
          <w:tcPr>
            <w:tcW w:w="1091" w:type="dxa"/>
            <w:tcBorders/>
            <w:shd w:fill="auto" w:val="clear"/>
            <w:vAlign w:val="bottom"/>
          </w:tcPr>
          <w:p>
            <w:pPr>
              <w:pStyle w:val="TableContents"/>
              <w:spacing w:before="0" w:after="283"/>
              <w:jc w:val="right"/>
              <w:rPr/>
            </w:pPr>
            <w:r>
              <w:rPr/>
              <w:t>41.7</w:t>
            </w:r>
          </w:p>
        </w:tc>
        <w:tc>
          <w:tcPr>
            <w:tcW w:w="255"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merchandise gross profit increased $0.2 million from the prior year quarter to $12.9 million. This was due to a $1.0 million, or 3.4% increase in merchandise sales, partially offset by a one percentage point decrease in margins. More aggressive discounting of electronics and other non-jewelry merchandise led to the decreased margins in the current quarter.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quarters gross profit on jewelry scrapping sales increased $0.2 million from the prior year quarter to $4.4 million. This was due to a $1.1 million increase in jewelry scrapping sales on 3% less volume and a 1.7 percentage point decrease in margins. The jewelry scrapping sales include the current quarter sale of approximately $0.7 million of loose diamonds removed from scrapped jewelry. The proceeds refiners pay us for jewelry has increased in the last year in response to higher gold values. We also increased the amount we loan on jewelry and pay to purchase jewelry from customers, increasing the cost of these items. These factors net effect on gross profit from jewelry scrapping sales in the quarter was minimal. Future changes in gold prices would similarly affect the proceeds, cost, and margins on jewelry scrapping.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Merchandise and jewelry scrapping sales volume is heavily dependent on inventory available for sale, or beginning inventory on hand plus pawn loan forfeitures and inventory purchases. Excluding the inventory acquired late in the quarter as part of the Jumping Jack Cash acquisition, inventory available for sale in the current quarter was 1% lower than in the prior year quarter. Including the inventory acquired from Jumping Jack Cash, the current quarters ending inventory was 2% above the prior year ending balance. We expect this higher inventory balance, combined with forfeitures from the 19% higher ending pawn loan balance to fuel an increase in sales in the quarter ending September 30, 2007.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Selected signature loan data for the EZPAWN Operations segment are as follows: </w:t>
      </w:r>
    </w:p>
    <w:tbl>
      <w:tblPr>
        <w:tblW w:w="5000" w:type="pct"/>
        <w:jc w:val="center"/>
        <w:tblInd w:w="0" w:type="dxa"/>
        <w:tblCellMar>
          <w:top w:w="0" w:type="dxa"/>
          <w:left w:w="0" w:type="dxa"/>
          <w:bottom w:w="0" w:type="dxa"/>
          <w:right w:w="0" w:type="dxa"/>
        </w:tblCellMar>
      </w:tblPr>
      <w:tblGrid>
        <w:gridCol w:w="5840"/>
        <w:gridCol w:w="396"/>
        <w:gridCol w:w="309"/>
        <w:gridCol w:w="1102"/>
        <w:gridCol w:w="439"/>
        <w:gridCol w:w="447"/>
        <w:gridCol w:w="309"/>
        <w:gridCol w:w="1105"/>
        <w:gridCol w:w="258"/>
      </w:tblGrid>
      <w:tr>
        <w:trPr/>
        <w:tc>
          <w:tcPr>
            <w:tcW w:w="58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r>
      <w:tr>
        <w:trPr/>
        <w:tc>
          <w:tcPr>
            <w:tcW w:w="58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711" w:type="dxa"/>
            <w:gridSpan w:val="6"/>
            <w:tcBorders>
              <w:bottom w:val="single" w:sz="2" w:space="0" w:color="000000"/>
            </w:tcBorders>
            <w:shd w:fill="auto" w:val="clear"/>
            <w:tcMar>
              <w:bottom w:w="28" w:type="dxa"/>
            </w:tcMar>
            <w:vAlign w:val="bottom"/>
          </w:tcPr>
          <w:p>
            <w:pPr>
              <w:pStyle w:val="TableContents"/>
              <w:spacing w:before="0" w:after="283"/>
              <w:jc w:val="center"/>
              <w:rPr/>
            </w:pPr>
            <w:r>
              <w:rPr/>
              <w:t>Three Months Ended June 30,</w:t>
            </w:r>
          </w:p>
        </w:tc>
        <w:tc>
          <w:tcPr>
            <w:tcW w:w="258" w:type="dxa"/>
            <w:tcBorders/>
            <w:shd w:fill="auto" w:val="clear"/>
            <w:vAlign w:val="bottom"/>
          </w:tcPr>
          <w:p>
            <w:pPr>
              <w:pStyle w:val="TableContents"/>
              <w:spacing w:before="0" w:after="283"/>
              <w:rPr/>
            </w:pPr>
            <w:r>
              <w:rPr/>
              <w:t> </w:t>
            </w:r>
          </w:p>
        </w:tc>
      </w:tr>
      <w:tr>
        <w:trPr/>
        <w:tc>
          <w:tcPr>
            <w:tcW w:w="58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141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439" w:type="dxa"/>
            <w:tcBorders>
              <w:bottom w:val="single" w:sz="2" w:space="0" w:color="000000"/>
            </w:tcBorders>
            <w:shd w:fill="auto" w:val="clear"/>
            <w:tcMar>
              <w:bottom w:w="28" w:type="dxa"/>
            </w:tcMar>
            <w:vAlign w:val="bottom"/>
          </w:tcPr>
          <w:p>
            <w:pPr>
              <w:pStyle w:val="TableContents"/>
              <w:spacing w:before="0" w:after="283"/>
              <w:rPr/>
            </w:pPr>
            <w:r>
              <w:rPr/>
              <w:t> </w:t>
            </w:r>
          </w:p>
        </w:tc>
        <w:tc>
          <w:tcPr>
            <w:tcW w:w="447" w:type="dxa"/>
            <w:tcBorders>
              <w:bottom w:val="single" w:sz="2" w:space="0" w:color="000000"/>
            </w:tcBorders>
            <w:shd w:fill="auto" w:val="clear"/>
            <w:tcMar>
              <w:bottom w:w="28" w:type="dxa"/>
            </w:tcMar>
            <w:vAlign w:val="bottom"/>
          </w:tcPr>
          <w:p>
            <w:pPr>
              <w:pStyle w:val="TableContents"/>
              <w:spacing w:before="0" w:after="283"/>
              <w:rPr/>
            </w:pPr>
            <w:r>
              <w:rPr/>
              <w:t> </w:t>
            </w:r>
          </w:p>
        </w:tc>
        <w:tc>
          <w:tcPr>
            <w:tcW w:w="141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8" w:type="dxa"/>
            <w:tcBorders/>
            <w:shd w:fill="auto" w:val="clear"/>
            <w:vAlign w:val="bottom"/>
          </w:tcPr>
          <w:p>
            <w:pPr>
              <w:pStyle w:val="TableContents"/>
              <w:spacing w:before="0" w:after="283"/>
              <w:rPr/>
            </w:pPr>
            <w:r>
              <w:rPr/>
              <w:t> </w:t>
            </w:r>
          </w:p>
        </w:tc>
      </w:tr>
      <w:tr>
        <w:trPr/>
        <w:tc>
          <w:tcPr>
            <w:tcW w:w="5840" w:type="dxa"/>
            <w:tcBorders/>
            <w:shd w:fill="auto" w:val="clear"/>
            <w:vAlign w:val="bottom"/>
          </w:tcPr>
          <w:p>
            <w:pPr>
              <w:pStyle w:val="TableContents"/>
              <w:spacing w:before="0" w:after="283"/>
              <w:rPr/>
            </w:pPr>
            <w:r>
              <w:rPr/>
              <w:t> </w:t>
            </w:r>
          </w:p>
        </w:tc>
        <w:tc>
          <w:tcPr>
            <w:tcW w:w="396" w:type="dxa"/>
            <w:tcBorders/>
            <w:shd w:fill="auto" w:val="clear"/>
            <w:vAlign w:val="bottom"/>
          </w:tcPr>
          <w:p>
            <w:pPr>
              <w:pStyle w:val="TableContents"/>
              <w:spacing w:before="0" w:after="283"/>
              <w:rPr/>
            </w:pPr>
            <w:r>
              <w:rPr/>
              <w:t> </w:t>
            </w:r>
          </w:p>
        </w:tc>
        <w:tc>
          <w:tcPr>
            <w:tcW w:w="3711" w:type="dxa"/>
            <w:gridSpan w:val="6"/>
            <w:tcBorders/>
            <w:shd w:fill="auto" w:val="clear"/>
            <w:vAlign w:val="bottom"/>
          </w:tcPr>
          <w:p>
            <w:pPr>
              <w:pStyle w:val="TableContents"/>
              <w:spacing w:before="0" w:after="283"/>
              <w:jc w:val="center"/>
              <w:rPr>
                <w:i/>
              </w:rPr>
            </w:pPr>
            <w:r>
              <w:rPr>
                <w:i/>
              </w:rPr>
              <w:t>(Dollars in thousands)</w:t>
            </w:r>
          </w:p>
        </w:tc>
        <w:tc>
          <w:tcPr>
            <w:tcW w:w="258" w:type="dxa"/>
            <w:tcBorders/>
            <w:shd w:fill="auto" w:val="clear"/>
            <w:vAlign w:val="bottom"/>
          </w:tcPr>
          <w:p>
            <w:pPr>
              <w:pStyle w:val="TableContents"/>
              <w:spacing w:before="0" w:after="283"/>
              <w:rPr/>
            </w:pPr>
            <w:r>
              <w:rPr/>
              <w:t> </w:t>
            </w:r>
          </w:p>
        </w:tc>
      </w:tr>
      <w:tr>
        <w:trPr/>
        <w:tc>
          <w:tcPr>
            <w:tcW w:w="5840" w:type="dxa"/>
            <w:tcBorders/>
            <w:shd w:fill="auto" w:val="clear"/>
            <w:vAlign w:val="bottom"/>
          </w:tcPr>
          <w:p>
            <w:pPr>
              <w:pStyle w:val="TableContents"/>
              <w:spacing w:before="0" w:after="0"/>
              <w:ind w:left="225" w:right="0" w:hanging="225"/>
              <w:rPr/>
            </w:pPr>
            <w:r>
              <w:rPr/>
              <w:t> </w:t>
            </w:r>
          </w:p>
        </w:tc>
        <w:tc>
          <w:tcPr>
            <w:tcW w:w="39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rPr/>
            </w:pPr>
            <w:r>
              <w:rPr/>
              <w:t> </w:t>
            </w:r>
          </w:p>
        </w:tc>
        <w:tc>
          <w:tcPr>
            <w:tcW w:w="43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r>
      <w:tr>
        <w:trPr/>
        <w:tc>
          <w:tcPr>
            <w:tcW w:w="5840" w:type="dxa"/>
            <w:tcBorders/>
            <w:shd w:fill="CCEEFF" w:val="clear"/>
            <w:vAlign w:val="bottom"/>
          </w:tcPr>
          <w:p>
            <w:pPr>
              <w:pStyle w:val="TableContents"/>
              <w:spacing w:before="0" w:after="0"/>
              <w:ind w:left="225" w:right="0" w:hanging="225"/>
              <w:rPr/>
            </w:pPr>
            <w:r>
              <w:rPr/>
              <w:t>Fee revenue</w:t>
            </w:r>
          </w:p>
        </w:tc>
        <w:tc>
          <w:tcPr>
            <w:tcW w:w="39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w:t>
            </w:r>
          </w:p>
        </w:tc>
        <w:tc>
          <w:tcPr>
            <w:tcW w:w="1102" w:type="dxa"/>
            <w:tcBorders/>
            <w:shd w:fill="CCEEFF" w:val="clear"/>
            <w:vAlign w:val="bottom"/>
          </w:tcPr>
          <w:p>
            <w:pPr>
              <w:pStyle w:val="TableContents"/>
              <w:spacing w:before="0" w:after="283"/>
              <w:jc w:val="right"/>
              <w:rPr/>
            </w:pPr>
            <w:r>
              <w:rPr/>
              <w:t>808</w:t>
            </w:r>
          </w:p>
        </w:tc>
        <w:tc>
          <w:tcPr>
            <w:tcW w:w="439"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838</w:t>
            </w:r>
          </w:p>
        </w:tc>
        <w:tc>
          <w:tcPr>
            <w:tcW w:w="258" w:type="dxa"/>
            <w:tcBorders/>
            <w:shd w:fill="CCEEFF" w:val="clear"/>
            <w:vAlign w:val="bottom"/>
          </w:tcPr>
          <w:p>
            <w:pPr>
              <w:pStyle w:val="TableContents"/>
              <w:spacing w:before="0" w:after="283"/>
              <w:rPr/>
            </w:pPr>
            <w:r>
              <w:rPr/>
              <w:t> </w:t>
            </w:r>
          </w:p>
        </w:tc>
      </w:tr>
      <w:tr>
        <w:trPr/>
        <w:tc>
          <w:tcPr>
            <w:tcW w:w="5840" w:type="dxa"/>
            <w:tcBorders/>
            <w:shd w:fill="auto" w:val="clear"/>
            <w:vAlign w:val="bottom"/>
          </w:tcPr>
          <w:p>
            <w:pPr>
              <w:pStyle w:val="TableContents"/>
              <w:spacing w:before="0" w:after="0"/>
              <w:ind w:left="225" w:right="0" w:hanging="225"/>
              <w:rPr/>
            </w:pPr>
            <w:r>
              <w:rPr/>
              <w:t>Net bad debt</w:t>
            </w:r>
          </w:p>
        </w:tc>
        <w:tc>
          <w:tcPr>
            <w:tcW w:w="39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02" w:type="dxa"/>
            <w:tcBorders/>
            <w:shd w:fill="auto" w:val="clear"/>
            <w:vAlign w:val="bottom"/>
          </w:tcPr>
          <w:p>
            <w:pPr>
              <w:pStyle w:val="TableContents"/>
              <w:spacing w:before="0" w:after="283"/>
              <w:jc w:val="right"/>
              <w:rPr/>
            </w:pPr>
            <w:r>
              <w:rPr/>
              <w:t>570</w:t>
            </w:r>
          </w:p>
        </w:tc>
        <w:tc>
          <w:tcPr>
            <w:tcW w:w="439" w:type="dxa"/>
            <w:tcBorders/>
            <w:shd w:fill="auto" w:val="clear"/>
            <w:vAlign w:val="bottom"/>
          </w:tcPr>
          <w:p>
            <w:pPr>
              <w:pStyle w:val="TableContents"/>
              <w:spacing w:before="0" w:after="283"/>
              <w:rPr/>
            </w:pPr>
            <w:r>
              <w:rPr/>
              <w:t> </w:t>
            </w:r>
          </w:p>
        </w:tc>
        <w:tc>
          <w:tcPr>
            <w:tcW w:w="44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406</w:t>
            </w:r>
          </w:p>
        </w:tc>
        <w:tc>
          <w:tcPr>
            <w:tcW w:w="258" w:type="dxa"/>
            <w:tcBorders/>
            <w:shd w:fill="auto" w:val="clear"/>
            <w:vAlign w:val="bottom"/>
          </w:tcPr>
          <w:p>
            <w:pPr>
              <w:pStyle w:val="TableContents"/>
              <w:spacing w:before="0" w:after="283"/>
              <w:rPr/>
            </w:pPr>
            <w:r>
              <w:rPr/>
              <w:t> </w:t>
            </w:r>
          </w:p>
        </w:tc>
      </w:tr>
      <w:tr>
        <w:trPr/>
        <w:tc>
          <w:tcPr>
            <w:tcW w:w="5840"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141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439"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41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r>
      <w:tr>
        <w:trPr/>
        <w:tc>
          <w:tcPr>
            <w:tcW w:w="5840" w:type="dxa"/>
            <w:tcBorders/>
            <w:shd w:fill="CCEEFF" w:val="clear"/>
            <w:vAlign w:val="bottom"/>
          </w:tcPr>
          <w:p>
            <w:pPr>
              <w:pStyle w:val="TableContents"/>
              <w:spacing w:before="0" w:after="0"/>
              <w:ind w:left="450" w:right="0" w:hanging="225"/>
              <w:rPr/>
            </w:pPr>
            <w:r>
              <w:rPr/>
              <w:t>Fee revenue less bad debt</w:t>
            </w:r>
          </w:p>
        </w:tc>
        <w:tc>
          <w:tcPr>
            <w:tcW w:w="396"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w:t>
            </w:r>
          </w:p>
        </w:tc>
        <w:tc>
          <w:tcPr>
            <w:tcW w:w="1102" w:type="dxa"/>
            <w:tcBorders/>
            <w:shd w:fill="CCEEFF" w:val="clear"/>
            <w:vAlign w:val="bottom"/>
          </w:tcPr>
          <w:p>
            <w:pPr>
              <w:pStyle w:val="TableContents"/>
              <w:spacing w:before="0" w:after="283"/>
              <w:jc w:val="right"/>
              <w:rPr/>
            </w:pPr>
            <w:r>
              <w:rPr/>
              <w:t>238</w:t>
            </w:r>
          </w:p>
        </w:tc>
        <w:tc>
          <w:tcPr>
            <w:tcW w:w="439" w:type="dxa"/>
            <w:tcBorders/>
            <w:shd w:fill="CCEEFF" w:val="clear"/>
            <w:vAlign w:val="bottom"/>
          </w:tcPr>
          <w:p>
            <w:pPr>
              <w:pStyle w:val="TableContents"/>
              <w:spacing w:before="0" w:after="283"/>
              <w:rPr/>
            </w:pPr>
            <w:r>
              <w:rPr/>
              <w:t> </w:t>
            </w:r>
          </w:p>
        </w:tc>
        <w:tc>
          <w:tcPr>
            <w:tcW w:w="447" w:type="dxa"/>
            <w:tcBorders/>
            <w:shd w:fill="CCEEFF" w:val="clear"/>
            <w:vAlign w:val="bottom"/>
          </w:tcPr>
          <w:p>
            <w:pPr>
              <w:pStyle w:val="TableContents"/>
              <w:spacing w:before="0" w:after="283"/>
              <w:rPr/>
            </w:pPr>
            <w:r>
              <w:rPr/>
              <w:t> </w:t>
            </w:r>
          </w:p>
        </w:tc>
        <w:tc>
          <w:tcPr>
            <w:tcW w:w="309" w:type="dxa"/>
            <w:tcBorders/>
            <w:shd w:fill="CCEEFF" w:val="clear"/>
            <w:vAlign w:val="bottom"/>
          </w:tcPr>
          <w:p>
            <w:pPr>
              <w:pStyle w:val="TableContents"/>
              <w:spacing w:before="0" w:after="283"/>
              <w:jc w:val="left"/>
              <w:rPr/>
            </w:pPr>
            <w:r>
              <w:rPr/>
              <w:t>$</w:t>
            </w:r>
          </w:p>
        </w:tc>
        <w:tc>
          <w:tcPr>
            <w:tcW w:w="1105" w:type="dxa"/>
            <w:tcBorders/>
            <w:shd w:fill="CCEEFF" w:val="clear"/>
            <w:vAlign w:val="bottom"/>
          </w:tcPr>
          <w:p>
            <w:pPr>
              <w:pStyle w:val="TableContents"/>
              <w:spacing w:before="0" w:after="283"/>
              <w:jc w:val="right"/>
              <w:rPr/>
            </w:pPr>
            <w:r>
              <w:rPr/>
              <w:t>432</w:t>
            </w:r>
          </w:p>
        </w:tc>
        <w:tc>
          <w:tcPr>
            <w:tcW w:w="258" w:type="dxa"/>
            <w:tcBorders/>
            <w:shd w:fill="CCEEFF" w:val="clear"/>
            <w:vAlign w:val="bottom"/>
          </w:tcPr>
          <w:p>
            <w:pPr>
              <w:pStyle w:val="TableContents"/>
              <w:spacing w:before="0" w:after="283"/>
              <w:rPr/>
            </w:pPr>
            <w:r>
              <w:rPr/>
              <w:t> </w:t>
            </w:r>
          </w:p>
        </w:tc>
      </w:tr>
      <w:tr>
        <w:trPr/>
        <w:tc>
          <w:tcPr>
            <w:tcW w:w="5840" w:type="dxa"/>
            <w:tcBorders/>
            <w:shd w:fill="auto" w:val="clear"/>
            <w:vAlign w:val="center"/>
          </w:tcPr>
          <w:p>
            <w:pPr>
              <w:pStyle w:val="TableContents"/>
              <w:spacing w:before="0" w:after="0"/>
              <w:ind w:left="225" w:right="0" w:hanging="225"/>
              <w:rPr/>
            </w:pPr>
            <w:r>
              <w:rPr/>
              <w:t> </w:t>
            </w:r>
          </w:p>
        </w:tc>
        <w:tc>
          <w:tcPr>
            <w:tcW w:w="396" w:type="dxa"/>
            <w:tcBorders/>
            <w:shd w:fill="auto" w:val="clear"/>
            <w:vAlign w:val="center"/>
          </w:tcPr>
          <w:p>
            <w:pPr>
              <w:pStyle w:val="TableContents"/>
              <w:spacing w:before="0" w:after="283"/>
              <w:rPr/>
            </w:pPr>
            <w:r>
              <w:rPr/>
              <w:t> </w:t>
            </w:r>
          </w:p>
        </w:tc>
        <w:tc>
          <w:tcPr>
            <w:tcW w:w="141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439" w:type="dxa"/>
            <w:tcBorders/>
            <w:shd w:fill="auto" w:val="clear"/>
            <w:vAlign w:val="center"/>
          </w:tcPr>
          <w:p>
            <w:pPr>
              <w:pStyle w:val="TableContents"/>
              <w:spacing w:before="0" w:after="283"/>
              <w:rPr/>
            </w:pPr>
            <w:r>
              <w:rPr/>
              <w:t> </w:t>
            </w:r>
          </w:p>
        </w:tc>
        <w:tc>
          <w:tcPr>
            <w:tcW w:w="447" w:type="dxa"/>
            <w:tcBorders/>
            <w:shd w:fill="auto" w:val="clear"/>
            <w:vAlign w:val="center"/>
          </w:tcPr>
          <w:p>
            <w:pPr>
              <w:pStyle w:val="TableContents"/>
              <w:spacing w:before="0" w:after="283"/>
              <w:rPr/>
            </w:pPr>
            <w:r>
              <w:rPr/>
              <w:t> </w:t>
            </w:r>
          </w:p>
        </w:tc>
        <w:tc>
          <w:tcPr>
            <w:tcW w:w="141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8" w:type="dxa"/>
            <w:tcBorders/>
            <w:shd w:fill="auto" w:val="clear"/>
            <w:vAlign w:val="center"/>
          </w:tcPr>
          <w:p>
            <w:pPr>
              <w:pStyle w:val="TableContents"/>
              <w:spacing w:before="0" w:after="283"/>
              <w:rPr/>
            </w:pPr>
            <w:r>
              <w:rPr/>
              <w:t> </w:t>
            </w:r>
          </w:p>
        </w:tc>
      </w:tr>
      <w:tr>
        <w:trPr/>
        <w:tc>
          <w:tcPr>
            <w:tcW w:w="5840" w:type="dxa"/>
            <w:tcBorders/>
            <w:shd w:fill="auto" w:val="clear"/>
            <w:vAlign w:val="bottom"/>
          </w:tcPr>
          <w:p>
            <w:pPr>
              <w:pStyle w:val="TableContents"/>
              <w:spacing w:before="0" w:after="0"/>
              <w:ind w:left="225" w:right="0" w:hanging="225"/>
              <w:rPr/>
            </w:pPr>
            <w:r>
              <w:rPr/>
              <w:t>Signature loan bad debt, as a percent of fee revenue</w:t>
            </w:r>
          </w:p>
        </w:tc>
        <w:tc>
          <w:tcPr>
            <w:tcW w:w="396"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left"/>
              <w:rPr/>
            </w:pPr>
            <w:r>
              <w:rPr/>
              <w:t> </w:t>
            </w:r>
          </w:p>
        </w:tc>
        <w:tc>
          <w:tcPr>
            <w:tcW w:w="1102" w:type="dxa"/>
            <w:tcBorders/>
            <w:shd w:fill="auto" w:val="clear"/>
            <w:vAlign w:val="bottom"/>
          </w:tcPr>
          <w:p>
            <w:pPr>
              <w:pStyle w:val="TableContents"/>
              <w:spacing w:before="0" w:after="283"/>
              <w:jc w:val="right"/>
              <w:rPr/>
            </w:pPr>
            <w:r>
              <w:rPr/>
              <w:t>70.5</w:t>
            </w:r>
          </w:p>
        </w:tc>
        <w:tc>
          <w:tcPr>
            <w:tcW w:w="439" w:type="dxa"/>
            <w:tcBorders/>
            <w:shd w:fill="auto" w:val="clear"/>
            <w:vAlign w:val="bottom"/>
          </w:tcPr>
          <w:p>
            <w:pPr>
              <w:pStyle w:val="TableContents"/>
              <w:spacing w:before="0" w:after="283"/>
              <w:rPr/>
            </w:pPr>
            <w:r>
              <w:rPr/>
              <w:t>%</w:t>
            </w:r>
          </w:p>
        </w:tc>
        <w:tc>
          <w:tcPr>
            <w:tcW w:w="447" w:type="dxa"/>
            <w:tcBorders/>
            <w:shd w:fill="auto" w:val="clear"/>
            <w:vAlign w:val="bottom"/>
          </w:tcPr>
          <w:p>
            <w:pPr>
              <w:pStyle w:val="TableContents"/>
              <w:spacing w:before="0" w:after="283"/>
              <w:rPr/>
            </w:pPr>
            <w:r>
              <w:rPr/>
              <w:t> </w:t>
            </w:r>
          </w:p>
        </w:tc>
        <w:tc>
          <w:tcPr>
            <w:tcW w:w="309" w:type="dxa"/>
            <w:tcBorders/>
            <w:shd w:fill="auto" w:val="clear"/>
            <w:vAlign w:val="bottom"/>
          </w:tcPr>
          <w:p>
            <w:pPr>
              <w:pStyle w:val="TableContents"/>
              <w:spacing w:before="0" w:after="283"/>
              <w:jc w:val="left"/>
              <w:rPr/>
            </w:pPr>
            <w:r>
              <w:rPr/>
              <w:t> </w:t>
            </w:r>
          </w:p>
        </w:tc>
        <w:tc>
          <w:tcPr>
            <w:tcW w:w="1105" w:type="dxa"/>
            <w:tcBorders/>
            <w:shd w:fill="auto" w:val="clear"/>
            <w:vAlign w:val="bottom"/>
          </w:tcPr>
          <w:p>
            <w:pPr>
              <w:pStyle w:val="TableContents"/>
              <w:spacing w:before="0" w:after="283"/>
              <w:jc w:val="right"/>
              <w:rPr/>
            </w:pPr>
            <w:r>
              <w:rPr/>
              <w:t>48.4</w:t>
            </w:r>
          </w:p>
        </w:tc>
        <w:tc>
          <w:tcPr>
            <w:tcW w:w="258"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 revenue less bad debt, decreased $0.2 million in the current quarter compared to the prior year quarter, primarily due to an increase in signature loan bad debt from 48.4% of fees in the prior year quarter to 70.5% in the current quarter. </w:t>
      </w:r>
    </w:p>
    <w:p>
      <w:pPr>
        <w:pStyle w:val="TextBody"/>
        <w:jc w:val="center"/>
        <w:rPr>
          <w:rFonts w:ascii="Times New Roman;Times;serif" w:hAnsi="Times New Roman;Times;serif"/>
          <w:sz w:val="17"/>
        </w:rPr>
      </w:pPr>
      <w:r>
        <w:rPr>
          <w:rFonts w:ascii="Times New Roman;Times;serif" w:hAnsi="Times New Roman;Times;serif"/>
          <w:sz w:val="17"/>
        </w:rPr>
        <w:t xml:space="preserve">20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improved to 61% of net revenues ($21.6 million) in the current quarter from 63% of net revenues ($20.7 million) in the prior year quarter, as operating expenses grew at a slower pace than the segments net revenues.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$2.3 million greater net revenue from pawn activities, partially offset by the $0.9 million higher operations expenses and $0.2 million lower contribution from signature loans resulted in a $1.2 million overall increase in store operating income from the EZPAWN Operations segment compared to the prior year quarter. For the quarter, EZPAWN Operations made up 66% of consolidated store operating income compared to 70% in the prior year quarter. This relative reduction is due to the more rapid growth in the EZMONEY Operations segment.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020"/>
        <w:gridCol w:w="400"/>
        <w:gridCol w:w="235"/>
        <w:gridCol w:w="1159"/>
        <w:gridCol w:w="324"/>
        <w:gridCol w:w="423"/>
        <w:gridCol w:w="235"/>
        <w:gridCol w:w="1162"/>
        <w:gridCol w:w="247"/>
      </w:tblGrid>
      <w:tr>
        <w:trPr/>
        <w:tc>
          <w:tcPr>
            <w:tcW w:w="602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538" w:type="dxa"/>
            <w:gridSpan w:val="6"/>
            <w:tcBorders/>
            <w:shd w:fill="auto" w:val="clear"/>
            <w:vAlign w:val="bottom"/>
          </w:tcPr>
          <w:p>
            <w:pPr>
              <w:pStyle w:val="TableContents"/>
              <w:spacing w:before="0" w:after="283"/>
              <w:jc w:val="center"/>
              <w:rPr/>
            </w:pPr>
            <w:r>
              <w:rPr/>
              <w:t>Three Months Ended June 30,</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139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24" w:type="dxa"/>
            <w:tcBorders>
              <w:bottom w:val="single" w:sz="2" w:space="0" w:color="000000"/>
            </w:tcBorders>
            <w:shd w:fill="auto" w:val="clear"/>
            <w:tcMar>
              <w:bottom w:w="28" w:type="dxa"/>
            </w:tcMar>
            <w:vAlign w:val="bottom"/>
          </w:tcPr>
          <w:p>
            <w:pPr>
              <w:pStyle w:val="TableContents"/>
              <w:spacing w:before="0" w:after="283"/>
              <w:rPr/>
            </w:pPr>
            <w:r>
              <w:rPr/>
              <w:t> </w:t>
            </w:r>
          </w:p>
        </w:tc>
        <w:tc>
          <w:tcPr>
            <w:tcW w:w="423" w:type="dxa"/>
            <w:tcBorders>
              <w:bottom w:val="single" w:sz="2" w:space="0" w:color="000000"/>
            </w:tcBorders>
            <w:shd w:fill="auto" w:val="clear"/>
            <w:tcMar>
              <w:bottom w:w="28" w:type="dxa"/>
            </w:tcMar>
            <w:vAlign w:val="bottom"/>
          </w:tcPr>
          <w:p>
            <w:pPr>
              <w:pStyle w:val="TableContents"/>
              <w:spacing w:before="0" w:after="283"/>
              <w:rPr/>
            </w:pPr>
            <w:r>
              <w:rPr/>
              <w:t> </w:t>
            </w:r>
          </w:p>
        </w:tc>
        <w:tc>
          <w:tcPr>
            <w:tcW w:w="1397"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283"/>
              <w:rPr/>
            </w:pPr>
            <w:r>
              <w:rPr/>
              <w:t> </w:t>
            </w:r>
          </w:p>
        </w:tc>
        <w:tc>
          <w:tcPr>
            <w:tcW w:w="400" w:type="dxa"/>
            <w:tcBorders/>
            <w:shd w:fill="auto" w:val="clear"/>
            <w:vAlign w:val="bottom"/>
          </w:tcPr>
          <w:p>
            <w:pPr>
              <w:pStyle w:val="TableContents"/>
              <w:spacing w:before="0" w:after="283"/>
              <w:rPr/>
            </w:pPr>
            <w:r>
              <w:rPr/>
              <w:t> </w:t>
            </w:r>
          </w:p>
        </w:tc>
        <w:tc>
          <w:tcPr>
            <w:tcW w:w="3538" w:type="dxa"/>
            <w:gridSpan w:val="6"/>
            <w:tcBorders/>
            <w:shd w:fill="auto" w:val="clear"/>
            <w:vAlign w:val="bottom"/>
          </w:tcPr>
          <w:p>
            <w:pPr>
              <w:pStyle w:val="TableContents"/>
              <w:spacing w:before="0" w:after="283"/>
              <w:jc w:val="center"/>
              <w:rPr>
                <w:i/>
              </w:rPr>
            </w:pPr>
            <w:r>
              <w:rPr>
                <w:i/>
              </w:rPr>
              <w:t>(Dollars in thousands)</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 </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450" w:right="0" w:hanging="225"/>
              <w:rPr/>
            </w:pPr>
            <w:r>
              <w:rPr/>
              <w:t>Signature loan fees</w:t>
            </w:r>
          </w:p>
        </w:tc>
        <w:tc>
          <w:tcPr>
            <w:tcW w:w="40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w:t>
            </w:r>
          </w:p>
        </w:tc>
        <w:tc>
          <w:tcPr>
            <w:tcW w:w="1159" w:type="dxa"/>
            <w:tcBorders/>
            <w:shd w:fill="CCEEFF" w:val="clear"/>
            <w:vAlign w:val="bottom"/>
          </w:tcPr>
          <w:p>
            <w:pPr>
              <w:pStyle w:val="TableContents"/>
              <w:spacing w:before="0" w:after="283"/>
              <w:jc w:val="right"/>
              <w:rPr/>
            </w:pPr>
            <w:r>
              <w:rPr/>
              <w:t>26,216</w:t>
            </w:r>
          </w:p>
        </w:tc>
        <w:tc>
          <w:tcPr>
            <w:tcW w:w="324"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16,983</w:t>
            </w:r>
          </w:p>
        </w:tc>
        <w:tc>
          <w:tcPr>
            <w:tcW w:w="247"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Signature loan bad debt</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jc w:val="right"/>
              <w:rPr/>
            </w:pPr>
            <w:r>
              <w:rPr/>
              <w:t>9,572</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5,125</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400" w:type="dxa"/>
            <w:tcBorders/>
            <w:shd w:fill="auto" w:val="clear"/>
            <w:vAlign w:val="center"/>
          </w:tcPr>
          <w:p>
            <w:pPr>
              <w:pStyle w:val="TableContents"/>
              <w:spacing w:before="0" w:after="283"/>
              <w:rPr/>
            </w:pPr>
            <w:r>
              <w:rPr/>
              <w:t> </w:t>
            </w:r>
          </w:p>
        </w:tc>
        <w:tc>
          <w:tcPr>
            <w:tcW w:w="13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3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675" w:right="0" w:hanging="225"/>
              <w:rPr/>
            </w:pPr>
            <w:r>
              <w:rPr/>
              <w:t>Fee revenue less bad debt</w:t>
            </w:r>
          </w:p>
        </w:tc>
        <w:tc>
          <w:tcPr>
            <w:tcW w:w="40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159" w:type="dxa"/>
            <w:tcBorders/>
            <w:shd w:fill="CCEEFF" w:val="clear"/>
            <w:vAlign w:val="bottom"/>
          </w:tcPr>
          <w:p>
            <w:pPr>
              <w:pStyle w:val="TableContents"/>
              <w:spacing w:before="0" w:after="283"/>
              <w:jc w:val="right"/>
              <w:rPr/>
            </w:pPr>
            <w:r>
              <w:rPr/>
              <w:t>16,644</w:t>
            </w:r>
          </w:p>
        </w:tc>
        <w:tc>
          <w:tcPr>
            <w:tcW w:w="324"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rPr/>
            </w:pPr>
            <w:r>
              <w:rPr/>
              <w:t> </w:t>
            </w:r>
          </w:p>
        </w:tc>
        <w:tc>
          <w:tcPr>
            <w:tcW w:w="1162" w:type="dxa"/>
            <w:tcBorders/>
            <w:shd w:fill="CCEEFF" w:val="clear"/>
            <w:vAlign w:val="bottom"/>
          </w:tcPr>
          <w:p>
            <w:pPr>
              <w:pStyle w:val="TableContents"/>
              <w:spacing w:before="0" w:after="283"/>
              <w:jc w:val="right"/>
              <w:rPr/>
            </w:pPr>
            <w:r>
              <w:rPr/>
              <w:t>11,858</w:t>
            </w:r>
          </w:p>
        </w:tc>
        <w:tc>
          <w:tcPr>
            <w:tcW w:w="247" w:type="dxa"/>
            <w:tcBorders/>
            <w:shd w:fill="CCEEFF"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 </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450" w:right="0" w:hanging="225"/>
              <w:rPr/>
            </w:pPr>
            <w:r>
              <w:rPr/>
              <w:t>Operations expense</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jc w:val="right"/>
              <w:rPr/>
            </w:pPr>
            <w:r>
              <w:rPr/>
              <w:t>9,982</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jc w:val="right"/>
              <w:rPr/>
            </w:pPr>
            <w:r>
              <w:rPr/>
              <w:t>6,797</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400" w:type="dxa"/>
            <w:tcBorders/>
            <w:shd w:fill="auto" w:val="clear"/>
            <w:vAlign w:val="center"/>
          </w:tcPr>
          <w:p>
            <w:pPr>
              <w:pStyle w:val="TableContents"/>
              <w:spacing w:before="0" w:after="283"/>
              <w:rPr/>
            </w:pPr>
            <w:r>
              <w:rPr/>
              <w:t> </w:t>
            </w:r>
          </w:p>
        </w:tc>
        <w:tc>
          <w:tcPr>
            <w:tcW w:w="139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397"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675" w:right="0" w:hanging="225"/>
              <w:rPr/>
            </w:pPr>
            <w:r>
              <w:rPr/>
              <w:t>Store operating income</w:t>
            </w:r>
          </w:p>
        </w:tc>
        <w:tc>
          <w:tcPr>
            <w:tcW w:w="40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w:t>
            </w:r>
          </w:p>
        </w:tc>
        <w:tc>
          <w:tcPr>
            <w:tcW w:w="1159" w:type="dxa"/>
            <w:tcBorders/>
            <w:shd w:fill="CCEEFF" w:val="clear"/>
            <w:vAlign w:val="bottom"/>
          </w:tcPr>
          <w:p>
            <w:pPr>
              <w:pStyle w:val="TableContents"/>
              <w:spacing w:before="0" w:after="283"/>
              <w:jc w:val="right"/>
              <w:rPr/>
            </w:pPr>
            <w:r>
              <w:rPr/>
              <w:t>6,662</w:t>
            </w:r>
          </w:p>
        </w:tc>
        <w:tc>
          <w:tcPr>
            <w:tcW w:w="324" w:type="dxa"/>
            <w:tcBorders/>
            <w:shd w:fill="CCEEFF" w:val="clear"/>
            <w:vAlign w:val="bottom"/>
          </w:tcPr>
          <w:p>
            <w:pPr>
              <w:pStyle w:val="TableContents"/>
              <w:spacing w:before="0" w:after="283"/>
              <w:rPr/>
            </w:pPr>
            <w:r>
              <w:rPr/>
              <w:t> </w:t>
            </w:r>
          </w:p>
        </w:tc>
        <w:tc>
          <w:tcPr>
            <w:tcW w:w="42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w:t>
            </w:r>
          </w:p>
        </w:tc>
        <w:tc>
          <w:tcPr>
            <w:tcW w:w="1162" w:type="dxa"/>
            <w:tcBorders/>
            <w:shd w:fill="CCEEFF" w:val="clear"/>
            <w:vAlign w:val="bottom"/>
          </w:tcPr>
          <w:p>
            <w:pPr>
              <w:pStyle w:val="TableContents"/>
              <w:spacing w:before="0" w:after="283"/>
              <w:jc w:val="right"/>
              <w:rPr/>
            </w:pPr>
            <w:r>
              <w:rPr/>
              <w:t>5,061</w:t>
            </w:r>
          </w:p>
        </w:tc>
        <w:tc>
          <w:tcPr>
            <w:tcW w:w="247" w:type="dxa"/>
            <w:tcBorders/>
            <w:shd w:fill="CCEEFF" w:val="clear"/>
            <w:vAlign w:val="bottom"/>
          </w:tcPr>
          <w:p>
            <w:pPr>
              <w:pStyle w:val="TableContents"/>
              <w:spacing w:before="0" w:after="283"/>
              <w:rPr/>
            </w:pPr>
            <w:r>
              <w:rPr/>
              <w:t> </w:t>
            </w:r>
          </w:p>
        </w:tc>
      </w:tr>
      <w:tr>
        <w:trPr/>
        <w:tc>
          <w:tcPr>
            <w:tcW w:w="6020" w:type="dxa"/>
            <w:tcBorders/>
            <w:shd w:fill="auto" w:val="clear"/>
            <w:vAlign w:val="center"/>
          </w:tcPr>
          <w:p>
            <w:pPr>
              <w:pStyle w:val="TableContents"/>
              <w:spacing w:before="0" w:after="0"/>
              <w:ind w:left="225" w:right="0" w:hanging="225"/>
              <w:rPr/>
            </w:pPr>
            <w:r>
              <w:rPr/>
              <w:t> </w:t>
            </w:r>
          </w:p>
        </w:tc>
        <w:tc>
          <w:tcPr>
            <w:tcW w:w="400" w:type="dxa"/>
            <w:tcBorders/>
            <w:shd w:fill="auto" w:val="clear"/>
            <w:vAlign w:val="center"/>
          </w:tcPr>
          <w:p>
            <w:pPr>
              <w:pStyle w:val="TableContents"/>
              <w:spacing w:before="0" w:after="283"/>
              <w:rPr/>
            </w:pPr>
            <w:r>
              <w:rPr/>
              <w:t> </w:t>
            </w:r>
          </w:p>
        </w:tc>
        <w:tc>
          <w:tcPr>
            <w:tcW w:w="139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24" w:type="dxa"/>
            <w:tcBorders/>
            <w:shd w:fill="auto" w:val="clear"/>
            <w:vAlign w:val="center"/>
          </w:tcPr>
          <w:p>
            <w:pPr>
              <w:pStyle w:val="TableContents"/>
              <w:spacing w:before="0" w:after="283"/>
              <w:rPr/>
            </w:pPr>
            <w:r>
              <w:rPr/>
              <w:t> </w:t>
            </w:r>
          </w:p>
        </w:tc>
        <w:tc>
          <w:tcPr>
            <w:tcW w:w="423" w:type="dxa"/>
            <w:tcBorders/>
            <w:shd w:fill="auto" w:val="clear"/>
            <w:vAlign w:val="center"/>
          </w:tcPr>
          <w:p>
            <w:pPr>
              <w:pStyle w:val="TableContents"/>
              <w:spacing w:before="0" w:after="283"/>
              <w:rPr/>
            </w:pPr>
            <w:r>
              <w:rPr/>
              <w:t> </w:t>
            </w:r>
          </w:p>
        </w:tc>
        <w:tc>
          <w:tcPr>
            <w:tcW w:w="1397"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7" w:type="dxa"/>
            <w:tcBorders/>
            <w:shd w:fill="auto" w:val="clear"/>
            <w:vAlign w:val="center"/>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 </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020" w:type="dxa"/>
            <w:tcBorders/>
            <w:shd w:fill="auto" w:val="clear"/>
            <w:vAlign w:val="bottom"/>
          </w:tcPr>
          <w:p>
            <w:pPr>
              <w:pStyle w:val="TableContents"/>
              <w:spacing w:before="0" w:after="0"/>
              <w:ind w:left="225" w:right="0" w:hanging="225"/>
              <w:rPr/>
            </w:pPr>
            <w:r>
              <w:rPr/>
              <w:t>Other data:</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59" w:type="dxa"/>
            <w:tcBorders/>
            <w:shd w:fill="auto" w:val="clear"/>
            <w:vAlign w:val="bottom"/>
          </w:tcPr>
          <w:p>
            <w:pPr>
              <w:pStyle w:val="TableContents"/>
              <w:spacing w:before="0" w:after="283"/>
              <w:rPr/>
            </w:pPr>
            <w:r>
              <w:rPr/>
              <w:t> </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rPr/>
            </w:pPr>
            <w:r>
              <w:rPr/>
              <w:t> </w:t>
            </w:r>
          </w:p>
        </w:tc>
        <w:tc>
          <w:tcPr>
            <w:tcW w:w="1162"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r>
      <w:tr>
        <w:trPr/>
        <w:tc>
          <w:tcPr>
            <w:tcW w:w="6020" w:type="dxa"/>
            <w:tcBorders/>
            <w:shd w:fill="CCEEFF" w:val="clear"/>
            <w:vAlign w:val="bottom"/>
          </w:tcPr>
          <w:p>
            <w:pPr>
              <w:pStyle w:val="TableContents"/>
              <w:spacing w:before="0" w:after="0"/>
              <w:ind w:left="450" w:right="0" w:hanging="225"/>
              <w:rPr/>
            </w:pPr>
            <w:r>
              <w:rPr/>
              <w:t>Signature loan bad debt as a percent of signature loan fees</w:t>
            </w:r>
          </w:p>
        </w:tc>
        <w:tc>
          <w:tcPr>
            <w:tcW w:w="400"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 </w:t>
            </w:r>
          </w:p>
        </w:tc>
        <w:tc>
          <w:tcPr>
            <w:tcW w:w="1159" w:type="dxa"/>
            <w:tcBorders/>
            <w:shd w:fill="CCEEFF" w:val="clear"/>
            <w:vAlign w:val="bottom"/>
          </w:tcPr>
          <w:p>
            <w:pPr>
              <w:pStyle w:val="TableContents"/>
              <w:spacing w:before="0" w:after="283"/>
              <w:jc w:val="right"/>
              <w:rPr/>
            </w:pPr>
            <w:r>
              <w:rPr/>
              <w:t>36.5</w:t>
            </w:r>
          </w:p>
        </w:tc>
        <w:tc>
          <w:tcPr>
            <w:tcW w:w="324" w:type="dxa"/>
            <w:tcBorders/>
            <w:shd w:fill="CCEEFF" w:val="clear"/>
            <w:vAlign w:val="bottom"/>
          </w:tcPr>
          <w:p>
            <w:pPr>
              <w:pStyle w:val="TableContents"/>
              <w:spacing w:before="0" w:after="283"/>
              <w:rPr/>
            </w:pPr>
            <w:r>
              <w:rPr/>
              <w:t>%</w:t>
            </w:r>
          </w:p>
        </w:tc>
        <w:tc>
          <w:tcPr>
            <w:tcW w:w="423" w:type="dxa"/>
            <w:tcBorders/>
            <w:shd w:fill="CCEEFF" w:val="clear"/>
            <w:vAlign w:val="bottom"/>
          </w:tcPr>
          <w:p>
            <w:pPr>
              <w:pStyle w:val="TableContents"/>
              <w:spacing w:before="0" w:after="283"/>
              <w:rPr/>
            </w:pPr>
            <w:r>
              <w:rPr/>
              <w:t> </w:t>
            </w:r>
          </w:p>
        </w:tc>
        <w:tc>
          <w:tcPr>
            <w:tcW w:w="235" w:type="dxa"/>
            <w:tcBorders/>
            <w:shd w:fill="CCEEFF" w:val="clear"/>
            <w:vAlign w:val="bottom"/>
          </w:tcPr>
          <w:p>
            <w:pPr>
              <w:pStyle w:val="TableContents"/>
              <w:spacing w:before="0" w:after="283"/>
              <w:jc w:val="left"/>
              <w:rPr/>
            </w:pPr>
            <w:r>
              <w:rPr/>
              <w:t> </w:t>
            </w:r>
          </w:p>
        </w:tc>
        <w:tc>
          <w:tcPr>
            <w:tcW w:w="1162" w:type="dxa"/>
            <w:tcBorders/>
            <w:shd w:fill="CCEEFF" w:val="clear"/>
            <w:vAlign w:val="bottom"/>
          </w:tcPr>
          <w:p>
            <w:pPr>
              <w:pStyle w:val="TableContents"/>
              <w:spacing w:before="0" w:after="283"/>
              <w:jc w:val="right"/>
              <w:rPr/>
            </w:pPr>
            <w:r>
              <w:rPr/>
              <w:t>30.2</w:t>
            </w:r>
          </w:p>
        </w:tc>
        <w:tc>
          <w:tcPr>
            <w:tcW w:w="247" w:type="dxa"/>
            <w:tcBorders/>
            <w:shd w:fill="CCEEFF" w:val="clear"/>
            <w:vAlign w:val="bottom"/>
          </w:tcPr>
          <w:p>
            <w:pPr>
              <w:pStyle w:val="TableContents"/>
              <w:spacing w:before="0" w:after="283"/>
              <w:rPr/>
            </w:pPr>
            <w:r>
              <w:rPr/>
              <w:t>%</w:t>
            </w:r>
          </w:p>
        </w:tc>
      </w:tr>
      <w:tr>
        <w:trPr/>
        <w:tc>
          <w:tcPr>
            <w:tcW w:w="6020" w:type="dxa"/>
            <w:tcBorders/>
            <w:shd w:fill="auto" w:val="clear"/>
            <w:vAlign w:val="bottom"/>
          </w:tcPr>
          <w:p>
            <w:pPr>
              <w:pStyle w:val="TableContents"/>
              <w:spacing w:before="0" w:after="0"/>
              <w:ind w:left="450" w:right="0" w:hanging="225"/>
              <w:rPr/>
            </w:pPr>
            <w:r>
              <w:rPr/>
              <w:t>Average signature loan balance per store offering signature loans at quarter end (a)</w:t>
            </w:r>
          </w:p>
        </w:tc>
        <w:tc>
          <w:tcPr>
            <w:tcW w:w="400"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left"/>
              <w:rPr/>
            </w:pPr>
            <w:r>
              <w:rPr/>
              <w:t>$</w:t>
            </w:r>
          </w:p>
        </w:tc>
        <w:tc>
          <w:tcPr>
            <w:tcW w:w="1159" w:type="dxa"/>
            <w:tcBorders/>
            <w:shd w:fill="auto" w:val="clear"/>
            <w:vAlign w:val="bottom"/>
          </w:tcPr>
          <w:p>
            <w:pPr>
              <w:pStyle w:val="TableContents"/>
              <w:spacing w:before="0" w:after="283"/>
              <w:jc w:val="right"/>
              <w:rPr/>
            </w:pPr>
            <w:r>
              <w:rPr/>
              <w:t>65</w:t>
            </w:r>
          </w:p>
        </w:tc>
        <w:tc>
          <w:tcPr>
            <w:tcW w:w="324" w:type="dxa"/>
            <w:tcBorders/>
            <w:shd w:fill="auto" w:val="clear"/>
            <w:vAlign w:val="bottom"/>
          </w:tcPr>
          <w:p>
            <w:pPr>
              <w:pStyle w:val="TableContents"/>
              <w:spacing w:before="0" w:after="283"/>
              <w:rPr/>
            </w:pPr>
            <w:r>
              <w:rPr/>
              <w:t> </w:t>
            </w:r>
          </w:p>
        </w:tc>
        <w:tc>
          <w:tcPr>
            <w:tcW w:w="423" w:type="dxa"/>
            <w:tcBorders/>
            <w:shd w:fill="auto" w:val="clear"/>
            <w:vAlign w:val="bottom"/>
          </w:tcPr>
          <w:p>
            <w:pPr>
              <w:pStyle w:val="TableContents"/>
              <w:spacing w:before="0" w:after="283"/>
              <w:rPr/>
            </w:pPr>
            <w:r>
              <w:rPr/>
              <w:t> </w:t>
            </w:r>
          </w:p>
        </w:tc>
        <w:tc>
          <w:tcPr>
            <w:tcW w:w="235" w:type="dxa"/>
            <w:tcBorders/>
            <w:shd w:fill="auto" w:val="clear"/>
            <w:vAlign w:val="bottom"/>
          </w:tcPr>
          <w:p>
            <w:pPr>
              <w:pStyle w:val="TableContents"/>
              <w:spacing w:before="0" w:after="283"/>
              <w:jc w:val="left"/>
              <w:rPr/>
            </w:pPr>
            <w:r>
              <w:rPr/>
              <w:t>$</w:t>
            </w:r>
          </w:p>
        </w:tc>
        <w:tc>
          <w:tcPr>
            <w:tcW w:w="1162" w:type="dxa"/>
            <w:tcBorders/>
            <w:shd w:fill="auto" w:val="clear"/>
            <w:vAlign w:val="bottom"/>
          </w:tcPr>
          <w:p>
            <w:pPr>
              <w:pStyle w:val="TableContents"/>
              <w:spacing w:before="0" w:after="283"/>
              <w:jc w:val="right"/>
              <w:rPr/>
            </w:pPr>
            <w:r>
              <w:rPr/>
              <w:t>60</w:t>
            </w:r>
          </w:p>
        </w:tc>
        <w:tc>
          <w:tcPr>
            <w:tcW w:w="247"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fees less bad debt, increased $4.8 million, or 40% compared to the prior year quarter. The primary cause of the increased contribution was the higher average loan balances at existing stores and the addition of new stores, resulting in a 54% current quarter increase in signature loan fee revenue. Signature loan bad debt increased to 36.5% of related fees in the current quarter, compared to 30.2% in the prior year quarter. Early in the current quarter, we revised some of our underwriting criteria to optimize our loan growth. The result was stronger than normal loan growth as well as a higher level of bad debt. Later in the quarter, we refined our underwriting criteria specifically for new customers to ensure future bad debt results are more in line with our prior levels. As a result, we saw our bad debt return to expected levels in the month of June.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$3.2 million in the current quarter to $10.0 million, or 38% of segment revenues from 40% in the prior year quarter. The increase was mostly from additional labor, rent and other costs at new stores that have not yet matured. In the current quarter, operations expense was $27,100 per average store, compared to $25,900 in the prior year quarter. Stores adjoining an EZPAWN location, which generally have lower operating costs, now comprise a smaller percentage of the total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quarter, the $4.8 million increase in signature loan fees net of bad debt and $3.2 million greater operations expense resulted in a $1.6 million net increase in store operating income from the EZMONEY Operations segment. For the quarter, EZMONEY Operations made up 34% of consolidated store operating income compared to 30% in the prior year quarter. The relative increase is due to the more rapid growth in the EZMONEY Operations segment compared to the EZPAWN Operations segment. </w:t>
      </w:r>
    </w:p>
    <w:p>
      <w:pPr>
        <w:pStyle w:val="TextBody"/>
        <w:jc w:val="center"/>
        <w:rPr>
          <w:rFonts w:ascii="Times New Roman;Times;serif" w:hAnsi="Times New Roman;Times;serif"/>
          <w:sz w:val="17"/>
        </w:rPr>
      </w:pPr>
      <w:r>
        <w:rPr>
          <w:rFonts w:ascii="Times New Roman;Times;serif" w:hAnsi="Times New Roman;Times;serif"/>
          <w:sz w:val="17"/>
        </w:rPr>
        <w:t xml:space="preserve">21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items discussed below affect our consolidated financial results, but are not allocated between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quarter were $8.0 million compared to $6.8 million in the prior year quarter, an improvement of 0.6 of a percentage point to 13.0% when measured as a percent of net revenue. The dollar increase was due primarily to a $0.9 million increase in stock compensation and a $0.6 million increase in professional fees and services.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$2.5 million in the current quarter, compared to $2.1 million in the prior year quarter. Depreciation on assets placed in service, primarily related to new EZMONEY stores, exceeded the reduction from assets that became fully depreciated or were retired.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earned $0.6 million of interest income on our invested cash in the current quarter, for an annualized rate of return of 5.1%. In the comparable prior year quarter, we earned $0.2 million of interest income on a smaller amount of invested cash, yielding 3.9%.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Throughout the current and prior year quarters, we had no debt. Our $0.1 million interest expense in each period was mostly amortization of deferred financing costs and the commitment fee on our line of credit.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quarter income tax expense was $4.0 million (37.0% of pretax income) compared to $3.2 million (36.4% of pretax income) for the prior year quarter. The increase in effective tax rate between these periods is due primarily to a legislative change increasing our expected taxes 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quarter improved $1.3 million over the prior year quarter to $9.3 million. Contributing to this were the $1.2 million and $1.6 million increases in store operating income in our EZPAWN and EZMONEY Operations segments, partially offset by the $1.2 million increase in administrative expenses and higher depreciation. After a $0.4 million improvement in net interest and a $0.8 million increase in income taxes and other smaller items, net income improved to $6.8 million in the current quarter from $5.6 million in the prior year quarter. </w:t>
      </w:r>
    </w:p>
    <w:p>
      <w:pPr>
        <w:pStyle w:val="TextBody"/>
        <w:jc w:val="center"/>
        <w:rPr>
          <w:rFonts w:ascii="Times New Roman;Times;serif" w:hAnsi="Times New Roman;Times;serif"/>
          <w:sz w:val="17"/>
        </w:rPr>
      </w:pPr>
      <w:r>
        <w:rPr>
          <w:rFonts w:ascii="Times New Roman;Times;serif" w:hAnsi="Times New Roman;Times;serif"/>
          <w:sz w:val="17"/>
        </w:rPr>
        <w:t xml:space="preserve">22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sz w:val="17"/>
          <w:u w:val="single"/>
        </w:rPr>
        <w:t>Nine Months Ended June 30, 2007 vs. Nine Months Ended June 30, 2006</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compares our results of operations for the nine months ended June 30, 2007 to the nine months ended June 30, 2006. The discussion should be read with the accompanying financial statements and related notes.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EZPAWN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EZPAWN Operations segment: </w:t>
      </w:r>
    </w:p>
    <w:tbl>
      <w:tblPr>
        <w:tblW w:w="5000" w:type="pct"/>
        <w:jc w:val="center"/>
        <w:tblInd w:w="0" w:type="dxa"/>
        <w:tblCellMar>
          <w:top w:w="0" w:type="dxa"/>
          <w:left w:w="0" w:type="dxa"/>
          <w:bottom w:w="0" w:type="dxa"/>
          <w:right w:w="0" w:type="dxa"/>
        </w:tblCellMar>
      </w:tblPr>
      <w:tblGrid>
        <w:gridCol w:w="6180"/>
        <w:gridCol w:w="407"/>
        <w:gridCol w:w="206"/>
        <w:gridCol w:w="1133"/>
        <w:gridCol w:w="279"/>
        <w:gridCol w:w="420"/>
        <w:gridCol w:w="206"/>
        <w:gridCol w:w="1136"/>
        <w:gridCol w:w="238"/>
      </w:tblGrid>
      <w:tr>
        <w:trPr/>
        <w:tc>
          <w:tcPr>
            <w:tcW w:w="618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380" w:type="dxa"/>
            <w:gridSpan w:val="6"/>
            <w:tcBorders/>
            <w:shd w:fill="auto" w:val="clear"/>
            <w:vAlign w:val="bottom"/>
          </w:tcPr>
          <w:p>
            <w:pPr>
              <w:pStyle w:val="TableContents"/>
              <w:spacing w:before="0" w:after="283"/>
              <w:jc w:val="center"/>
              <w:rPr/>
            </w:pPr>
            <w:r>
              <w:rPr/>
              <w:t>Nine Months Ended June 30,</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1339"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279" w:type="dxa"/>
            <w:tcBorders>
              <w:bottom w:val="single" w:sz="2" w:space="0" w:color="000000"/>
            </w:tcBorders>
            <w:shd w:fill="auto" w:val="clear"/>
            <w:tcMar>
              <w:bottom w:w="28" w:type="dxa"/>
            </w:tcMar>
            <w:vAlign w:val="bottom"/>
          </w:tcPr>
          <w:p>
            <w:pPr>
              <w:pStyle w:val="TableContents"/>
              <w:spacing w:before="0" w:after="283"/>
              <w:rPr/>
            </w:pPr>
            <w:r>
              <w:rPr/>
              <w:t> </w:t>
            </w:r>
          </w:p>
        </w:tc>
        <w:tc>
          <w:tcPr>
            <w:tcW w:w="420" w:type="dxa"/>
            <w:tcBorders>
              <w:bottom w:val="single" w:sz="2" w:space="0" w:color="000000"/>
            </w:tcBorders>
            <w:shd w:fill="auto" w:val="clear"/>
            <w:tcMar>
              <w:bottom w:w="28" w:type="dxa"/>
            </w:tcMar>
            <w:vAlign w:val="bottom"/>
          </w:tcPr>
          <w:p>
            <w:pPr>
              <w:pStyle w:val="TableContents"/>
              <w:spacing w:before="0" w:after="283"/>
              <w:rPr/>
            </w:pPr>
            <w:r>
              <w:rPr/>
              <w:t> </w:t>
            </w:r>
          </w:p>
        </w:tc>
        <w:tc>
          <w:tcPr>
            <w:tcW w:w="134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283"/>
              <w:rPr/>
            </w:pPr>
            <w:r>
              <w:rPr/>
              <w:t> </w:t>
            </w:r>
          </w:p>
        </w:tc>
        <w:tc>
          <w:tcPr>
            <w:tcW w:w="407" w:type="dxa"/>
            <w:tcBorders/>
            <w:shd w:fill="auto" w:val="clear"/>
            <w:vAlign w:val="bottom"/>
          </w:tcPr>
          <w:p>
            <w:pPr>
              <w:pStyle w:val="TableContents"/>
              <w:spacing w:before="0" w:after="283"/>
              <w:rPr/>
            </w:pPr>
            <w:r>
              <w:rPr/>
              <w:t> </w:t>
            </w:r>
          </w:p>
        </w:tc>
        <w:tc>
          <w:tcPr>
            <w:tcW w:w="3380" w:type="dxa"/>
            <w:gridSpan w:val="6"/>
            <w:tcBorders/>
            <w:shd w:fill="auto" w:val="clear"/>
            <w:vAlign w:val="bottom"/>
          </w:tcPr>
          <w:p>
            <w:pPr>
              <w:pStyle w:val="TableContents"/>
              <w:spacing w:before="0" w:after="283"/>
              <w:jc w:val="center"/>
              <w:rPr>
                <w:i/>
              </w:rPr>
            </w:pPr>
            <w:r>
              <w:rPr>
                <w:i/>
              </w:rPr>
              <w:t>(Dollars in thousands)</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225" w:right="0" w:hanging="225"/>
              <w:rPr/>
            </w:pPr>
            <w:r>
              <w:rPr/>
              <w:t> </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450" w:right="0" w:hanging="225"/>
              <w:rPr/>
            </w:pPr>
            <w:r>
              <w:rPr/>
              <w:t>Sales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33" w:type="dxa"/>
            <w:tcBorders/>
            <w:shd w:fill="CCEEFF" w:val="clear"/>
            <w:vAlign w:val="bottom"/>
          </w:tcPr>
          <w:p>
            <w:pPr>
              <w:pStyle w:val="TableContents"/>
              <w:spacing w:before="0" w:after="283"/>
              <w:jc w:val="right"/>
              <w:rPr/>
            </w:pPr>
            <w:r>
              <w:rPr/>
              <w:t>141,688</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36" w:type="dxa"/>
            <w:tcBorders/>
            <w:shd w:fill="CCEEFF" w:val="clear"/>
            <w:vAlign w:val="bottom"/>
          </w:tcPr>
          <w:p>
            <w:pPr>
              <w:pStyle w:val="TableContents"/>
              <w:spacing w:before="0" w:after="283"/>
              <w:jc w:val="right"/>
              <w:rPr/>
            </w:pPr>
            <w:r>
              <w:rPr/>
              <w:t>130,598</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450" w:right="0" w:hanging="225"/>
              <w:rPr/>
            </w:pPr>
            <w:r>
              <w:rPr/>
              <w:t>Pawn service charges</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51,496</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46,988</w:t>
            </w:r>
          </w:p>
        </w:tc>
        <w:tc>
          <w:tcPr>
            <w:tcW w:w="238" w:type="dxa"/>
            <w:tcBorders/>
            <w:shd w:fill="auto" w:val="clear"/>
            <w:vAlign w:val="bottom"/>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450" w:right="0" w:hanging="225"/>
              <w:rPr/>
            </w:pPr>
            <w:r>
              <w:rPr/>
              <w:t>Signature loan fees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2,554</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2,237</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450" w:right="0" w:hanging="225"/>
              <w:rPr/>
            </w:pPr>
            <w:r>
              <w:rPr/>
              <w:t>Other</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1,007</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962</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center"/>
          </w:tcPr>
          <w:p>
            <w:pPr>
              <w:pStyle w:val="TableContents"/>
              <w:spacing w:before="0" w:after="0"/>
              <w:ind w:left="450" w:right="0" w:hanging="225"/>
              <w:rPr/>
            </w:pPr>
            <w:r>
              <w:rPr/>
              <w:t> </w:t>
            </w:r>
          </w:p>
        </w:tc>
        <w:tc>
          <w:tcPr>
            <w:tcW w:w="407"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9"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675" w:right="0" w:hanging="225"/>
              <w:rPr/>
            </w:pPr>
            <w:r>
              <w:rPr/>
              <w:t>Total revenues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196,745</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180,785</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450" w:right="0" w:hanging="225"/>
              <w:rPr/>
            </w:pPr>
            <w:r>
              <w:rPr/>
              <w:t>Cost of goods sold</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85,618</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77,696</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center"/>
          </w:tcPr>
          <w:p>
            <w:pPr>
              <w:pStyle w:val="TableContents"/>
              <w:spacing w:before="0" w:after="0"/>
              <w:ind w:left="450" w:right="0" w:hanging="225"/>
              <w:rPr/>
            </w:pPr>
            <w:r>
              <w:rPr/>
              <w:t> </w:t>
            </w:r>
          </w:p>
        </w:tc>
        <w:tc>
          <w:tcPr>
            <w:tcW w:w="407"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9"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675" w:right="0" w:hanging="225"/>
              <w:rPr/>
            </w:pPr>
            <w:r>
              <w:rPr/>
              <w:t>Net revenues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111,127</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103,089</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225" w:right="0" w:hanging="225"/>
              <w:rPr/>
            </w:pPr>
            <w:r>
              <w:rPr/>
              <w:t>Store operating expenses:</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rPr/>
            </w:pPr>
            <w:r>
              <w:rPr/>
              <w:t> </w:t>
            </w:r>
          </w:p>
        </w:tc>
        <w:tc>
          <w:tcPr>
            <w:tcW w:w="238" w:type="dxa"/>
            <w:tcBorders/>
            <w:shd w:fill="auto" w:val="clear"/>
            <w:vAlign w:val="bottom"/>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450" w:right="0" w:hanging="225"/>
              <w:rPr/>
            </w:pPr>
            <w:r>
              <w:rPr/>
              <w:t>Operations expense</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64,926</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63,401</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450" w:right="0" w:hanging="225"/>
              <w:rPr/>
            </w:pPr>
            <w:r>
              <w:rPr/>
              <w:t>Signature loan bad debt</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1,070</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rPr/>
            </w:pPr>
            <w:r>
              <w:rPr/>
              <w:t> </w:t>
            </w:r>
          </w:p>
        </w:tc>
        <w:tc>
          <w:tcPr>
            <w:tcW w:w="1136" w:type="dxa"/>
            <w:tcBorders/>
            <w:shd w:fill="auto" w:val="clear"/>
            <w:vAlign w:val="bottom"/>
          </w:tcPr>
          <w:p>
            <w:pPr>
              <w:pStyle w:val="TableContents"/>
              <w:spacing w:before="0" w:after="283"/>
              <w:jc w:val="right"/>
              <w:rPr/>
            </w:pPr>
            <w:r>
              <w:rPr/>
              <w:t>920</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center"/>
          </w:tcPr>
          <w:p>
            <w:pPr>
              <w:pStyle w:val="TableContents"/>
              <w:spacing w:before="0" w:after="0"/>
              <w:ind w:left="450" w:right="0" w:hanging="225"/>
              <w:rPr/>
            </w:pPr>
            <w:r>
              <w:rPr/>
              <w:t> </w:t>
            </w:r>
          </w:p>
        </w:tc>
        <w:tc>
          <w:tcPr>
            <w:tcW w:w="407"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9"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675" w:right="0" w:hanging="225"/>
              <w:rPr/>
            </w:pPr>
            <w:r>
              <w:rPr/>
              <w:t>Total store operating expenses</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65,996</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64,321</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center"/>
          </w:tcPr>
          <w:p>
            <w:pPr>
              <w:pStyle w:val="TableContents"/>
              <w:spacing w:before="0" w:after="0"/>
              <w:ind w:left="450" w:right="0" w:hanging="225"/>
              <w:rPr/>
            </w:pPr>
            <w:r>
              <w:rPr/>
              <w:t> </w:t>
            </w:r>
          </w:p>
        </w:tc>
        <w:tc>
          <w:tcPr>
            <w:tcW w:w="407" w:type="dxa"/>
            <w:tcBorders/>
            <w:shd w:fill="auto" w:val="clear"/>
            <w:vAlign w:val="center"/>
          </w:tcPr>
          <w:p>
            <w:pPr>
              <w:pStyle w:val="TableContents"/>
              <w:spacing w:before="0" w:after="283"/>
              <w:rPr/>
            </w:pPr>
            <w:r>
              <w:rPr/>
              <w:t> </w:t>
            </w:r>
          </w:p>
        </w:tc>
        <w:tc>
          <w:tcPr>
            <w:tcW w:w="1339"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79"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4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80" w:type="dxa"/>
            <w:tcBorders/>
            <w:shd w:fill="auto" w:val="clear"/>
            <w:vAlign w:val="bottom"/>
          </w:tcPr>
          <w:p>
            <w:pPr>
              <w:pStyle w:val="TableContents"/>
              <w:spacing w:before="0" w:after="0"/>
              <w:ind w:left="675" w:right="0" w:hanging="225"/>
              <w:rPr/>
            </w:pPr>
            <w:r>
              <w:rPr/>
              <w:t>Store operating income</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33" w:type="dxa"/>
            <w:tcBorders/>
            <w:shd w:fill="auto" w:val="clear"/>
            <w:vAlign w:val="bottom"/>
          </w:tcPr>
          <w:p>
            <w:pPr>
              <w:pStyle w:val="TableContents"/>
              <w:spacing w:before="0" w:after="283"/>
              <w:jc w:val="right"/>
              <w:rPr/>
            </w:pPr>
            <w:r>
              <w:rPr/>
              <w:t>45,131</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36" w:type="dxa"/>
            <w:tcBorders/>
            <w:shd w:fill="auto" w:val="clear"/>
            <w:vAlign w:val="bottom"/>
          </w:tcPr>
          <w:p>
            <w:pPr>
              <w:pStyle w:val="TableContents"/>
              <w:spacing w:before="0" w:after="283"/>
              <w:jc w:val="right"/>
              <w:rPr/>
            </w:pPr>
            <w:r>
              <w:rPr/>
              <w:t>38,768</w:t>
            </w:r>
          </w:p>
        </w:tc>
        <w:tc>
          <w:tcPr>
            <w:tcW w:w="238" w:type="dxa"/>
            <w:tcBorders/>
            <w:shd w:fill="auto" w:val="clear"/>
            <w:vAlign w:val="bottom"/>
          </w:tcPr>
          <w:p>
            <w:pPr>
              <w:pStyle w:val="TableContents"/>
              <w:spacing w:before="0" w:after="283"/>
              <w:rPr/>
            </w:pPr>
            <w:r>
              <w:rPr/>
              <w:t> </w:t>
            </w:r>
          </w:p>
        </w:tc>
      </w:tr>
      <w:tr>
        <w:trPr/>
        <w:tc>
          <w:tcPr>
            <w:tcW w:w="6180" w:type="dxa"/>
            <w:tcBorders/>
            <w:shd w:fill="auto" w:val="clear"/>
            <w:vAlign w:val="center"/>
          </w:tcPr>
          <w:p>
            <w:pPr>
              <w:pStyle w:val="TableContents"/>
              <w:spacing w:before="0" w:after="0"/>
              <w:ind w:left="450" w:right="0" w:hanging="225"/>
              <w:rPr/>
            </w:pPr>
            <w:r>
              <w:rPr/>
              <w:t> </w:t>
            </w:r>
          </w:p>
        </w:tc>
        <w:tc>
          <w:tcPr>
            <w:tcW w:w="407" w:type="dxa"/>
            <w:tcBorders/>
            <w:shd w:fill="auto" w:val="clear"/>
            <w:vAlign w:val="center"/>
          </w:tcPr>
          <w:p>
            <w:pPr>
              <w:pStyle w:val="TableContents"/>
              <w:spacing w:before="0" w:after="283"/>
              <w:rPr/>
            </w:pPr>
            <w:r>
              <w:rPr/>
              <w:t> </w:t>
            </w:r>
          </w:p>
        </w:tc>
        <w:tc>
          <w:tcPr>
            <w:tcW w:w="1339"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79" w:type="dxa"/>
            <w:tcBorders/>
            <w:shd w:fill="auto" w:val="clear"/>
            <w:vAlign w:val="center"/>
          </w:tcPr>
          <w:p>
            <w:pPr>
              <w:pStyle w:val="TableContents"/>
              <w:spacing w:before="0" w:after="283"/>
              <w:rPr/>
            </w:pPr>
            <w:r>
              <w:rPr/>
              <w:t> </w:t>
            </w:r>
          </w:p>
        </w:tc>
        <w:tc>
          <w:tcPr>
            <w:tcW w:w="420" w:type="dxa"/>
            <w:tcBorders/>
            <w:shd w:fill="auto" w:val="clear"/>
            <w:vAlign w:val="center"/>
          </w:tcPr>
          <w:p>
            <w:pPr>
              <w:pStyle w:val="TableContents"/>
              <w:spacing w:before="0" w:after="283"/>
              <w:rPr/>
            </w:pPr>
            <w:r>
              <w:rPr/>
              <w:t> </w:t>
            </w:r>
          </w:p>
        </w:tc>
        <w:tc>
          <w:tcPr>
            <w:tcW w:w="1342"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38" w:type="dxa"/>
            <w:tcBorders/>
            <w:shd w:fill="auto" w:val="clear"/>
            <w:vAlign w:val="center"/>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225" w:right="0" w:hanging="225"/>
              <w:rPr/>
            </w:pPr>
            <w:r>
              <w:rPr/>
              <w:t>Other data:</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rPr/>
            </w:pPr>
            <w:r>
              <w:rPr/>
              <w:t> </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rPr/>
            </w:pPr>
            <w:r>
              <w:rPr/>
              <w:t> </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450" w:right="0" w:hanging="225"/>
              <w:rPr/>
            </w:pPr>
            <w:r>
              <w:rPr/>
              <w:t>Gross margin on sales</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33" w:type="dxa"/>
            <w:tcBorders/>
            <w:shd w:fill="auto" w:val="clear"/>
            <w:vAlign w:val="bottom"/>
          </w:tcPr>
          <w:p>
            <w:pPr>
              <w:pStyle w:val="TableContents"/>
              <w:spacing w:before="0" w:after="283"/>
              <w:jc w:val="right"/>
              <w:rPr/>
            </w:pPr>
            <w:r>
              <w:rPr/>
              <w:t>40</w:t>
            </w:r>
          </w:p>
        </w:tc>
        <w:tc>
          <w:tcPr>
            <w:tcW w:w="279"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283"/>
              <w:jc w:val="right"/>
              <w:rPr/>
            </w:pPr>
            <w:r>
              <w:rPr/>
              <w:t>41</w:t>
            </w:r>
          </w:p>
        </w:tc>
        <w:tc>
          <w:tcPr>
            <w:tcW w:w="238" w:type="dxa"/>
            <w:tcBorders/>
            <w:shd w:fill="auto" w:val="clear"/>
            <w:vAlign w:val="bottom"/>
          </w:tcPr>
          <w:p>
            <w:pPr>
              <w:pStyle w:val="TableContents"/>
              <w:spacing w:before="0" w:after="283"/>
              <w:rPr/>
            </w:pPr>
            <w:r>
              <w:rPr/>
              <w:t>%</w:t>
            </w:r>
          </w:p>
        </w:tc>
      </w:tr>
      <w:tr>
        <w:trPr/>
        <w:tc>
          <w:tcPr>
            <w:tcW w:w="6180" w:type="dxa"/>
            <w:tcBorders/>
            <w:shd w:fill="CCEEFF" w:val="clear"/>
            <w:vAlign w:val="bottom"/>
          </w:tcPr>
          <w:p>
            <w:pPr>
              <w:pStyle w:val="TableContents"/>
              <w:spacing w:before="0" w:after="0"/>
              <w:ind w:left="450" w:right="0" w:hanging="225"/>
              <w:rPr/>
            </w:pPr>
            <w:r>
              <w:rPr/>
              <w:t>Annualized inventory turnover</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3.4</w:t>
            </w:r>
          </w:p>
        </w:tc>
        <w:tc>
          <w:tcPr>
            <w:tcW w:w="279" w:type="dxa"/>
            <w:tcBorders/>
            <w:shd w:fill="CCEEFF" w:val="clear"/>
            <w:vAlign w:val="bottom"/>
          </w:tcPr>
          <w:p>
            <w:pPr>
              <w:pStyle w:val="TableContents"/>
              <w:spacing w:before="0" w:after="283"/>
              <w:jc w:val="left"/>
              <w:rPr/>
            </w:pPr>
            <w:r>
              <w:rPr/>
              <w:t>x</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rPr/>
            </w:pPr>
            <w:r>
              <w:rPr/>
              <w:t> </w:t>
            </w:r>
          </w:p>
        </w:tc>
        <w:tc>
          <w:tcPr>
            <w:tcW w:w="1136" w:type="dxa"/>
            <w:tcBorders/>
            <w:shd w:fill="CCEEFF" w:val="clear"/>
            <w:vAlign w:val="bottom"/>
          </w:tcPr>
          <w:p>
            <w:pPr>
              <w:pStyle w:val="TableContents"/>
              <w:spacing w:before="0" w:after="283"/>
              <w:jc w:val="right"/>
              <w:rPr/>
            </w:pPr>
            <w:r>
              <w:rPr/>
              <w:t>3.2</w:t>
            </w:r>
          </w:p>
        </w:tc>
        <w:tc>
          <w:tcPr>
            <w:tcW w:w="238" w:type="dxa"/>
            <w:tcBorders/>
            <w:shd w:fill="CCEEFF" w:val="clear"/>
            <w:vAlign w:val="bottom"/>
          </w:tcPr>
          <w:p>
            <w:pPr>
              <w:pStyle w:val="TableContents"/>
              <w:spacing w:before="0" w:after="283"/>
              <w:jc w:val="left"/>
              <w:rPr/>
            </w:pPr>
            <w:r>
              <w:rPr/>
              <w:t>x</w:t>
            </w:r>
          </w:p>
        </w:tc>
      </w:tr>
      <w:tr>
        <w:trPr/>
        <w:tc>
          <w:tcPr>
            <w:tcW w:w="6180" w:type="dxa"/>
            <w:tcBorders/>
            <w:shd w:fill="auto" w:val="clear"/>
            <w:vAlign w:val="bottom"/>
          </w:tcPr>
          <w:p>
            <w:pPr>
              <w:pStyle w:val="TableContents"/>
              <w:spacing w:before="0" w:after="0"/>
              <w:ind w:left="450" w:right="0" w:hanging="225"/>
              <w:rPr/>
            </w:pPr>
            <w:r>
              <w:rPr/>
              <w:t>Average pawn loan balance per pawn store at period end</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33" w:type="dxa"/>
            <w:tcBorders/>
            <w:shd w:fill="auto" w:val="clear"/>
            <w:vAlign w:val="bottom"/>
          </w:tcPr>
          <w:p>
            <w:pPr>
              <w:pStyle w:val="TableContents"/>
              <w:spacing w:before="0" w:after="283"/>
              <w:jc w:val="right"/>
              <w:rPr/>
            </w:pPr>
            <w:r>
              <w:rPr/>
              <w:t>195</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36" w:type="dxa"/>
            <w:tcBorders/>
            <w:shd w:fill="auto" w:val="clear"/>
            <w:vAlign w:val="bottom"/>
          </w:tcPr>
          <w:p>
            <w:pPr>
              <w:pStyle w:val="TableContents"/>
              <w:spacing w:before="0" w:after="283"/>
              <w:jc w:val="right"/>
              <w:rPr/>
            </w:pPr>
            <w:r>
              <w:rPr/>
              <w:t>175</w:t>
            </w:r>
          </w:p>
        </w:tc>
        <w:tc>
          <w:tcPr>
            <w:tcW w:w="238" w:type="dxa"/>
            <w:tcBorders/>
            <w:shd w:fill="auto" w:val="clear"/>
            <w:vAlign w:val="bottom"/>
          </w:tcPr>
          <w:p>
            <w:pPr>
              <w:pStyle w:val="TableContents"/>
              <w:spacing w:before="0" w:after="283"/>
              <w:rPr/>
            </w:pPr>
            <w:r>
              <w:rPr/>
              <w:t> </w:t>
            </w:r>
          </w:p>
        </w:tc>
      </w:tr>
      <w:tr>
        <w:trPr/>
        <w:tc>
          <w:tcPr>
            <w:tcW w:w="6180" w:type="dxa"/>
            <w:tcBorders/>
            <w:shd w:fill="CCEEFF" w:val="clear"/>
            <w:vAlign w:val="bottom"/>
          </w:tcPr>
          <w:p>
            <w:pPr>
              <w:pStyle w:val="TableContents"/>
              <w:spacing w:before="0" w:after="0"/>
              <w:ind w:left="450" w:right="0" w:hanging="225"/>
              <w:rPr/>
            </w:pPr>
            <w:r>
              <w:rPr/>
              <w:t>Average inventory per pawn store at period end</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33" w:type="dxa"/>
            <w:tcBorders/>
            <w:shd w:fill="CCEEFF" w:val="clear"/>
            <w:vAlign w:val="bottom"/>
          </w:tcPr>
          <w:p>
            <w:pPr>
              <w:pStyle w:val="TableContents"/>
              <w:spacing w:before="0" w:after="283"/>
              <w:jc w:val="right"/>
              <w:rPr/>
            </w:pPr>
            <w:r>
              <w:rPr/>
              <w:t>113</w:t>
            </w:r>
          </w:p>
        </w:tc>
        <w:tc>
          <w:tcPr>
            <w:tcW w:w="279" w:type="dxa"/>
            <w:tcBorders/>
            <w:shd w:fill="CCEEFF" w:val="clear"/>
            <w:vAlign w:val="bottom"/>
          </w:tcPr>
          <w:p>
            <w:pPr>
              <w:pStyle w:val="TableContents"/>
              <w:spacing w:before="0" w:after="283"/>
              <w:rPr/>
            </w:pPr>
            <w:r>
              <w:rPr/>
              <w:t> </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w:t>
            </w:r>
          </w:p>
        </w:tc>
        <w:tc>
          <w:tcPr>
            <w:tcW w:w="1136" w:type="dxa"/>
            <w:tcBorders/>
            <w:shd w:fill="CCEEFF" w:val="clear"/>
            <w:vAlign w:val="bottom"/>
          </w:tcPr>
          <w:p>
            <w:pPr>
              <w:pStyle w:val="TableContents"/>
              <w:spacing w:before="0" w:after="283"/>
              <w:jc w:val="right"/>
              <w:rPr/>
            </w:pPr>
            <w:r>
              <w:rPr/>
              <w:t>118</w:t>
            </w:r>
          </w:p>
        </w:tc>
        <w:tc>
          <w:tcPr>
            <w:tcW w:w="238" w:type="dxa"/>
            <w:tcBorders/>
            <w:shd w:fill="CCEEFF" w:val="clear"/>
            <w:vAlign w:val="bottom"/>
          </w:tcPr>
          <w:p>
            <w:pPr>
              <w:pStyle w:val="TableContents"/>
              <w:spacing w:before="0" w:after="283"/>
              <w:rPr/>
            </w:pPr>
            <w:r>
              <w:rPr/>
              <w:t> </w:t>
            </w:r>
          </w:p>
        </w:tc>
      </w:tr>
      <w:tr>
        <w:trPr/>
        <w:tc>
          <w:tcPr>
            <w:tcW w:w="6180" w:type="dxa"/>
            <w:tcBorders/>
            <w:shd w:fill="auto" w:val="clear"/>
            <w:vAlign w:val="bottom"/>
          </w:tcPr>
          <w:p>
            <w:pPr>
              <w:pStyle w:val="TableContents"/>
              <w:spacing w:before="0" w:after="0"/>
              <w:ind w:left="450" w:right="0" w:hanging="225"/>
              <w:rPr/>
            </w:pPr>
            <w:r>
              <w:rPr/>
              <w:t>Average yield on pawn loan portfolio (a)</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33" w:type="dxa"/>
            <w:tcBorders/>
            <w:shd w:fill="auto" w:val="clear"/>
            <w:vAlign w:val="bottom"/>
          </w:tcPr>
          <w:p>
            <w:pPr>
              <w:pStyle w:val="TableContents"/>
              <w:spacing w:before="0" w:after="283"/>
              <w:jc w:val="right"/>
              <w:rPr/>
            </w:pPr>
            <w:r>
              <w:rPr/>
              <w:t>142</w:t>
            </w:r>
          </w:p>
        </w:tc>
        <w:tc>
          <w:tcPr>
            <w:tcW w:w="279" w:type="dxa"/>
            <w:tcBorders/>
            <w:shd w:fill="auto" w:val="clear"/>
            <w:vAlign w:val="bottom"/>
          </w:tcPr>
          <w:p>
            <w:pPr>
              <w:pStyle w:val="TableContents"/>
              <w:spacing w:before="0" w:after="283"/>
              <w:rPr/>
            </w:pPr>
            <w:r>
              <w:rPr/>
              <w:t>%</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 </w:t>
            </w:r>
          </w:p>
        </w:tc>
        <w:tc>
          <w:tcPr>
            <w:tcW w:w="1136" w:type="dxa"/>
            <w:tcBorders/>
            <w:shd w:fill="auto" w:val="clear"/>
            <w:vAlign w:val="bottom"/>
          </w:tcPr>
          <w:p>
            <w:pPr>
              <w:pStyle w:val="TableContents"/>
              <w:spacing w:before="0" w:after="283"/>
              <w:jc w:val="right"/>
              <w:rPr/>
            </w:pPr>
            <w:r>
              <w:rPr/>
              <w:t>137</w:t>
            </w:r>
          </w:p>
        </w:tc>
        <w:tc>
          <w:tcPr>
            <w:tcW w:w="238" w:type="dxa"/>
            <w:tcBorders/>
            <w:shd w:fill="auto" w:val="clear"/>
            <w:vAlign w:val="bottom"/>
          </w:tcPr>
          <w:p>
            <w:pPr>
              <w:pStyle w:val="TableContents"/>
              <w:spacing w:before="0" w:after="283"/>
              <w:rPr/>
            </w:pPr>
            <w:r>
              <w:rPr/>
              <w:t>%</w:t>
            </w:r>
          </w:p>
        </w:tc>
      </w:tr>
      <w:tr>
        <w:trPr/>
        <w:tc>
          <w:tcPr>
            <w:tcW w:w="6180" w:type="dxa"/>
            <w:tcBorders/>
            <w:shd w:fill="CCEEFF" w:val="clear"/>
            <w:vAlign w:val="bottom"/>
          </w:tcPr>
          <w:p>
            <w:pPr>
              <w:pStyle w:val="TableContents"/>
              <w:spacing w:before="0" w:after="0"/>
              <w:ind w:left="450" w:right="0" w:hanging="225"/>
              <w:rPr/>
            </w:pPr>
            <w:r>
              <w:rPr/>
              <w:t>Pawn loan redemption rate</w:t>
            </w:r>
          </w:p>
        </w:tc>
        <w:tc>
          <w:tcPr>
            <w:tcW w:w="407"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133" w:type="dxa"/>
            <w:tcBorders/>
            <w:shd w:fill="CCEEFF" w:val="clear"/>
            <w:vAlign w:val="bottom"/>
          </w:tcPr>
          <w:p>
            <w:pPr>
              <w:pStyle w:val="TableContents"/>
              <w:spacing w:before="0" w:after="283"/>
              <w:jc w:val="right"/>
              <w:rPr/>
            </w:pPr>
            <w:r>
              <w:rPr/>
              <w:t>78</w:t>
            </w:r>
          </w:p>
        </w:tc>
        <w:tc>
          <w:tcPr>
            <w:tcW w:w="279" w:type="dxa"/>
            <w:tcBorders/>
            <w:shd w:fill="CCEEFF" w:val="clear"/>
            <w:vAlign w:val="bottom"/>
          </w:tcPr>
          <w:p>
            <w:pPr>
              <w:pStyle w:val="TableContents"/>
              <w:spacing w:before="0" w:after="283"/>
              <w:rPr/>
            </w:pPr>
            <w:r>
              <w:rPr/>
              <w:t>%</w:t>
            </w:r>
          </w:p>
        </w:tc>
        <w:tc>
          <w:tcPr>
            <w:tcW w:w="420" w:type="dxa"/>
            <w:tcBorders/>
            <w:shd w:fill="CCEEFF" w:val="clear"/>
            <w:vAlign w:val="bottom"/>
          </w:tcPr>
          <w:p>
            <w:pPr>
              <w:pStyle w:val="TableContents"/>
              <w:spacing w:before="0" w:after="283"/>
              <w:rPr/>
            </w:pPr>
            <w:r>
              <w:rPr/>
              <w:t> </w:t>
            </w:r>
          </w:p>
        </w:tc>
        <w:tc>
          <w:tcPr>
            <w:tcW w:w="206" w:type="dxa"/>
            <w:tcBorders/>
            <w:shd w:fill="CCEEFF" w:val="clear"/>
            <w:vAlign w:val="bottom"/>
          </w:tcPr>
          <w:p>
            <w:pPr>
              <w:pStyle w:val="TableContents"/>
              <w:spacing w:before="0" w:after="283"/>
              <w:jc w:val="left"/>
              <w:rPr/>
            </w:pPr>
            <w:r>
              <w:rPr/>
              <w:t> </w:t>
            </w:r>
          </w:p>
        </w:tc>
        <w:tc>
          <w:tcPr>
            <w:tcW w:w="1136" w:type="dxa"/>
            <w:tcBorders/>
            <w:shd w:fill="CCEEFF" w:val="clear"/>
            <w:vAlign w:val="bottom"/>
          </w:tcPr>
          <w:p>
            <w:pPr>
              <w:pStyle w:val="TableContents"/>
              <w:spacing w:before="0" w:after="283"/>
              <w:jc w:val="right"/>
              <w:rPr/>
            </w:pPr>
            <w:r>
              <w:rPr/>
              <w:t>77</w:t>
            </w:r>
          </w:p>
        </w:tc>
        <w:tc>
          <w:tcPr>
            <w:tcW w:w="238" w:type="dxa"/>
            <w:tcBorders/>
            <w:shd w:fill="CCEEFF" w:val="clear"/>
            <w:vAlign w:val="bottom"/>
          </w:tcPr>
          <w:p>
            <w:pPr>
              <w:pStyle w:val="TableContents"/>
              <w:spacing w:before="0" w:after="283"/>
              <w:rPr/>
            </w:pPr>
            <w:r>
              <w:rPr/>
              <w:t>%</w:t>
            </w:r>
          </w:p>
        </w:tc>
      </w:tr>
      <w:tr>
        <w:trPr/>
        <w:tc>
          <w:tcPr>
            <w:tcW w:w="6180" w:type="dxa"/>
            <w:tcBorders/>
            <w:shd w:fill="auto" w:val="clear"/>
            <w:vAlign w:val="bottom"/>
          </w:tcPr>
          <w:p>
            <w:pPr>
              <w:pStyle w:val="TableContents"/>
              <w:spacing w:before="0" w:after="0"/>
              <w:ind w:left="450" w:right="0" w:hanging="225"/>
              <w:rPr/>
            </w:pPr>
            <w:r>
              <w:rPr/>
              <w:t>Average signature loan balance per store offering signature loans at period end (b)</w:t>
            </w:r>
          </w:p>
        </w:tc>
        <w:tc>
          <w:tcPr>
            <w:tcW w:w="407"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33" w:type="dxa"/>
            <w:tcBorders/>
            <w:shd w:fill="auto" w:val="clear"/>
            <w:vAlign w:val="bottom"/>
          </w:tcPr>
          <w:p>
            <w:pPr>
              <w:pStyle w:val="TableContents"/>
              <w:spacing w:before="0" w:after="283"/>
              <w:jc w:val="right"/>
              <w:rPr/>
            </w:pPr>
            <w:r>
              <w:rPr/>
              <w:t>11</w:t>
            </w:r>
          </w:p>
        </w:tc>
        <w:tc>
          <w:tcPr>
            <w:tcW w:w="279" w:type="dxa"/>
            <w:tcBorders/>
            <w:shd w:fill="auto" w:val="clear"/>
            <w:vAlign w:val="bottom"/>
          </w:tcPr>
          <w:p>
            <w:pPr>
              <w:pStyle w:val="TableContents"/>
              <w:spacing w:before="0" w:after="283"/>
              <w:rPr/>
            </w:pPr>
            <w:r>
              <w:rPr/>
              <w:t> </w:t>
            </w:r>
          </w:p>
        </w:tc>
        <w:tc>
          <w:tcPr>
            <w:tcW w:w="420" w:type="dxa"/>
            <w:tcBorders/>
            <w:shd w:fill="auto" w:val="clear"/>
            <w:vAlign w:val="bottom"/>
          </w:tcPr>
          <w:p>
            <w:pPr>
              <w:pStyle w:val="TableContents"/>
              <w:spacing w:before="0" w:after="283"/>
              <w:rPr/>
            </w:pPr>
            <w:r>
              <w:rPr/>
              <w:t> </w:t>
            </w:r>
          </w:p>
        </w:tc>
        <w:tc>
          <w:tcPr>
            <w:tcW w:w="206" w:type="dxa"/>
            <w:tcBorders/>
            <w:shd w:fill="auto" w:val="clear"/>
            <w:vAlign w:val="bottom"/>
          </w:tcPr>
          <w:p>
            <w:pPr>
              <w:pStyle w:val="TableContents"/>
              <w:spacing w:before="0" w:after="283"/>
              <w:jc w:val="left"/>
              <w:rPr/>
            </w:pPr>
            <w:r>
              <w:rPr/>
              <w:t>$</w:t>
            </w:r>
          </w:p>
        </w:tc>
        <w:tc>
          <w:tcPr>
            <w:tcW w:w="1136" w:type="dxa"/>
            <w:tcBorders/>
            <w:shd w:fill="auto" w:val="clear"/>
            <w:vAlign w:val="bottom"/>
          </w:tcPr>
          <w:p>
            <w:pPr>
              <w:pStyle w:val="TableContents"/>
              <w:spacing w:before="0" w:after="283"/>
              <w:jc w:val="right"/>
              <w:rPr/>
            </w:pPr>
            <w:r>
              <w:rPr/>
              <w:t>11</w:t>
            </w:r>
          </w:p>
        </w:tc>
        <w:tc>
          <w:tcPr>
            <w:tcW w:w="238"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Average yield on pawn loan portfolio is calculated as annualized pawn service charge revenue for the period divided by the average pawn loan balance during the period.</w:t>
            </w:r>
          </w:p>
        </w:tc>
      </w:tr>
      <w:tr>
        <w:trPr/>
        <w:tc>
          <w:tcPr>
            <w:tcW w:w="6829" w:type="dxa"/>
            <w:tcBorders/>
            <w:shd w:fill="auto" w:val="clear"/>
            <w:vAlign w:val="center"/>
          </w:tcPr>
          <w:p>
            <w:pPr>
              <w:pStyle w:val="TableContents"/>
              <w:spacing w:before="0" w:after="283"/>
              <w:rPr/>
            </w:pPr>
            <w:r>
              <w:rPr/>
              <w:t> </w:t>
            </w:r>
          </w:p>
        </w:tc>
        <w:tc>
          <w:tcPr>
            <w:tcW w:w="3376" w:type="dxa"/>
            <w:gridSpan w:val="2"/>
            <w:tcBorders/>
            <w:shd w:fill="auto" w:val="clea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(b)</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current year-to-date pawn service charge revenue increased 10%, or $4.5 million from the prior year to $51.5 million. This was due to a five percentage point increase in loan yields to 142%, coupled with a 6% higher average pawn loan balance. In the last two years, we have periodically raised our loan values on gold jewelry in response to increases in gold market values and similar changes by our competitors. This contributed about $2.8 million to the increase in pawn service charges in the current year-to-date period. The higher yield resulted largely from the fiscal 2006 mid-year conversion of most of our pawn stores from offering 90-day loan terms to offering 60-day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$51.6 million of recorded pawn service charge revenue was collected in cash, offset by a $0.1 million decrease in pawn service charges receivable. In the comparable prior year period, 105% ($49.4 million) of recorded pawn service charge revenue was collected in cash, offset by a $2.4 million decrease in pawn service charges receivable. While we seasonally expect to see a moderate change in the accrued pawn service charges between September 30 and June 30 each year, the decrease was larger in the prior year-to-date period primarily due to shortening the loan term in most of our pawn stores in that period. The accrual of pawn service charges is dependent on the size of the loan portfolio and our estimate of collectible loans in the portfolio at the end of each quarter. </w:t>
      </w:r>
    </w:p>
    <w:p>
      <w:pPr>
        <w:pStyle w:val="TextBody"/>
        <w:jc w:val="center"/>
        <w:rPr>
          <w:rFonts w:ascii="Times New Roman;Times;serif" w:hAnsi="Times New Roman;Times;serif"/>
          <w:sz w:val="17"/>
        </w:rPr>
      </w:pPr>
      <w:r>
        <w:rPr>
          <w:rFonts w:ascii="Times New Roman;Times;serif" w:hAnsi="Times New Roman;Times;serif"/>
          <w:sz w:val="17"/>
        </w:rPr>
        <w:t xml:space="preserve">23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table below summarizes our sales volume, gross profit and gross margins: </w:t>
      </w:r>
    </w:p>
    <w:tbl>
      <w:tblPr>
        <w:tblW w:w="5000" w:type="pct"/>
        <w:jc w:val="center"/>
        <w:tblInd w:w="0" w:type="dxa"/>
        <w:tblCellMar>
          <w:top w:w="0" w:type="dxa"/>
          <w:left w:w="0" w:type="dxa"/>
          <w:bottom w:w="0" w:type="dxa"/>
          <w:right w:w="0" w:type="dxa"/>
        </w:tblCellMar>
      </w:tblPr>
      <w:tblGrid>
        <w:gridCol w:w="6052"/>
        <w:gridCol w:w="392"/>
        <w:gridCol w:w="258"/>
        <w:gridCol w:w="1104"/>
        <w:gridCol w:w="360"/>
        <w:gridCol w:w="425"/>
        <w:gridCol w:w="258"/>
        <w:gridCol w:w="1107"/>
        <w:gridCol w:w="249"/>
      </w:tblGrid>
      <w:tr>
        <w:trPr/>
        <w:tc>
          <w:tcPr>
            <w:tcW w:w="6052"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3512" w:type="dxa"/>
            <w:gridSpan w:val="6"/>
            <w:tcBorders/>
            <w:shd w:fill="auto" w:val="clear"/>
            <w:vAlign w:val="bottom"/>
          </w:tcPr>
          <w:p>
            <w:pPr>
              <w:pStyle w:val="TableContents"/>
              <w:spacing w:before="0" w:after="283"/>
              <w:jc w:val="center"/>
              <w:rPr/>
            </w:pPr>
            <w:r>
              <w:rPr/>
              <w:t>Nine Months Ended June 30,</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1362"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60" w:type="dxa"/>
            <w:tcBorders>
              <w:bottom w:val="single" w:sz="2" w:space="0" w:color="000000"/>
            </w:tcBorders>
            <w:shd w:fill="auto" w:val="clear"/>
            <w:tcMar>
              <w:bottom w:w="28" w:type="dxa"/>
            </w:tcMar>
            <w:vAlign w:val="bottom"/>
          </w:tcPr>
          <w:p>
            <w:pPr>
              <w:pStyle w:val="TableContents"/>
              <w:spacing w:before="0" w:after="283"/>
              <w:rPr/>
            </w:pPr>
            <w:r>
              <w:rPr/>
              <w:t> </w:t>
            </w:r>
          </w:p>
        </w:tc>
        <w:tc>
          <w:tcPr>
            <w:tcW w:w="425" w:type="dxa"/>
            <w:tcBorders>
              <w:bottom w:val="single" w:sz="2" w:space="0" w:color="000000"/>
            </w:tcBorders>
            <w:shd w:fill="auto" w:val="clear"/>
            <w:tcMar>
              <w:bottom w:w="28" w:type="dxa"/>
            </w:tcMar>
            <w:vAlign w:val="bottom"/>
          </w:tcPr>
          <w:p>
            <w:pPr>
              <w:pStyle w:val="TableContents"/>
              <w:spacing w:before="0" w:after="283"/>
              <w:rPr/>
            </w:pPr>
            <w:r>
              <w:rPr/>
              <w:t> </w:t>
            </w:r>
          </w:p>
        </w:tc>
        <w:tc>
          <w:tcPr>
            <w:tcW w:w="1365"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283"/>
              <w:rPr/>
            </w:pPr>
            <w:r>
              <w:rPr/>
              <w:t> </w:t>
            </w:r>
          </w:p>
        </w:tc>
        <w:tc>
          <w:tcPr>
            <w:tcW w:w="392" w:type="dxa"/>
            <w:tcBorders/>
            <w:shd w:fill="auto" w:val="clear"/>
            <w:vAlign w:val="bottom"/>
          </w:tcPr>
          <w:p>
            <w:pPr>
              <w:pStyle w:val="TableContents"/>
              <w:spacing w:before="0" w:after="283"/>
              <w:rPr/>
            </w:pPr>
            <w:r>
              <w:rPr/>
              <w:t> </w:t>
            </w:r>
          </w:p>
        </w:tc>
        <w:tc>
          <w:tcPr>
            <w:tcW w:w="3512" w:type="dxa"/>
            <w:gridSpan w:val="6"/>
            <w:tcBorders/>
            <w:shd w:fill="auto" w:val="clear"/>
            <w:vAlign w:val="bottom"/>
          </w:tcPr>
          <w:p>
            <w:pPr>
              <w:pStyle w:val="TableContents"/>
              <w:spacing w:before="0" w:after="283"/>
              <w:jc w:val="center"/>
              <w:rPr>
                <w:i/>
              </w:rPr>
            </w:pPr>
            <w:r>
              <w:rPr>
                <w:i/>
              </w:rPr>
              <w:t>(Dollars in millions)</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0"/>
              <w:ind w:left="225" w:right="0" w:hanging="225"/>
              <w:rPr/>
            </w:pPr>
            <w:r>
              <w:rPr/>
              <w:t> </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6052" w:type="dxa"/>
            <w:tcBorders/>
            <w:shd w:fill="CCEEFF" w:val="clear"/>
            <w:vAlign w:val="bottom"/>
          </w:tcPr>
          <w:p>
            <w:pPr>
              <w:pStyle w:val="TableContents"/>
              <w:spacing w:before="0" w:after="0"/>
              <w:ind w:left="225" w:right="0" w:hanging="225"/>
              <w:rPr/>
            </w:pPr>
            <w:r>
              <w:rPr/>
              <w:t>Merchandise sales</w:t>
            </w:r>
          </w:p>
        </w:tc>
        <w:tc>
          <w:tcPr>
            <w:tcW w:w="39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104" w:type="dxa"/>
            <w:tcBorders/>
            <w:shd w:fill="CCEEFF" w:val="clear"/>
            <w:vAlign w:val="bottom"/>
          </w:tcPr>
          <w:p>
            <w:pPr>
              <w:pStyle w:val="TableContents"/>
              <w:spacing w:before="0" w:after="283"/>
              <w:jc w:val="right"/>
              <w:rPr/>
            </w:pPr>
            <w:r>
              <w:rPr/>
              <w:t>108.0</w:t>
            </w:r>
          </w:p>
        </w:tc>
        <w:tc>
          <w:tcPr>
            <w:tcW w:w="360"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107" w:type="dxa"/>
            <w:tcBorders/>
            <w:shd w:fill="CCEEFF" w:val="clear"/>
            <w:vAlign w:val="bottom"/>
          </w:tcPr>
          <w:p>
            <w:pPr>
              <w:pStyle w:val="TableContents"/>
              <w:spacing w:before="0" w:after="283"/>
              <w:jc w:val="right"/>
              <w:rPr/>
            </w:pPr>
            <w:r>
              <w:rPr/>
              <w:t>104.3</w:t>
            </w:r>
          </w:p>
        </w:tc>
        <w:tc>
          <w:tcPr>
            <w:tcW w:w="249" w:type="dxa"/>
            <w:tcBorders/>
            <w:shd w:fill="CCEEFF"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0"/>
              <w:ind w:left="225" w:right="0" w:hanging="225"/>
              <w:rPr/>
            </w:pPr>
            <w:r>
              <w:rPr/>
              <w:t>Jewelry scrapping sales</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jc w:val="right"/>
              <w:rPr/>
            </w:pPr>
            <w:r>
              <w:rPr/>
              <w:t>33.7</w:t>
            </w:r>
          </w:p>
        </w:tc>
        <w:tc>
          <w:tcPr>
            <w:tcW w:w="3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jc w:val="right"/>
              <w:rPr/>
            </w:pPr>
            <w:r>
              <w:rPr/>
              <w:t>26.3</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center"/>
          </w:tcPr>
          <w:p>
            <w:pPr>
              <w:pStyle w:val="TableContents"/>
              <w:spacing w:before="0" w:after="0"/>
              <w:ind w:left="225" w:right="0" w:hanging="225"/>
              <w:rPr/>
            </w:pPr>
            <w:r>
              <w:rPr/>
              <w:t> </w:t>
            </w:r>
          </w:p>
        </w:tc>
        <w:tc>
          <w:tcPr>
            <w:tcW w:w="392" w:type="dxa"/>
            <w:tcBorders/>
            <w:shd w:fill="auto" w:val="clear"/>
            <w:vAlign w:val="center"/>
          </w:tcPr>
          <w:p>
            <w:pPr>
              <w:pStyle w:val="TableContents"/>
              <w:spacing w:before="0" w:after="283"/>
              <w:rPr/>
            </w:pPr>
            <w:r>
              <w:rPr/>
              <w:t> </w:t>
            </w:r>
          </w:p>
        </w:tc>
        <w:tc>
          <w:tcPr>
            <w:tcW w:w="1362"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0" w:type="dxa"/>
            <w:tcBorders/>
            <w:shd w:fill="auto" w:val="clear"/>
            <w:vAlign w:val="center"/>
          </w:tcPr>
          <w:p>
            <w:pPr>
              <w:pStyle w:val="TableContents"/>
              <w:spacing w:before="0" w:after="283"/>
              <w:rPr/>
            </w:pPr>
            <w:r>
              <w:rPr/>
              <w:t> </w:t>
            </w:r>
          </w:p>
        </w:tc>
        <w:tc>
          <w:tcPr>
            <w:tcW w:w="425" w:type="dxa"/>
            <w:tcBorders/>
            <w:shd w:fill="auto" w:val="clear"/>
            <w:vAlign w:val="center"/>
          </w:tcPr>
          <w:p>
            <w:pPr>
              <w:pStyle w:val="TableContents"/>
              <w:spacing w:before="0" w:after="283"/>
              <w:rPr/>
            </w:pPr>
            <w:r>
              <w:rPr/>
              <w:t> </w:t>
            </w:r>
          </w:p>
        </w:tc>
        <w:tc>
          <w:tcPr>
            <w:tcW w:w="1365"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9" w:type="dxa"/>
            <w:tcBorders/>
            <w:shd w:fill="auto" w:val="clear"/>
            <w:vAlign w:val="center"/>
          </w:tcPr>
          <w:p>
            <w:pPr>
              <w:pStyle w:val="TableContents"/>
              <w:spacing w:before="0" w:after="283"/>
              <w:rPr/>
            </w:pPr>
            <w:r>
              <w:rPr/>
              <w:t> </w:t>
            </w:r>
          </w:p>
        </w:tc>
      </w:tr>
      <w:tr>
        <w:trPr/>
        <w:tc>
          <w:tcPr>
            <w:tcW w:w="6052" w:type="dxa"/>
            <w:tcBorders/>
            <w:shd w:fill="CCEEFF" w:val="clear"/>
            <w:vAlign w:val="bottom"/>
          </w:tcPr>
          <w:p>
            <w:pPr>
              <w:pStyle w:val="TableContents"/>
              <w:spacing w:before="0" w:after="0"/>
              <w:ind w:left="225" w:right="0" w:hanging="225"/>
              <w:rPr/>
            </w:pPr>
            <w:r>
              <w:rPr/>
              <w:t>Total sales</w:t>
            </w:r>
          </w:p>
        </w:tc>
        <w:tc>
          <w:tcPr>
            <w:tcW w:w="39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104" w:type="dxa"/>
            <w:tcBorders/>
            <w:shd w:fill="CCEEFF" w:val="clear"/>
            <w:vAlign w:val="bottom"/>
          </w:tcPr>
          <w:p>
            <w:pPr>
              <w:pStyle w:val="TableContents"/>
              <w:spacing w:before="0" w:after="283"/>
              <w:jc w:val="right"/>
              <w:rPr/>
            </w:pPr>
            <w:r>
              <w:rPr/>
              <w:t>141.7</w:t>
            </w:r>
          </w:p>
        </w:tc>
        <w:tc>
          <w:tcPr>
            <w:tcW w:w="360"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107" w:type="dxa"/>
            <w:tcBorders/>
            <w:shd w:fill="CCEEFF" w:val="clear"/>
            <w:vAlign w:val="bottom"/>
          </w:tcPr>
          <w:p>
            <w:pPr>
              <w:pStyle w:val="TableContents"/>
              <w:spacing w:before="0" w:after="283"/>
              <w:jc w:val="right"/>
              <w:rPr/>
            </w:pPr>
            <w:r>
              <w:rPr/>
              <w:t>130.6</w:t>
            </w:r>
          </w:p>
        </w:tc>
        <w:tc>
          <w:tcPr>
            <w:tcW w:w="249" w:type="dxa"/>
            <w:tcBorders/>
            <w:shd w:fill="CCEEFF"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0"/>
              <w:ind w:left="225" w:right="0" w:hanging="225"/>
              <w:rPr/>
            </w:pPr>
            <w:r>
              <w:rPr/>
              <w:t> </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0"/>
              <w:ind w:left="225" w:right="0" w:hanging="225"/>
              <w:rPr/>
            </w:pPr>
            <w:r>
              <w:rPr/>
              <w:t>Gross profit on merchandise sales</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104" w:type="dxa"/>
            <w:tcBorders/>
            <w:shd w:fill="auto" w:val="clear"/>
            <w:vAlign w:val="bottom"/>
          </w:tcPr>
          <w:p>
            <w:pPr>
              <w:pStyle w:val="TableContents"/>
              <w:spacing w:before="0" w:after="283"/>
              <w:jc w:val="right"/>
              <w:rPr/>
            </w:pPr>
            <w:r>
              <w:rPr/>
              <w:t>44.1</w:t>
            </w:r>
          </w:p>
        </w:tc>
        <w:tc>
          <w:tcPr>
            <w:tcW w:w="3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w:t>
            </w:r>
          </w:p>
        </w:tc>
        <w:tc>
          <w:tcPr>
            <w:tcW w:w="1107" w:type="dxa"/>
            <w:tcBorders/>
            <w:shd w:fill="auto" w:val="clear"/>
            <w:vAlign w:val="bottom"/>
          </w:tcPr>
          <w:p>
            <w:pPr>
              <w:pStyle w:val="TableContents"/>
              <w:spacing w:before="0" w:after="283"/>
              <w:jc w:val="right"/>
              <w:rPr/>
            </w:pPr>
            <w:r>
              <w:rPr/>
              <w:t>43.9</w:t>
            </w:r>
          </w:p>
        </w:tc>
        <w:tc>
          <w:tcPr>
            <w:tcW w:w="249" w:type="dxa"/>
            <w:tcBorders/>
            <w:shd w:fill="auto" w:val="clear"/>
            <w:vAlign w:val="bottom"/>
          </w:tcPr>
          <w:p>
            <w:pPr>
              <w:pStyle w:val="TableContents"/>
              <w:spacing w:before="0" w:after="283"/>
              <w:rPr/>
            </w:pPr>
            <w:r>
              <w:rPr/>
              <w:t> </w:t>
            </w:r>
          </w:p>
        </w:tc>
      </w:tr>
      <w:tr>
        <w:trPr/>
        <w:tc>
          <w:tcPr>
            <w:tcW w:w="6052" w:type="dxa"/>
            <w:tcBorders/>
            <w:shd w:fill="CCEEFF" w:val="clear"/>
            <w:vAlign w:val="bottom"/>
          </w:tcPr>
          <w:p>
            <w:pPr>
              <w:pStyle w:val="TableContents"/>
              <w:spacing w:before="0" w:after="0"/>
              <w:ind w:left="225" w:right="0" w:hanging="225"/>
              <w:rPr/>
            </w:pPr>
            <w:r>
              <w:rPr/>
              <w:t>Gross profit on jewelry scrapping sales</w:t>
            </w:r>
          </w:p>
        </w:tc>
        <w:tc>
          <w:tcPr>
            <w:tcW w:w="39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104" w:type="dxa"/>
            <w:tcBorders/>
            <w:shd w:fill="CCEEFF" w:val="clear"/>
            <w:vAlign w:val="bottom"/>
          </w:tcPr>
          <w:p>
            <w:pPr>
              <w:pStyle w:val="TableContents"/>
              <w:spacing w:before="0" w:after="283"/>
              <w:jc w:val="right"/>
              <w:rPr/>
            </w:pPr>
            <w:r>
              <w:rPr/>
              <w:t>12.0</w:t>
            </w:r>
          </w:p>
        </w:tc>
        <w:tc>
          <w:tcPr>
            <w:tcW w:w="360" w:type="dxa"/>
            <w:tcBorders/>
            <w:shd w:fill="CCEEFF" w:val="clear"/>
            <w:vAlign w:val="bottom"/>
          </w:tcPr>
          <w:p>
            <w:pPr>
              <w:pStyle w:val="TableContents"/>
              <w:spacing w:before="0" w:after="283"/>
              <w:rPr/>
            </w:pPr>
            <w:r>
              <w:rPr/>
              <w:t> </w:t>
            </w:r>
          </w:p>
        </w:tc>
        <w:tc>
          <w:tcPr>
            <w:tcW w:w="42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w:t>
            </w:r>
          </w:p>
        </w:tc>
        <w:tc>
          <w:tcPr>
            <w:tcW w:w="1107" w:type="dxa"/>
            <w:tcBorders/>
            <w:shd w:fill="CCEEFF" w:val="clear"/>
            <w:vAlign w:val="bottom"/>
          </w:tcPr>
          <w:p>
            <w:pPr>
              <w:pStyle w:val="TableContents"/>
              <w:spacing w:before="0" w:after="283"/>
              <w:jc w:val="right"/>
              <w:rPr/>
            </w:pPr>
            <w:r>
              <w:rPr/>
              <w:t>9.0</w:t>
            </w:r>
          </w:p>
        </w:tc>
        <w:tc>
          <w:tcPr>
            <w:tcW w:w="249" w:type="dxa"/>
            <w:tcBorders/>
            <w:shd w:fill="CCEEFF"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0"/>
              <w:ind w:left="225" w:right="0" w:hanging="225"/>
              <w:rPr/>
            </w:pPr>
            <w:r>
              <w:rPr/>
              <w:t> </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4" w:type="dxa"/>
            <w:tcBorders/>
            <w:shd w:fill="auto" w:val="clear"/>
            <w:vAlign w:val="bottom"/>
          </w:tcPr>
          <w:p>
            <w:pPr>
              <w:pStyle w:val="TableContents"/>
              <w:spacing w:before="0" w:after="283"/>
              <w:rPr/>
            </w:pPr>
            <w:r>
              <w:rPr/>
              <w:t> </w:t>
            </w:r>
          </w:p>
        </w:tc>
        <w:tc>
          <w:tcPr>
            <w:tcW w:w="360" w:type="dxa"/>
            <w:tcBorders/>
            <w:shd w:fill="auto" w:val="clear"/>
            <w:vAlign w:val="bottom"/>
          </w:tcPr>
          <w:p>
            <w:pPr>
              <w:pStyle w:val="TableContents"/>
              <w:spacing w:before="0" w:after="283"/>
              <w:rPr/>
            </w:pPr>
            <w:r>
              <w:rPr/>
              <w:t> </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rPr/>
            </w:pPr>
            <w:r>
              <w:rPr/>
              <w:t> </w:t>
            </w:r>
          </w:p>
        </w:tc>
        <w:tc>
          <w:tcPr>
            <w:tcW w:w="1107"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r>
      <w:tr>
        <w:trPr/>
        <w:tc>
          <w:tcPr>
            <w:tcW w:w="6052" w:type="dxa"/>
            <w:tcBorders/>
            <w:shd w:fill="auto" w:val="clear"/>
            <w:vAlign w:val="bottom"/>
          </w:tcPr>
          <w:p>
            <w:pPr>
              <w:pStyle w:val="TableContents"/>
              <w:spacing w:before="0" w:after="0"/>
              <w:ind w:left="225" w:right="0" w:hanging="225"/>
              <w:rPr/>
            </w:pPr>
            <w:r>
              <w:rPr/>
              <w:t>Gross margin on merchandise sales</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40.8</w:t>
            </w:r>
          </w:p>
        </w:tc>
        <w:tc>
          <w:tcPr>
            <w:tcW w:w="360"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283"/>
              <w:jc w:val="right"/>
              <w:rPr/>
            </w:pPr>
            <w:r>
              <w:rPr/>
              <w:t>42.1</w:t>
            </w:r>
          </w:p>
        </w:tc>
        <w:tc>
          <w:tcPr>
            <w:tcW w:w="249" w:type="dxa"/>
            <w:tcBorders/>
            <w:shd w:fill="auto" w:val="clear"/>
            <w:vAlign w:val="bottom"/>
          </w:tcPr>
          <w:p>
            <w:pPr>
              <w:pStyle w:val="TableContents"/>
              <w:spacing w:before="0" w:after="283"/>
              <w:rPr/>
            </w:pPr>
            <w:r>
              <w:rPr/>
              <w:t>%</w:t>
            </w:r>
          </w:p>
        </w:tc>
      </w:tr>
      <w:tr>
        <w:trPr/>
        <w:tc>
          <w:tcPr>
            <w:tcW w:w="6052" w:type="dxa"/>
            <w:tcBorders/>
            <w:shd w:fill="CCEEFF" w:val="clear"/>
            <w:vAlign w:val="bottom"/>
          </w:tcPr>
          <w:p>
            <w:pPr>
              <w:pStyle w:val="TableContents"/>
              <w:spacing w:before="0" w:after="0"/>
              <w:ind w:left="225" w:right="0" w:hanging="225"/>
              <w:rPr/>
            </w:pPr>
            <w:r>
              <w:rPr/>
              <w:t>Gross margin on jewelry scrapping sales</w:t>
            </w:r>
          </w:p>
        </w:tc>
        <w:tc>
          <w:tcPr>
            <w:tcW w:w="392"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 </w:t>
            </w:r>
          </w:p>
        </w:tc>
        <w:tc>
          <w:tcPr>
            <w:tcW w:w="1104" w:type="dxa"/>
            <w:tcBorders/>
            <w:shd w:fill="CCEEFF" w:val="clear"/>
            <w:vAlign w:val="bottom"/>
          </w:tcPr>
          <w:p>
            <w:pPr>
              <w:pStyle w:val="TableContents"/>
              <w:spacing w:before="0" w:after="283"/>
              <w:jc w:val="right"/>
              <w:rPr/>
            </w:pPr>
            <w:r>
              <w:rPr/>
              <w:t>35.6</w:t>
            </w:r>
          </w:p>
        </w:tc>
        <w:tc>
          <w:tcPr>
            <w:tcW w:w="360" w:type="dxa"/>
            <w:tcBorders/>
            <w:shd w:fill="CCEEFF" w:val="clear"/>
            <w:vAlign w:val="bottom"/>
          </w:tcPr>
          <w:p>
            <w:pPr>
              <w:pStyle w:val="TableContents"/>
              <w:spacing w:before="0" w:after="283"/>
              <w:rPr/>
            </w:pPr>
            <w:r>
              <w:rPr/>
              <w:t>%</w:t>
            </w:r>
          </w:p>
        </w:tc>
        <w:tc>
          <w:tcPr>
            <w:tcW w:w="425" w:type="dxa"/>
            <w:tcBorders/>
            <w:shd w:fill="CCEEFF" w:val="clear"/>
            <w:vAlign w:val="bottom"/>
          </w:tcPr>
          <w:p>
            <w:pPr>
              <w:pStyle w:val="TableContents"/>
              <w:spacing w:before="0" w:after="283"/>
              <w:rPr/>
            </w:pPr>
            <w:r>
              <w:rPr/>
              <w:t> </w:t>
            </w:r>
          </w:p>
        </w:tc>
        <w:tc>
          <w:tcPr>
            <w:tcW w:w="258" w:type="dxa"/>
            <w:tcBorders/>
            <w:shd w:fill="CCEEFF" w:val="clear"/>
            <w:vAlign w:val="bottom"/>
          </w:tcPr>
          <w:p>
            <w:pPr>
              <w:pStyle w:val="TableContents"/>
              <w:spacing w:before="0" w:after="283"/>
              <w:jc w:val="left"/>
              <w:rPr/>
            </w:pPr>
            <w:r>
              <w:rPr/>
              <w:t> </w:t>
            </w:r>
          </w:p>
        </w:tc>
        <w:tc>
          <w:tcPr>
            <w:tcW w:w="1107" w:type="dxa"/>
            <w:tcBorders/>
            <w:shd w:fill="CCEEFF" w:val="clear"/>
            <w:vAlign w:val="bottom"/>
          </w:tcPr>
          <w:p>
            <w:pPr>
              <w:pStyle w:val="TableContents"/>
              <w:spacing w:before="0" w:after="283"/>
              <w:jc w:val="right"/>
              <w:rPr/>
            </w:pPr>
            <w:r>
              <w:rPr/>
              <w:t>34.3</w:t>
            </w:r>
          </w:p>
        </w:tc>
        <w:tc>
          <w:tcPr>
            <w:tcW w:w="249" w:type="dxa"/>
            <w:tcBorders/>
            <w:shd w:fill="CCEEFF" w:val="clear"/>
            <w:vAlign w:val="bottom"/>
          </w:tcPr>
          <w:p>
            <w:pPr>
              <w:pStyle w:val="TableContents"/>
              <w:spacing w:before="0" w:after="283"/>
              <w:rPr/>
            </w:pPr>
            <w:r>
              <w:rPr/>
              <w:t>%</w:t>
            </w:r>
          </w:p>
        </w:tc>
      </w:tr>
      <w:tr>
        <w:trPr/>
        <w:tc>
          <w:tcPr>
            <w:tcW w:w="6052" w:type="dxa"/>
            <w:tcBorders/>
            <w:shd w:fill="auto" w:val="clear"/>
            <w:vAlign w:val="bottom"/>
          </w:tcPr>
          <w:p>
            <w:pPr>
              <w:pStyle w:val="TableContents"/>
              <w:spacing w:before="0" w:after="0"/>
              <w:ind w:left="225" w:right="0" w:hanging="225"/>
              <w:rPr/>
            </w:pPr>
            <w:r>
              <w:rPr/>
              <w:t>Overall gross margin</w:t>
            </w:r>
          </w:p>
        </w:tc>
        <w:tc>
          <w:tcPr>
            <w:tcW w:w="392"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104" w:type="dxa"/>
            <w:tcBorders/>
            <w:shd w:fill="auto" w:val="clear"/>
            <w:vAlign w:val="bottom"/>
          </w:tcPr>
          <w:p>
            <w:pPr>
              <w:pStyle w:val="TableContents"/>
              <w:spacing w:before="0" w:after="283"/>
              <w:jc w:val="right"/>
              <w:rPr/>
            </w:pPr>
            <w:r>
              <w:rPr/>
              <w:t>39.6</w:t>
            </w:r>
          </w:p>
        </w:tc>
        <w:tc>
          <w:tcPr>
            <w:tcW w:w="360" w:type="dxa"/>
            <w:tcBorders/>
            <w:shd w:fill="auto" w:val="clear"/>
            <w:vAlign w:val="bottom"/>
          </w:tcPr>
          <w:p>
            <w:pPr>
              <w:pStyle w:val="TableContents"/>
              <w:spacing w:before="0" w:after="283"/>
              <w:rPr/>
            </w:pPr>
            <w:r>
              <w:rPr/>
              <w:t>%</w:t>
            </w:r>
          </w:p>
        </w:tc>
        <w:tc>
          <w:tcPr>
            <w:tcW w:w="425" w:type="dxa"/>
            <w:tcBorders/>
            <w:shd w:fill="auto" w:val="clear"/>
            <w:vAlign w:val="bottom"/>
          </w:tcPr>
          <w:p>
            <w:pPr>
              <w:pStyle w:val="TableContents"/>
              <w:spacing w:before="0" w:after="283"/>
              <w:rPr/>
            </w:pPr>
            <w:r>
              <w:rPr/>
              <w:t> </w:t>
            </w:r>
          </w:p>
        </w:tc>
        <w:tc>
          <w:tcPr>
            <w:tcW w:w="258" w:type="dxa"/>
            <w:tcBorders/>
            <w:shd w:fill="auto" w:val="clear"/>
            <w:vAlign w:val="bottom"/>
          </w:tcPr>
          <w:p>
            <w:pPr>
              <w:pStyle w:val="TableContents"/>
              <w:spacing w:before="0" w:after="283"/>
              <w:jc w:val="left"/>
              <w:rPr/>
            </w:pPr>
            <w:r>
              <w:rPr/>
              <w:t> </w:t>
            </w:r>
          </w:p>
        </w:tc>
        <w:tc>
          <w:tcPr>
            <w:tcW w:w="1107" w:type="dxa"/>
            <w:tcBorders/>
            <w:shd w:fill="auto" w:val="clear"/>
            <w:vAlign w:val="bottom"/>
          </w:tcPr>
          <w:p>
            <w:pPr>
              <w:pStyle w:val="TableContents"/>
              <w:spacing w:before="0" w:after="283"/>
              <w:jc w:val="right"/>
              <w:rPr/>
            </w:pPr>
            <w:r>
              <w:rPr/>
              <w:t>40.5</w:t>
            </w:r>
          </w:p>
        </w:tc>
        <w:tc>
          <w:tcPr>
            <w:tcW w:w="249"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merchandise gross profit increased $0.2 million from the prior year-to-date period to $44.1 million. This was due to a $3.1 million, or 3% increase in same store merchandise sales and a $0.6 million increase in other store sales, mostly offset by a 1.3 percentage point decrease in margins. In the prior year period, we benefited from the doubling of loan forfeitures due to the reduction of loan terms in the majority of our stores. This provided a greater amount of fresh inventory to fuel sales at a better margin. More aggressive discounting of electronics and jewelry also led to lower margins in the current year-to-date period.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gross profit on jewelry scrapping sales increased $3.0 million from the prior year-to-date period to $12.0 million. This was due to a $7.4 million increase in jewelry scrapping sales on 10% more volume, and a 1.3 percentage point improvement in margins. The jewelry scrapping sales include the current year sale of approximately $1.2 million of loose diamonds removed from scrapped jewelry. The proceeds refiners pay us for jewelry has increased in the last year in response to higher gold values. We also increased the amount we loan on jewelry and pay to purchase jewelry from customers, increasing the cost of these items. These factors had a $1.7 million positive net effect on the gross profit from jewelry scrapping sales. Future changes in gold prices would similarly affect the proceeds, cost, and margins on jewelry scrapping.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Selected signature loan data for the EZPAWN Operations segment are as follows: </w:t>
      </w:r>
    </w:p>
    <w:tbl>
      <w:tblPr>
        <w:tblW w:w="5000" w:type="pct"/>
        <w:jc w:val="center"/>
        <w:tblInd w:w="0" w:type="dxa"/>
        <w:tblCellMar>
          <w:top w:w="0" w:type="dxa"/>
          <w:left w:w="0" w:type="dxa"/>
          <w:bottom w:w="0" w:type="dxa"/>
          <w:right w:w="0" w:type="dxa"/>
        </w:tblCellMar>
      </w:tblPr>
      <w:tblGrid>
        <w:gridCol w:w="6000"/>
        <w:gridCol w:w="406"/>
        <w:gridCol w:w="260"/>
        <w:gridCol w:w="1114"/>
        <w:gridCol w:w="361"/>
        <w:gridCol w:w="438"/>
        <w:gridCol w:w="260"/>
        <w:gridCol w:w="1116"/>
        <w:gridCol w:w="250"/>
      </w:tblGrid>
      <w:tr>
        <w:trPr/>
        <w:tc>
          <w:tcPr>
            <w:tcW w:w="600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600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3549" w:type="dxa"/>
            <w:gridSpan w:val="6"/>
            <w:tcBorders/>
            <w:shd w:fill="auto" w:val="clear"/>
            <w:vAlign w:val="bottom"/>
          </w:tcPr>
          <w:p>
            <w:pPr>
              <w:pStyle w:val="TableContents"/>
              <w:spacing w:before="0" w:after="283"/>
              <w:jc w:val="center"/>
              <w:rPr/>
            </w:pPr>
            <w:r>
              <w:rPr/>
              <w:t>Nine Months Ended June 30,</w:t>
            </w:r>
          </w:p>
        </w:tc>
        <w:tc>
          <w:tcPr>
            <w:tcW w:w="250" w:type="dxa"/>
            <w:tcBorders/>
            <w:shd w:fill="auto" w:val="clear"/>
            <w:vAlign w:val="bottom"/>
          </w:tcPr>
          <w:p>
            <w:pPr>
              <w:pStyle w:val="TableContents"/>
              <w:spacing w:before="0" w:after="283"/>
              <w:rPr/>
            </w:pPr>
            <w:r>
              <w:rPr/>
              <w:t> </w:t>
            </w:r>
          </w:p>
        </w:tc>
      </w:tr>
      <w:tr>
        <w:trPr/>
        <w:tc>
          <w:tcPr>
            <w:tcW w:w="600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1374"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61" w:type="dxa"/>
            <w:tcBorders>
              <w:bottom w:val="single" w:sz="2" w:space="0" w:color="000000"/>
            </w:tcBorders>
            <w:shd w:fill="auto" w:val="clear"/>
            <w:tcMar>
              <w:bottom w:w="28" w:type="dxa"/>
            </w:tcMar>
            <w:vAlign w:val="bottom"/>
          </w:tcPr>
          <w:p>
            <w:pPr>
              <w:pStyle w:val="TableContents"/>
              <w:spacing w:before="0" w:after="283"/>
              <w:rPr/>
            </w:pPr>
            <w:r>
              <w:rPr/>
              <w:t> </w:t>
            </w:r>
          </w:p>
        </w:tc>
        <w:tc>
          <w:tcPr>
            <w:tcW w:w="438" w:type="dxa"/>
            <w:tcBorders>
              <w:bottom w:val="single" w:sz="2" w:space="0" w:color="000000"/>
            </w:tcBorders>
            <w:shd w:fill="auto" w:val="clear"/>
            <w:tcMar>
              <w:bottom w:w="28" w:type="dxa"/>
            </w:tcMar>
            <w:vAlign w:val="bottom"/>
          </w:tcPr>
          <w:p>
            <w:pPr>
              <w:pStyle w:val="TableContents"/>
              <w:spacing w:before="0" w:after="283"/>
              <w:rPr/>
            </w:pPr>
            <w:r>
              <w:rPr/>
              <w:t> </w:t>
            </w:r>
          </w:p>
        </w:tc>
        <w:tc>
          <w:tcPr>
            <w:tcW w:w="1376"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50" w:type="dxa"/>
            <w:tcBorders/>
            <w:shd w:fill="auto" w:val="clear"/>
            <w:vAlign w:val="bottom"/>
          </w:tcPr>
          <w:p>
            <w:pPr>
              <w:pStyle w:val="TableContents"/>
              <w:spacing w:before="0" w:after="283"/>
              <w:rPr/>
            </w:pPr>
            <w:r>
              <w:rPr/>
              <w:t> </w:t>
            </w:r>
          </w:p>
        </w:tc>
      </w:tr>
      <w:tr>
        <w:trPr/>
        <w:tc>
          <w:tcPr>
            <w:tcW w:w="600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3549" w:type="dxa"/>
            <w:gridSpan w:val="6"/>
            <w:tcBorders/>
            <w:shd w:fill="auto" w:val="clear"/>
            <w:vAlign w:val="bottom"/>
          </w:tcPr>
          <w:p>
            <w:pPr>
              <w:pStyle w:val="TableContents"/>
              <w:spacing w:before="0" w:after="283"/>
              <w:jc w:val="center"/>
              <w:rPr>
                <w:i/>
              </w:rPr>
            </w:pPr>
            <w:r>
              <w:rPr>
                <w:i/>
              </w:rPr>
              <w:t>(Dollars in thousands)</w:t>
            </w:r>
          </w:p>
        </w:tc>
        <w:tc>
          <w:tcPr>
            <w:tcW w:w="250" w:type="dxa"/>
            <w:tcBorders/>
            <w:shd w:fill="auto" w:val="clear"/>
            <w:vAlign w:val="bottom"/>
          </w:tcPr>
          <w:p>
            <w:pPr>
              <w:pStyle w:val="TableContents"/>
              <w:spacing w:before="0" w:after="283"/>
              <w:rPr/>
            </w:pPr>
            <w:r>
              <w:rPr/>
              <w:t> </w:t>
            </w:r>
          </w:p>
        </w:tc>
      </w:tr>
      <w:tr>
        <w:trPr/>
        <w:tc>
          <w:tcPr>
            <w:tcW w:w="6000" w:type="dxa"/>
            <w:tcBorders/>
            <w:shd w:fill="auto" w:val="clear"/>
            <w:vAlign w:val="bottom"/>
          </w:tcPr>
          <w:p>
            <w:pPr>
              <w:pStyle w:val="TableContents"/>
              <w:spacing w:before="0" w:after="0"/>
              <w:ind w:left="225" w:right="0" w:hanging="225"/>
              <w:rPr/>
            </w:pPr>
            <w:r>
              <w:rPr/>
              <w:t> </w:t>
            </w:r>
          </w:p>
        </w:tc>
        <w:tc>
          <w:tcPr>
            <w:tcW w:w="40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rPr/>
            </w:pPr>
            <w:r>
              <w:rPr/>
              <w:t> </w:t>
            </w:r>
          </w:p>
        </w:tc>
        <w:tc>
          <w:tcPr>
            <w:tcW w:w="361"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rPr/>
            </w:pPr>
            <w:r>
              <w:rPr/>
              <w:t> </w:t>
            </w:r>
          </w:p>
        </w:tc>
        <w:tc>
          <w:tcPr>
            <w:tcW w:w="250" w:type="dxa"/>
            <w:tcBorders/>
            <w:shd w:fill="auto" w:val="clear"/>
            <w:vAlign w:val="bottom"/>
          </w:tcPr>
          <w:p>
            <w:pPr>
              <w:pStyle w:val="TableContents"/>
              <w:spacing w:before="0" w:after="283"/>
              <w:rPr/>
            </w:pPr>
            <w:r>
              <w:rPr/>
              <w:t> </w:t>
            </w:r>
          </w:p>
        </w:tc>
      </w:tr>
      <w:tr>
        <w:trPr/>
        <w:tc>
          <w:tcPr>
            <w:tcW w:w="6000" w:type="dxa"/>
            <w:tcBorders/>
            <w:shd w:fill="CCEEFF" w:val="clear"/>
            <w:vAlign w:val="bottom"/>
          </w:tcPr>
          <w:p>
            <w:pPr>
              <w:pStyle w:val="TableContents"/>
              <w:spacing w:before="0" w:after="0"/>
              <w:ind w:left="225" w:right="0" w:hanging="225"/>
              <w:rPr/>
            </w:pPr>
            <w:r>
              <w:rPr/>
              <w:t>Fee revenue</w:t>
            </w:r>
          </w:p>
        </w:tc>
        <w:tc>
          <w:tcPr>
            <w:tcW w:w="406"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w:t>
            </w:r>
          </w:p>
        </w:tc>
        <w:tc>
          <w:tcPr>
            <w:tcW w:w="1114" w:type="dxa"/>
            <w:tcBorders/>
            <w:shd w:fill="CCEEFF" w:val="clear"/>
            <w:vAlign w:val="bottom"/>
          </w:tcPr>
          <w:p>
            <w:pPr>
              <w:pStyle w:val="TableContents"/>
              <w:spacing w:before="0" w:after="283"/>
              <w:jc w:val="right"/>
              <w:rPr/>
            </w:pPr>
            <w:r>
              <w:rPr/>
              <w:t>2,554</w:t>
            </w:r>
          </w:p>
        </w:tc>
        <w:tc>
          <w:tcPr>
            <w:tcW w:w="361"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w:t>
            </w:r>
          </w:p>
        </w:tc>
        <w:tc>
          <w:tcPr>
            <w:tcW w:w="1116" w:type="dxa"/>
            <w:tcBorders/>
            <w:shd w:fill="CCEEFF" w:val="clear"/>
            <w:vAlign w:val="bottom"/>
          </w:tcPr>
          <w:p>
            <w:pPr>
              <w:pStyle w:val="TableContents"/>
              <w:spacing w:before="0" w:after="283"/>
              <w:jc w:val="right"/>
              <w:rPr/>
            </w:pPr>
            <w:r>
              <w:rPr/>
              <w:t>2,237</w:t>
            </w:r>
          </w:p>
        </w:tc>
        <w:tc>
          <w:tcPr>
            <w:tcW w:w="250" w:type="dxa"/>
            <w:tcBorders/>
            <w:shd w:fill="CCEEFF" w:val="clear"/>
            <w:vAlign w:val="bottom"/>
          </w:tcPr>
          <w:p>
            <w:pPr>
              <w:pStyle w:val="TableContents"/>
              <w:spacing w:before="0" w:after="283"/>
              <w:rPr/>
            </w:pPr>
            <w:r>
              <w:rPr/>
              <w:t> </w:t>
            </w:r>
          </w:p>
        </w:tc>
      </w:tr>
      <w:tr>
        <w:trPr/>
        <w:tc>
          <w:tcPr>
            <w:tcW w:w="6000" w:type="dxa"/>
            <w:tcBorders/>
            <w:shd w:fill="auto" w:val="clear"/>
            <w:vAlign w:val="bottom"/>
          </w:tcPr>
          <w:p>
            <w:pPr>
              <w:pStyle w:val="TableContents"/>
              <w:spacing w:before="0" w:after="0"/>
              <w:ind w:left="225" w:right="0" w:hanging="225"/>
              <w:rPr/>
            </w:pPr>
            <w:r>
              <w:rPr/>
              <w:t>Net bad debt</w:t>
            </w:r>
          </w:p>
        </w:tc>
        <w:tc>
          <w:tcPr>
            <w:tcW w:w="40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14" w:type="dxa"/>
            <w:tcBorders/>
            <w:shd w:fill="auto" w:val="clear"/>
            <w:vAlign w:val="bottom"/>
          </w:tcPr>
          <w:p>
            <w:pPr>
              <w:pStyle w:val="TableContents"/>
              <w:spacing w:before="0" w:after="283"/>
              <w:jc w:val="right"/>
              <w:rPr/>
            </w:pPr>
            <w:r>
              <w:rPr/>
              <w:t>1,070</w:t>
            </w:r>
          </w:p>
        </w:tc>
        <w:tc>
          <w:tcPr>
            <w:tcW w:w="361" w:type="dxa"/>
            <w:tcBorders/>
            <w:shd w:fill="auto" w:val="clear"/>
            <w:vAlign w:val="bottom"/>
          </w:tcPr>
          <w:p>
            <w:pPr>
              <w:pStyle w:val="TableContents"/>
              <w:spacing w:before="0" w:after="283"/>
              <w:rPr/>
            </w:pPr>
            <w:r>
              <w:rPr/>
              <w:t> </w:t>
            </w:r>
          </w:p>
        </w:tc>
        <w:tc>
          <w:tcPr>
            <w:tcW w:w="43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pPr>
            <w:r>
              <w:rPr/>
              <w:t> </w:t>
            </w:r>
          </w:p>
        </w:tc>
        <w:tc>
          <w:tcPr>
            <w:tcW w:w="1116" w:type="dxa"/>
            <w:tcBorders/>
            <w:shd w:fill="auto" w:val="clear"/>
            <w:vAlign w:val="bottom"/>
          </w:tcPr>
          <w:p>
            <w:pPr>
              <w:pStyle w:val="TableContents"/>
              <w:spacing w:before="0" w:after="283"/>
              <w:jc w:val="right"/>
              <w:rPr/>
            </w:pPr>
            <w:r>
              <w:rPr/>
              <w:t>920</w:t>
            </w:r>
          </w:p>
        </w:tc>
        <w:tc>
          <w:tcPr>
            <w:tcW w:w="250" w:type="dxa"/>
            <w:tcBorders/>
            <w:shd w:fill="auto" w:val="clear"/>
            <w:vAlign w:val="bottom"/>
          </w:tcPr>
          <w:p>
            <w:pPr>
              <w:pStyle w:val="TableContents"/>
              <w:spacing w:before="0" w:after="283"/>
              <w:rPr/>
            </w:pPr>
            <w:r>
              <w:rPr/>
              <w:t> </w:t>
            </w:r>
          </w:p>
        </w:tc>
      </w:tr>
      <w:tr>
        <w:trPr/>
        <w:tc>
          <w:tcPr>
            <w:tcW w:w="6000" w:type="dxa"/>
            <w:tcBorders/>
            <w:shd w:fill="auto" w:val="clear"/>
            <w:vAlign w:val="center"/>
          </w:tcPr>
          <w:p>
            <w:pPr>
              <w:pStyle w:val="TableContents"/>
              <w:spacing w:before="0" w:after="0"/>
              <w:ind w:left="225" w:right="0" w:hanging="225"/>
              <w:rPr/>
            </w:pPr>
            <w:r>
              <w:rPr/>
              <w:t> </w:t>
            </w:r>
          </w:p>
        </w:tc>
        <w:tc>
          <w:tcPr>
            <w:tcW w:w="406" w:type="dxa"/>
            <w:tcBorders/>
            <w:shd w:fill="auto" w:val="clear"/>
            <w:vAlign w:val="center"/>
          </w:tcPr>
          <w:p>
            <w:pPr>
              <w:pStyle w:val="TableContents"/>
              <w:spacing w:before="0" w:after="283"/>
              <w:rPr/>
            </w:pPr>
            <w:r>
              <w:rPr/>
              <w:t> </w:t>
            </w:r>
          </w:p>
        </w:tc>
        <w:tc>
          <w:tcPr>
            <w:tcW w:w="1374"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61"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1376"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6000" w:type="dxa"/>
            <w:tcBorders/>
            <w:shd w:fill="CCEEFF" w:val="clear"/>
            <w:vAlign w:val="bottom"/>
          </w:tcPr>
          <w:p>
            <w:pPr>
              <w:pStyle w:val="TableContents"/>
              <w:spacing w:before="0" w:after="0"/>
              <w:ind w:left="450" w:right="0" w:hanging="225"/>
              <w:rPr/>
            </w:pPr>
            <w:r>
              <w:rPr/>
              <w:t>Fee revenue less bad debt</w:t>
            </w:r>
          </w:p>
        </w:tc>
        <w:tc>
          <w:tcPr>
            <w:tcW w:w="406"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w:t>
            </w:r>
          </w:p>
        </w:tc>
        <w:tc>
          <w:tcPr>
            <w:tcW w:w="1114" w:type="dxa"/>
            <w:tcBorders/>
            <w:shd w:fill="CCEEFF" w:val="clear"/>
            <w:vAlign w:val="bottom"/>
          </w:tcPr>
          <w:p>
            <w:pPr>
              <w:pStyle w:val="TableContents"/>
              <w:spacing w:before="0" w:after="283"/>
              <w:jc w:val="right"/>
              <w:rPr/>
            </w:pPr>
            <w:r>
              <w:rPr/>
              <w:t>1,484</w:t>
            </w:r>
          </w:p>
        </w:tc>
        <w:tc>
          <w:tcPr>
            <w:tcW w:w="361" w:type="dxa"/>
            <w:tcBorders/>
            <w:shd w:fill="CCEEFF" w:val="clear"/>
            <w:vAlign w:val="bottom"/>
          </w:tcPr>
          <w:p>
            <w:pPr>
              <w:pStyle w:val="TableContents"/>
              <w:spacing w:before="0" w:after="283"/>
              <w:rPr/>
            </w:pPr>
            <w:r>
              <w:rPr/>
              <w:t> </w:t>
            </w:r>
          </w:p>
        </w:tc>
        <w:tc>
          <w:tcPr>
            <w:tcW w:w="438" w:type="dxa"/>
            <w:tcBorders/>
            <w:shd w:fill="CCEEFF" w:val="clear"/>
            <w:vAlign w:val="bottom"/>
          </w:tcPr>
          <w:p>
            <w:pPr>
              <w:pStyle w:val="TableContents"/>
              <w:spacing w:before="0" w:after="283"/>
              <w:rPr/>
            </w:pPr>
            <w:r>
              <w:rPr/>
              <w:t> </w:t>
            </w:r>
          </w:p>
        </w:tc>
        <w:tc>
          <w:tcPr>
            <w:tcW w:w="260" w:type="dxa"/>
            <w:tcBorders/>
            <w:shd w:fill="CCEEFF" w:val="clear"/>
            <w:vAlign w:val="bottom"/>
          </w:tcPr>
          <w:p>
            <w:pPr>
              <w:pStyle w:val="TableContents"/>
              <w:spacing w:before="0" w:after="283"/>
              <w:jc w:val="left"/>
              <w:rPr/>
            </w:pPr>
            <w:r>
              <w:rPr/>
              <w:t>$</w:t>
            </w:r>
          </w:p>
        </w:tc>
        <w:tc>
          <w:tcPr>
            <w:tcW w:w="1116" w:type="dxa"/>
            <w:tcBorders/>
            <w:shd w:fill="CCEEFF" w:val="clear"/>
            <w:vAlign w:val="bottom"/>
          </w:tcPr>
          <w:p>
            <w:pPr>
              <w:pStyle w:val="TableContents"/>
              <w:spacing w:before="0" w:after="283"/>
              <w:jc w:val="right"/>
              <w:rPr/>
            </w:pPr>
            <w:r>
              <w:rPr/>
              <w:t>1,317</w:t>
            </w:r>
          </w:p>
        </w:tc>
        <w:tc>
          <w:tcPr>
            <w:tcW w:w="250" w:type="dxa"/>
            <w:tcBorders/>
            <w:shd w:fill="CCEEFF" w:val="clear"/>
            <w:vAlign w:val="bottom"/>
          </w:tcPr>
          <w:p>
            <w:pPr>
              <w:pStyle w:val="TableContents"/>
              <w:spacing w:before="0" w:after="283"/>
              <w:rPr/>
            </w:pPr>
            <w:r>
              <w:rPr/>
              <w:t> </w:t>
            </w:r>
          </w:p>
        </w:tc>
      </w:tr>
      <w:tr>
        <w:trPr/>
        <w:tc>
          <w:tcPr>
            <w:tcW w:w="6000" w:type="dxa"/>
            <w:tcBorders/>
            <w:shd w:fill="auto" w:val="clear"/>
            <w:vAlign w:val="center"/>
          </w:tcPr>
          <w:p>
            <w:pPr>
              <w:pStyle w:val="TableContents"/>
              <w:spacing w:before="0" w:after="0"/>
              <w:ind w:left="225" w:right="0" w:hanging="225"/>
              <w:rPr/>
            </w:pPr>
            <w:r>
              <w:rPr/>
              <w:t> </w:t>
            </w:r>
          </w:p>
        </w:tc>
        <w:tc>
          <w:tcPr>
            <w:tcW w:w="406" w:type="dxa"/>
            <w:tcBorders/>
            <w:shd w:fill="auto" w:val="clear"/>
            <w:vAlign w:val="center"/>
          </w:tcPr>
          <w:p>
            <w:pPr>
              <w:pStyle w:val="TableContents"/>
              <w:spacing w:before="0" w:after="283"/>
              <w:rPr/>
            </w:pPr>
            <w:r>
              <w:rPr/>
              <w:t> </w:t>
            </w:r>
          </w:p>
        </w:tc>
        <w:tc>
          <w:tcPr>
            <w:tcW w:w="1374"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61" w:type="dxa"/>
            <w:tcBorders/>
            <w:shd w:fill="auto" w:val="clear"/>
            <w:vAlign w:val="center"/>
          </w:tcPr>
          <w:p>
            <w:pPr>
              <w:pStyle w:val="TableContents"/>
              <w:spacing w:before="0" w:after="283"/>
              <w:rPr/>
            </w:pPr>
            <w:r>
              <w:rPr/>
              <w:t> </w:t>
            </w:r>
          </w:p>
        </w:tc>
        <w:tc>
          <w:tcPr>
            <w:tcW w:w="438" w:type="dxa"/>
            <w:tcBorders/>
            <w:shd w:fill="auto" w:val="clear"/>
            <w:vAlign w:val="center"/>
          </w:tcPr>
          <w:p>
            <w:pPr>
              <w:pStyle w:val="TableContents"/>
              <w:spacing w:before="0" w:after="283"/>
              <w:rPr/>
            </w:pPr>
            <w:r>
              <w:rPr/>
              <w:t> </w:t>
            </w:r>
          </w:p>
        </w:tc>
        <w:tc>
          <w:tcPr>
            <w:tcW w:w="1376"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50" w:type="dxa"/>
            <w:tcBorders/>
            <w:shd w:fill="auto" w:val="clear"/>
            <w:vAlign w:val="center"/>
          </w:tcPr>
          <w:p>
            <w:pPr>
              <w:pStyle w:val="TableContents"/>
              <w:spacing w:before="0" w:after="283"/>
              <w:rPr/>
            </w:pPr>
            <w:r>
              <w:rPr/>
              <w:t> </w:t>
            </w:r>
          </w:p>
        </w:tc>
      </w:tr>
      <w:tr>
        <w:trPr/>
        <w:tc>
          <w:tcPr>
            <w:tcW w:w="6000" w:type="dxa"/>
            <w:tcBorders/>
            <w:shd w:fill="auto" w:val="clear"/>
            <w:vAlign w:val="bottom"/>
          </w:tcPr>
          <w:p>
            <w:pPr>
              <w:pStyle w:val="TableContents"/>
              <w:spacing w:before="0" w:after="0"/>
              <w:ind w:left="225" w:right="0" w:hanging="225"/>
              <w:rPr/>
            </w:pPr>
            <w:r>
              <w:rPr/>
              <w:t>Signature loan bad debt, as a percent of fee revenue</w:t>
            </w:r>
          </w:p>
        </w:tc>
        <w:tc>
          <w:tcPr>
            <w:tcW w:w="406"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 </w:t>
            </w:r>
          </w:p>
        </w:tc>
        <w:tc>
          <w:tcPr>
            <w:tcW w:w="1114" w:type="dxa"/>
            <w:tcBorders/>
            <w:shd w:fill="auto" w:val="clear"/>
            <w:vAlign w:val="bottom"/>
          </w:tcPr>
          <w:p>
            <w:pPr>
              <w:pStyle w:val="TableContents"/>
              <w:spacing w:before="0" w:after="283"/>
              <w:jc w:val="right"/>
              <w:rPr/>
            </w:pPr>
            <w:r>
              <w:rPr/>
              <w:t>41.9</w:t>
            </w:r>
          </w:p>
        </w:tc>
        <w:tc>
          <w:tcPr>
            <w:tcW w:w="361" w:type="dxa"/>
            <w:tcBorders/>
            <w:shd w:fill="auto" w:val="clear"/>
            <w:vAlign w:val="bottom"/>
          </w:tcPr>
          <w:p>
            <w:pPr>
              <w:pStyle w:val="TableContents"/>
              <w:spacing w:before="0" w:after="283"/>
              <w:rPr/>
            </w:pPr>
            <w:r>
              <w:rPr/>
              <w:t>%</w:t>
            </w:r>
          </w:p>
        </w:tc>
        <w:tc>
          <w:tcPr>
            <w:tcW w:w="438"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jc w:val="left"/>
              <w:rPr/>
            </w:pPr>
            <w:r>
              <w:rPr/>
              <w:t> </w:t>
            </w:r>
          </w:p>
        </w:tc>
        <w:tc>
          <w:tcPr>
            <w:tcW w:w="1116" w:type="dxa"/>
            <w:tcBorders/>
            <w:shd w:fill="auto" w:val="clear"/>
            <w:vAlign w:val="bottom"/>
          </w:tcPr>
          <w:p>
            <w:pPr>
              <w:pStyle w:val="TableContents"/>
              <w:spacing w:before="0" w:after="283"/>
              <w:jc w:val="right"/>
              <w:rPr/>
            </w:pPr>
            <w:r>
              <w:rPr/>
              <w:t>41.1</w:t>
            </w:r>
          </w:p>
        </w:tc>
        <w:tc>
          <w:tcPr>
            <w:tcW w:w="250" w:type="dxa"/>
            <w:tcBorders/>
            <w:shd w:fill="auto" w:val="clear"/>
            <w:vAlign w:val="bottom"/>
          </w:tcPr>
          <w:p>
            <w:pPr>
              <w:pStyle w:val="TableContents"/>
              <w:spacing w:before="0" w:after="283"/>
              <w:rPr/>
            </w:pPr>
            <w:r>
              <w:rPr/>
              <w: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 revenue less bad debt, increased $0.2 million, or 13% in the current year-to-date period compared to the prior year period. A 17% increase in same store fee revenues, primarily from higher average loan balances, drove the growth in signature loan contribution. Bad debt as a percent of fee revenues increased slightly from 41.1% of fees in the prior year-to-date period to 41.9% in the current year-to-date period, partially offsetting the fee growth.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improved to 58% of net revenues ($64.9 million) in the current year-to-date period from 62% of net revenues ($63.4 million) in the prior year-to-date period. Included in the current year-to-date period are a $0.6 million reduction in health benefit claims, a $0.4 million reduction in workers compensation expense, and a $0.3 million reversal of a loss contingency. </w:t>
      </w:r>
    </w:p>
    <w:p>
      <w:pPr>
        <w:pStyle w:val="TextBody"/>
        <w:jc w:val="center"/>
        <w:rPr>
          <w:rFonts w:ascii="Times New Roman;Times;serif" w:hAnsi="Times New Roman;Times;serif"/>
          <w:sz w:val="17"/>
        </w:rPr>
      </w:pPr>
      <w:r>
        <w:rPr>
          <w:rFonts w:ascii="Times New Roman;Times;serif" w:hAnsi="Times New Roman;Times;serif"/>
          <w:sz w:val="17"/>
        </w:rPr>
        <w:t xml:space="preserve">24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$7.7 million greater net revenue from pawn activities, $0.2 million greater contribution from signature loans, and $1.5 million higher operations expenses resulted in a $6.4 million overall increase in store operating income from the EZPAWN Operations segment compared to the prior year-to-date period. For the current year-to-date period, EZPAWN Operations made up 65% of consolidated store operating income compared to 68% in the prior year-to-date period. The relative reduction is due to the more rapid growth in the EZMONEY Operations segment.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EZMONEY Operations Segment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table presents selected financial data for the EZMONEY Operations segment: </w:t>
      </w:r>
    </w:p>
    <w:tbl>
      <w:tblPr>
        <w:tblW w:w="5000" w:type="pct"/>
        <w:jc w:val="center"/>
        <w:tblInd w:w="0" w:type="dxa"/>
        <w:tblCellMar>
          <w:top w:w="0" w:type="dxa"/>
          <w:left w:w="0" w:type="dxa"/>
          <w:bottom w:w="0" w:type="dxa"/>
          <w:right w:w="0" w:type="dxa"/>
        </w:tblCellMar>
      </w:tblPr>
      <w:tblGrid>
        <w:gridCol w:w="6091"/>
        <w:gridCol w:w="405"/>
        <w:gridCol w:w="230"/>
        <w:gridCol w:w="1131"/>
        <w:gridCol w:w="315"/>
        <w:gridCol w:w="426"/>
        <w:gridCol w:w="230"/>
        <w:gridCol w:w="1133"/>
        <w:gridCol w:w="244"/>
      </w:tblGrid>
      <w:tr>
        <w:trPr/>
        <w:tc>
          <w:tcPr>
            <w:tcW w:w="609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465" w:type="dxa"/>
            <w:gridSpan w:val="6"/>
            <w:tcBorders/>
            <w:shd w:fill="auto" w:val="clear"/>
            <w:vAlign w:val="bottom"/>
          </w:tcPr>
          <w:p>
            <w:pPr>
              <w:pStyle w:val="TableContents"/>
              <w:spacing w:before="0" w:after="283"/>
              <w:jc w:val="center"/>
              <w:rPr/>
            </w:pPr>
            <w:r>
              <w:rPr/>
              <w:t>Nine Months Ended June 30,</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1361" w:type="dxa"/>
            <w:gridSpan w:val="2"/>
            <w:tcBorders>
              <w:bottom w:val="single" w:sz="2" w:space="0" w:color="000000"/>
            </w:tcBorders>
            <w:shd w:fill="auto" w:val="clear"/>
            <w:tcMar>
              <w:bottom w:w="28" w:type="dxa"/>
            </w:tcMar>
            <w:vAlign w:val="bottom"/>
          </w:tcPr>
          <w:p>
            <w:pPr>
              <w:pStyle w:val="TableContents"/>
              <w:spacing w:before="0" w:after="283"/>
              <w:jc w:val="center"/>
              <w:rPr/>
            </w:pPr>
            <w:r>
              <w:rPr/>
              <w:t>2007</w:t>
            </w:r>
          </w:p>
        </w:tc>
        <w:tc>
          <w:tcPr>
            <w:tcW w:w="315" w:type="dxa"/>
            <w:tcBorders>
              <w:bottom w:val="single" w:sz="2" w:space="0" w:color="000000"/>
            </w:tcBorders>
            <w:shd w:fill="auto" w:val="clear"/>
            <w:tcMar>
              <w:bottom w:w="28" w:type="dxa"/>
            </w:tcMar>
            <w:vAlign w:val="bottom"/>
          </w:tcPr>
          <w:p>
            <w:pPr>
              <w:pStyle w:val="TableContents"/>
              <w:spacing w:before="0" w:after="283"/>
              <w:rPr/>
            </w:pPr>
            <w:r>
              <w:rPr/>
              <w:t> </w:t>
            </w:r>
          </w:p>
        </w:tc>
        <w:tc>
          <w:tcPr>
            <w:tcW w:w="426" w:type="dxa"/>
            <w:tcBorders>
              <w:bottom w:val="single" w:sz="2" w:space="0" w:color="000000"/>
            </w:tcBorders>
            <w:shd w:fill="auto" w:val="clear"/>
            <w:tcMar>
              <w:bottom w:w="28" w:type="dxa"/>
            </w:tcMar>
            <w:vAlign w:val="bottom"/>
          </w:tcPr>
          <w:p>
            <w:pPr>
              <w:pStyle w:val="TableContents"/>
              <w:spacing w:before="0" w:after="283"/>
              <w:rPr/>
            </w:pPr>
            <w:r>
              <w:rPr/>
              <w:t> </w:t>
            </w:r>
          </w:p>
        </w:tc>
        <w:tc>
          <w:tcPr>
            <w:tcW w:w="1363" w:type="dxa"/>
            <w:gridSpan w:val="2"/>
            <w:tcBorders>
              <w:bottom w:val="single" w:sz="2" w:space="0" w:color="000000"/>
            </w:tcBorders>
            <w:shd w:fill="auto" w:val="clear"/>
            <w:tcMar>
              <w:bottom w:w="28" w:type="dxa"/>
            </w:tcMar>
            <w:vAlign w:val="bottom"/>
          </w:tcPr>
          <w:p>
            <w:pPr>
              <w:pStyle w:val="TableContents"/>
              <w:spacing w:before="0" w:after="283"/>
              <w:jc w:val="center"/>
              <w:rPr/>
            </w:pPr>
            <w:r>
              <w:rPr/>
              <w:t>2006</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283"/>
              <w:rPr/>
            </w:pPr>
            <w:r>
              <w:rPr/>
              <w:t> </w:t>
            </w:r>
          </w:p>
        </w:tc>
        <w:tc>
          <w:tcPr>
            <w:tcW w:w="405" w:type="dxa"/>
            <w:tcBorders/>
            <w:shd w:fill="auto" w:val="clear"/>
            <w:vAlign w:val="bottom"/>
          </w:tcPr>
          <w:p>
            <w:pPr>
              <w:pStyle w:val="TableContents"/>
              <w:spacing w:before="0" w:after="283"/>
              <w:rPr/>
            </w:pPr>
            <w:r>
              <w:rPr/>
              <w:t> </w:t>
            </w:r>
          </w:p>
        </w:tc>
        <w:tc>
          <w:tcPr>
            <w:tcW w:w="3465" w:type="dxa"/>
            <w:gridSpan w:val="6"/>
            <w:tcBorders/>
            <w:shd w:fill="auto" w:val="clear"/>
            <w:vAlign w:val="bottom"/>
          </w:tcPr>
          <w:p>
            <w:pPr>
              <w:pStyle w:val="TableContents"/>
              <w:spacing w:before="0" w:after="283"/>
              <w:jc w:val="center"/>
              <w:rPr>
                <w:i/>
              </w:rPr>
            </w:pPr>
            <w:r>
              <w:rPr>
                <w:i/>
              </w:rPr>
              <w:t>(Dollars in thousands)</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0"/>
              <w:ind w:left="225" w:right="0" w:hanging="225"/>
              <w:rPr/>
            </w:pPr>
            <w:r>
              <w:rPr/>
              <w:t> </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r>
      <w:tr>
        <w:trPr/>
        <w:tc>
          <w:tcPr>
            <w:tcW w:w="6091" w:type="dxa"/>
            <w:tcBorders/>
            <w:shd w:fill="CCEEFF" w:val="clear"/>
            <w:vAlign w:val="bottom"/>
          </w:tcPr>
          <w:p>
            <w:pPr>
              <w:pStyle w:val="TableContents"/>
              <w:spacing w:before="0" w:after="0"/>
              <w:ind w:left="450" w:right="0" w:hanging="225"/>
              <w:rPr/>
            </w:pPr>
            <w:r>
              <w:rPr/>
              <w:t>Signature loan fees</w:t>
            </w:r>
          </w:p>
        </w:tc>
        <w:tc>
          <w:tcPr>
            <w:tcW w:w="40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71,578</w:t>
            </w:r>
          </w:p>
        </w:tc>
        <w:tc>
          <w:tcPr>
            <w:tcW w:w="31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33" w:type="dxa"/>
            <w:tcBorders/>
            <w:shd w:fill="CCEEFF" w:val="clear"/>
            <w:vAlign w:val="bottom"/>
          </w:tcPr>
          <w:p>
            <w:pPr>
              <w:pStyle w:val="TableContents"/>
              <w:spacing w:before="0" w:after="283"/>
              <w:jc w:val="right"/>
              <w:rPr/>
            </w:pPr>
            <w:r>
              <w:rPr/>
              <w:t>47,712</w:t>
            </w:r>
          </w:p>
        </w:tc>
        <w:tc>
          <w:tcPr>
            <w:tcW w:w="244" w:type="dxa"/>
            <w:tcBorders/>
            <w:shd w:fill="CCEEFF"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0"/>
              <w:ind w:left="450" w:right="0" w:hanging="225"/>
              <w:rPr/>
            </w:pPr>
            <w:r>
              <w:rPr/>
              <w:t>Signature loan bad debt</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18,016</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11,142</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center"/>
          </w:tcPr>
          <w:p>
            <w:pPr>
              <w:pStyle w:val="TableContents"/>
              <w:spacing w:before="0" w:after="0"/>
              <w:ind w:left="450" w:right="0" w:hanging="225"/>
              <w:rPr/>
            </w:pPr>
            <w:r>
              <w:rPr/>
              <w:t> </w:t>
            </w:r>
          </w:p>
        </w:tc>
        <w:tc>
          <w:tcPr>
            <w:tcW w:w="405" w:type="dxa"/>
            <w:tcBorders/>
            <w:shd w:fill="auto" w:val="clear"/>
            <w:vAlign w:val="center"/>
          </w:tcPr>
          <w:p>
            <w:pPr>
              <w:pStyle w:val="TableContents"/>
              <w:spacing w:before="0" w:after="283"/>
              <w:rPr/>
            </w:pPr>
            <w:r>
              <w:rPr/>
              <w:t> </w:t>
            </w:r>
          </w:p>
        </w:tc>
        <w:tc>
          <w:tcPr>
            <w:tcW w:w="13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r>
        <w:trPr/>
        <w:tc>
          <w:tcPr>
            <w:tcW w:w="6091" w:type="dxa"/>
            <w:tcBorders/>
            <w:shd w:fill="CCEEFF" w:val="clear"/>
            <w:vAlign w:val="bottom"/>
          </w:tcPr>
          <w:p>
            <w:pPr>
              <w:pStyle w:val="TableContents"/>
              <w:spacing w:before="0" w:after="0"/>
              <w:ind w:left="675" w:right="0" w:hanging="225"/>
              <w:rPr/>
            </w:pPr>
            <w:r>
              <w:rPr/>
              <w:t>Fee revenue less bad debt</w:t>
            </w:r>
          </w:p>
        </w:tc>
        <w:tc>
          <w:tcPr>
            <w:tcW w:w="40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pPr>
            <w:r>
              <w:rPr/>
              <w:t>53,562</w:t>
            </w:r>
          </w:p>
        </w:tc>
        <w:tc>
          <w:tcPr>
            <w:tcW w:w="31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rPr/>
            </w:pPr>
            <w:r>
              <w:rPr/>
              <w:t> </w:t>
            </w:r>
          </w:p>
        </w:tc>
        <w:tc>
          <w:tcPr>
            <w:tcW w:w="1133" w:type="dxa"/>
            <w:tcBorders/>
            <w:shd w:fill="CCEEFF" w:val="clear"/>
            <w:vAlign w:val="bottom"/>
          </w:tcPr>
          <w:p>
            <w:pPr>
              <w:pStyle w:val="TableContents"/>
              <w:spacing w:before="0" w:after="283"/>
              <w:jc w:val="right"/>
              <w:rPr/>
            </w:pPr>
            <w:r>
              <w:rPr/>
              <w:t>36,570</w:t>
            </w:r>
          </w:p>
        </w:tc>
        <w:tc>
          <w:tcPr>
            <w:tcW w:w="244" w:type="dxa"/>
            <w:tcBorders/>
            <w:shd w:fill="CCEEFF"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0"/>
              <w:ind w:left="225" w:right="0" w:hanging="225"/>
              <w:rPr/>
            </w:pPr>
            <w:r>
              <w:rPr/>
              <w:t> </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bottom"/>
          </w:tcPr>
          <w:p>
            <w:pPr>
              <w:pStyle w:val="TableContents"/>
              <w:spacing w:before="0" w:after="0"/>
              <w:ind w:left="450" w:right="0" w:hanging="225"/>
              <w:rPr/>
            </w:pPr>
            <w:r>
              <w:rPr/>
              <w:t>Operations expense</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jc w:val="right"/>
              <w:rPr/>
            </w:pPr>
            <w:r>
              <w:rPr/>
              <w:t>29,161</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jc w:val="right"/>
              <w:rPr/>
            </w:pPr>
            <w:r>
              <w:rPr/>
              <w:t>18,694</w:t>
            </w:r>
          </w:p>
        </w:tc>
        <w:tc>
          <w:tcPr>
            <w:tcW w:w="244" w:type="dxa"/>
            <w:tcBorders/>
            <w:shd w:fill="auto" w:val="clear"/>
            <w:vAlign w:val="bottom"/>
          </w:tcPr>
          <w:p>
            <w:pPr>
              <w:pStyle w:val="TableContents"/>
              <w:spacing w:before="0" w:after="283"/>
              <w:rPr/>
            </w:pPr>
            <w:r>
              <w:rPr/>
              <w:t> </w:t>
            </w:r>
          </w:p>
        </w:tc>
      </w:tr>
      <w:tr>
        <w:trPr/>
        <w:tc>
          <w:tcPr>
            <w:tcW w:w="6091" w:type="dxa"/>
            <w:tcBorders/>
            <w:shd w:fill="auto" w:val="clear"/>
            <w:vAlign w:val="center"/>
          </w:tcPr>
          <w:p>
            <w:pPr>
              <w:pStyle w:val="TableContents"/>
              <w:spacing w:before="0" w:after="0"/>
              <w:ind w:left="450" w:right="0" w:hanging="225"/>
              <w:rPr/>
            </w:pPr>
            <w:r>
              <w:rPr/>
              <w:t> </w:t>
            </w:r>
          </w:p>
        </w:tc>
        <w:tc>
          <w:tcPr>
            <w:tcW w:w="405" w:type="dxa"/>
            <w:tcBorders/>
            <w:shd w:fill="auto" w:val="clear"/>
            <w:vAlign w:val="center"/>
          </w:tcPr>
          <w:p>
            <w:pPr>
              <w:pStyle w:val="TableContents"/>
              <w:spacing w:before="0" w:after="283"/>
              <w:rPr/>
            </w:pPr>
            <w:r>
              <w:rPr/>
              <w:t> </w:t>
            </w:r>
          </w:p>
        </w:tc>
        <w:tc>
          <w:tcPr>
            <w:tcW w:w="136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31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63"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r>
        <w:trPr/>
        <w:tc>
          <w:tcPr>
            <w:tcW w:w="6091" w:type="dxa"/>
            <w:tcBorders/>
            <w:shd w:fill="CCEEFF" w:val="clear"/>
            <w:vAlign w:val="bottom"/>
          </w:tcPr>
          <w:p>
            <w:pPr>
              <w:pStyle w:val="TableContents"/>
              <w:spacing w:before="0" w:after="0"/>
              <w:ind w:left="675" w:right="0" w:hanging="225"/>
              <w:rPr/>
            </w:pPr>
            <w:r>
              <w:rPr/>
              <w:t>Store operating income</w:t>
            </w:r>
          </w:p>
        </w:tc>
        <w:tc>
          <w:tcPr>
            <w:tcW w:w="40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31" w:type="dxa"/>
            <w:tcBorders/>
            <w:shd w:fill="CCEEFF" w:val="clear"/>
            <w:vAlign w:val="bottom"/>
          </w:tcPr>
          <w:p>
            <w:pPr>
              <w:pStyle w:val="TableContents"/>
              <w:spacing w:before="0" w:after="283"/>
              <w:jc w:val="right"/>
              <w:rPr/>
            </w:pPr>
            <w:r>
              <w:rPr/>
              <w:t>24,401</w:t>
            </w:r>
          </w:p>
        </w:tc>
        <w:tc>
          <w:tcPr>
            <w:tcW w:w="31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w:t>
            </w:r>
          </w:p>
        </w:tc>
        <w:tc>
          <w:tcPr>
            <w:tcW w:w="1133" w:type="dxa"/>
            <w:tcBorders/>
            <w:shd w:fill="CCEEFF" w:val="clear"/>
            <w:vAlign w:val="bottom"/>
          </w:tcPr>
          <w:p>
            <w:pPr>
              <w:pStyle w:val="TableContents"/>
              <w:spacing w:before="0" w:after="283"/>
              <w:jc w:val="right"/>
              <w:rPr/>
            </w:pPr>
            <w:r>
              <w:rPr/>
              <w:t>17,876</w:t>
            </w:r>
          </w:p>
        </w:tc>
        <w:tc>
          <w:tcPr>
            <w:tcW w:w="244" w:type="dxa"/>
            <w:tcBorders/>
            <w:shd w:fill="CCEEFF" w:val="clear"/>
            <w:vAlign w:val="bottom"/>
          </w:tcPr>
          <w:p>
            <w:pPr>
              <w:pStyle w:val="TableContents"/>
              <w:spacing w:before="0" w:after="283"/>
              <w:rPr/>
            </w:pPr>
            <w:r>
              <w:rPr/>
              <w:t> </w:t>
            </w:r>
          </w:p>
        </w:tc>
      </w:tr>
      <w:tr>
        <w:trPr/>
        <w:tc>
          <w:tcPr>
            <w:tcW w:w="6091" w:type="dxa"/>
            <w:tcBorders/>
            <w:shd w:fill="auto" w:val="clear"/>
            <w:vAlign w:val="center"/>
          </w:tcPr>
          <w:p>
            <w:pPr>
              <w:pStyle w:val="TableContents"/>
              <w:spacing w:before="0" w:after="0"/>
              <w:ind w:left="450" w:right="0" w:hanging="225"/>
              <w:rPr/>
            </w:pPr>
            <w:r>
              <w:rPr/>
              <w:t> </w:t>
            </w:r>
          </w:p>
        </w:tc>
        <w:tc>
          <w:tcPr>
            <w:tcW w:w="405" w:type="dxa"/>
            <w:tcBorders/>
            <w:shd w:fill="auto" w:val="clear"/>
            <w:vAlign w:val="center"/>
          </w:tcPr>
          <w:p>
            <w:pPr>
              <w:pStyle w:val="TableContents"/>
              <w:spacing w:before="0" w:after="283"/>
              <w:rPr/>
            </w:pPr>
            <w:r>
              <w:rPr/>
              <w:t> </w:t>
            </w:r>
          </w:p>
        </w:tc>
        <w:tc>
          <w:tcPr>
            <w:tcW w:w="136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315" w:type="dxa"/>
            <w:tcBorders/>
            <w:shd w:fill="auto" w:val="clear"/>
            <w:vAlign w:val="center"/>
          </w:tcPr>
          <w:p>
            <w:pPr>
              <w:pStyle w:val="TableContents"/>
              <w:spacing w:before="0" w:after="283"/>
              <w:rPr/>
            </w:pPr>
            <w:r>
              <w:rPr/>
              <w:t> </w:t>
            </w:r>
          </w:p>
        </w:tc>
        <w:tc>
          <w:tcPr>
            <w:tcW w:w="426" w:type="dxa"/>
            <w:tcBorders/>
            <w:shd w:fill="auto" w:val="clear"/>
            <w:vAlign w:val="center"/>
          </w:tcPr>
          <w:p>
            <w:pPr>
              <w:pStyle w:val="TableContents"/>
              <w:spacing w:before="0" w:after="283"/>
              <w:rPr/>
            </w:pPr>
            <w:r>
              <w:rPr/>
              <w:t> </w:t>
            </w:r>
          </w:p>
        </w:tc>
        <w:tc>
          <w:tcPr>
            <w:tcW w:w="1363"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244" w:type="dxa"/>
            <w:tcBorders/>
            <w:shd w:fill="auto" w:val="clear"/>
            <w:vAlign w:val="center"/>
          </w:tcPr>
          <w:p>
            <w:pPr>
              <w:pStyle w:val="TableContents"/>
              <w:spacing w:before="0" w:after="283"/>
              <w:rPr/>
            </w:pPr>
            <w:r>
              <w:rPr/>
              <w:t> </w:t>
            </w:r>
          </w:p>
        </w:tc>
      </w:tr>
      <w:tr>
        <w:trPr/>
        <w:tc>
          <w:tcPr>
            <w:tcW w:w="6091" w:type="dxa"/>
            <w:tcBorders/>
            <w:shd w:fill="auto" w:val="clear"/>
            <w:vAlign w:val="bottom"/>
          </w:tcPr>
          <w:p>
            <w:pPr>
              <w:pStyle w:val="TableContents"/>
              <w:spacing w:before="0" w:after="0"/>
              <w:ind w:left="225" w:right="0" w:hanging="225"/>
              <w:rPr/>
            </w:pPr>
            <w:r>
              <w:rPr/>
              <w:t>Other data:</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1" w:type="dxa"/>
            <w:tcBorders/>
            <w:shd w:fill="auto" w:val="clear"/>
            <w:vAlign w:val="bottom"/>
          </w:tcPr>
          <w:p>
            <w:pPr>
              <w:pStyle w:val="TableContents"/>
              <w:spacing w:before="0" w:after="283"/>
              <w:rPr/>
            </w:pPr>
            <w:r>
              <w:rPr/>
              <w:t> </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rPr/>
            </w:pPr>
            <w:r>
              <w:rPr/>
              <w:t> </w:t>
            </w:r>
          </w:p>
        </w:tc>
        <w:tc>
          <w:tcPr>
            <w:tcW w:w="1133"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r>
      <w:tr>
        <w:trPr/>
        <w:tc>
          <w:tcPr>
            <w:tcW w:w="6091" w:type="dxa"/>
            <w:tcBorders/>
            <w:shd w:fill="CCEEFF" w:val="clear"/>
            <w:vAlign w:val="bottom"/>
          </w:tcPr>
          <w:p>
            <w:pPr>
              <w:pStyle w:val="TableContents"/>
              <w:spacing w:before="0" w:after="0"/>
              <w:ind w:left="450" w:right="0" w:hanging="225"/>
              <w:rPr/>
            </w:pPr>
            <w:r>
              <w:rPr/>
              <w:t>Signature loan bad debt as a percent of signature loan fees</w:t>
            </w:r>
          </w:p>
        </w:tc>
        <w:tc>
          <w:tcPr>
            <w:tcW w:w="405"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131" w:type="dxa"/>
            <w:tcBorders/>
            <w:shd w:fill="CCEEFF" w:val="clear"/>
            <w:vAlign w:val="bottom"/>
          </w:tcPr>
          <w:p>
            <w:pPr>
              <w:pStyle w:val="TableContents"/>
              <w:spacing w:before="0" w:after="283"/>
              <w:jc w:val="right"/>
              <w:rPr/>
            </w:pPr>
            <w:r>
              <w:rPr/>
              <w:t>25.2</w:t>
            </w:r>
          </w:p>
        </w:tc>
        <w:tc>
          <w:tcPr>
            <w:tcW w:w="315" w:type="dxa"/>
            <w:tcBorders/>
            <w:shd w:fill="CCEEFF" w:val="clear"/>
            <w:vAlign w:val="bottom"/>
          </w:tcPr>
          <w:p>
            <w:pPr>
              <w:pStyle w:val="TableContents"/>
              <w:spacing w:before="0" w:after="283"/>
              <w:rPr/>
            </w:pPr>
            <w:r>
              <w:rPr/>
              <w:t>%</w:t>
            </w:r>
          </w:p>
        </w:tc>
        <w:tc>
          <w:tcPr>
            <w:tcW w:w="426" w:type="dxa"/>
            <w:tcBorders/>
            <w:shd w:fill="CCEEFF" w:val="clear"/>
            <w:vAlign w:val="bottom"/>
          </w:tcPr>
          <w:p>
            <w:pPr>
              <w:pStyle w:val="TableContents"/>
              <w:spacing w:before="0" w:after="283"/>
              <w:rPr/>
            </w:pPr>
            <w:r>
              <w:rPr/>
              <w:t> </w:t>
            </w:r>
          </w:p>
        </w:tc>
        <w:tc>
          <w:tcPr>
            <w:tcW w:w="230" w:type="dxa"/>
            <w:tcBorders/>
            <w:shd w:fill="CCEEFF" w:val="clear"/>
            <w:vAlign w:val="bottom"/>
          </w:tcPr>
          <w:p>
            <w:pPr>
              <w:pStyle w:val="TableContents"/>
              <w:spacing w:before="0" w:after="283"/>
              <w:jc w:val="left"/>
              <w:rPr/>
            </w:pPr>
            <w:r>
              <w:rPr/>
              <w:t> </w:t>
            </w:r>
          </w:p>
        </w:tc>
        <w:tc>
          <w:tcPr>
            <w:tcW w:w="1133" w:type="dxa"/>
            <w:tcBorders/>
            <w:shd w:fill="CCEEFF" w:val="clear"/>
            <w:vAlign w:val="bottom"/>
          </w:tcPr>
          <w:p>
            <w:pPr>
              <w:pStyle w:val="TableContents"/>
              <w:spacing w:before="0" w:after="283"/>
              <w:jc w:val="right"/>
              <w:rPr/>
            </w:pPr>
            <w:r>
              <w:rPr/>
              <w:t>23.4</w:t>
            </w:r>
          </w:p>
        </w:tc>
        <w:tc>
          <w:tcPr>
            <w:tcW w:w="244" w:type="dxa"/>
            <w:tcBorders/>
            <w:shd w:fill="CCEEFF" w:val="clear"/>
            <w:vAlign w:val="bottom"/>
          </w:tcPr>
          <w:p>
            <w:pPr>
              <w:pStyle w:val="TableContents"/>
              <w:spacing w:before="0" w:after="283"/>
              <w:rPr/>
            </w:pPr>
            <w:r>
              <w:rPr/>
              <w:t>%</w:t>
            </w:r>
          </w:p>
        </w:tc>
      </w:tr>
      <w:tr>
        <w:trPr/>
        <w:tc>
          <w:tcPr>
            <w:tcW w:w="6091" w:type="dxa"/>
            <w:tcBorders/>
            <w:shd w:fill="auto" w:val="clear"/>
            <w:vAlign w:val="bottom"/>
          </w:tcPr>
          <w:p>
            <w:pPr>
              <w:pStyle w:val="TableContents"/>
              <w:spacing w:before="0" w:after="0"/>
              <w:ind w:left="450" w:right="0" w:hanging="225"/>
              <w:rPr/>
            </w:pPr>
            <w:r>
              <w:rPr/>
              <w:t>Average signature loan balance per store offering signature loans at period end (a)</w:t>
            </w:r>
          </w:p>
        </w:tc>
        <w:tc>
          <w:tcPr>
            <w:tcW w:w="405"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31" w:type="dxa"/>
            <w:tcBorders/>
            <w:shd w:fill="auto" w:val="clear"/>
            <w:vAlign w:val="bottom"/>
          </w:tcPr>
          <w:p>
            <w:pPr>
              <w:pStyle w:val="TableContents"/>
              <w:spacing w:before="0" w:after="283"/>
              <w:jc w:val="right"/>
              <w:rPr/>
            </w:pPr>
            <w:r>
              <w:rPr/>
              <w:t>65</w:t>
            </w:r>
          </w:p>
        </w:tc>
        <w:tc>
          <w:tcPr>
            <w:tcW w:w="31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rPr/>
            </w:pPr>
            <w:r>
              <w:rPr/>
              <w:t> </w:t>
            </w:r>
          </w:p>
        </w:tc>
        <w:tc>
          <w:tcPr>
            <w:tcW w:w="230" w:type="dxa"/>
            <w:tcBorders/>
            <w:shd w:fill="auto" w:val="clear"/>
            <w:vAlign w:val="bottom"/>
          </w:tcPr>
          <w:p>
            <w:pPr>
              <w:pStyle w:val="TableContents"/>
              <w:spacing w:before="0" w:after="283"/>
              <w:jc w:val="left"/>
              <w:rPr/>
            </w:pPr>
            <w:r>
              <w:rPr/>
              <w:t>$</w:t>
            </w:r>
          </w:p>
        </w:tc>
        <w:tc>
          <w:tcPr>
            <w:tcW w:w="1133" w:type="dxa"/>
            <w:tcBorders/>
            <w:shd w:fill="auto" w:val="clear"/>
            <w:vAlign w:val="bottom"/>
          </w:tcPr>
          <w:p>
            <w:pPr>
              <w:pStyle w:val="TableContents"/>
              <w:spacing w:before="0" w:after="283"/>
              <w:jc w:val="right"/>
              <w:rPr/>
            </w:pPr>
            <w:r>
              <w:rPr/>
              <w:t>60</w:t>
            </w:r>
          </w:p>
        </w:tc>
        <w:tc>
          <w:tcPr>
            <w:tcW w:w="244" w:type="dxa"/>
            <w:tcBorders/>
            <w:shd w:fill="auto" w:val="clear"/>
            <w:vAlign w:val="bottom"/>
          </w:tcPr>
          <w:p>
            <w:pPr>
              <w:pStyle w:val="TableContents"/>
              <w:spacing w:before="0" w:after="283"/>
              <w:rPr/>
            </w:pPr>
            <w:r>
              <w:rPr/>
              <w:t> </w:t>
            </w:r>
          </w:p>
        </w:tc>
      </w:tr>
    </w:tbl>
    <w:p>
      <w:pPr>
        <w:pStyle w:val="TextBody"/>
        <w:spacing w:before="320" w:after="283"/>
        <w:jc w:val="left"/>
        <w:rPr>
          <w:bdr w:val="single" w:sz="2" w:space="1" w:color="000000"/>
        </w:rPr>
      </w:pPr>
      <w:r>
        <w:rPr>
          <w:bdr w:val="single" w:sz="2" w:space="1" w:color="000000"/>
        </w:rPr>
        <w:t> </w:t>
      </w:r>
    </w:p>
    <w:tbl>
      <w:tblPr>
        <w:tblW w:w="5000" w:type="pct"/>
        <w:jc w:val="left"/>
        <w:tblInd w:w="0" w:type="dxa"/>
        <w:tblCellMar>
          <w:top w:w="0" w:type="dxa"/>
          <w:left w:w="0" w:type="dxa"/>
          <w:bottom w:w="0" w:type="dxa"/>
          <w:right w:w="0" w:type="dxa"/>
        </w:tblCellMar>
      </w:tblPr>
      <w:tblGrid>
        <w:gridCol w:w="6829"/>
        <w:gridCol w:w="2260"/>
        <w:gridCol w:w="1116"/>
      </w:tblGrid>
      <w:tr>
        <w:trPr/>
        <w:tc>
          <w:tcPr>
            <w:tcW w:w="6829" w:type="dxa"/>
            <w:tcBorders/>
            <w:shd w:fill="auto" w:val="clear"/>
            <w:vAlign w:val="center"/>
          </w:tcPr>
          <w:p>
            <w:pPr>
              <w:pStyle w:val="TableContents"/>
              <w:spacing w:before="0" w:after="283"/>
              <w:rPr>
                <w:sz w:val="4"/>
                <w:szCs w:val="4"/>
              </w:rPr>
            </w:pPr>
            <w:r>
              <w:rPr>
                <w:sz w:val="4"/>
                <w:szCs w:val="4"/>
              </w:rPr>
            </w:r>
          </w:p>
        </w:tc>
        <w:tc>
          <w:tcPr>
            <w:tcW w:w="2260"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r>
      <w:tr>
        <w:trPr/>
        <w:tc>
          <w:tcPr>
            <w:tcW w:w="6829" w:type="dxa"/>
            <w:tcBorders/>
            <w:shd w:fill="auto" w:val="clear"/>
          </w:tcPr>
          <w:p>
            <w:pPr>
              <w:pStyle w:val="TableContents"/>
              <w:spacing w:before="0" w:after="283"/>
              <w:jc w:val="left"/>
              <w:rPr/>
            </w:pPr>
            <w:r>
              <w:rPr/>
              <w:t>(a)</w:t>
            </w:r>
          </w:p>
        </w:tc>
        <w:tc>
          <w:tcPr>
            <w:tcW w:w="2260" w:type="dxa"/>
            <w:tcBorders/>
            <w:shd w:fill="auto" w:val="clear"/>
          </w:tcPr>
          <w:p>
            <w:pPr>
              <w:pStyle w:val="TableContents"/>
              <w:spacing w:before="0" w:after="283"/>
              <w:rPr/>
            </w:pPr>
            <w:r>
              <w:rPr/>
              <w:t> </w:t>
            </w:r>
          </w:p>
        </w:tc>
        <w:tc>
          <w:tcPr>
            <w:tcW w:w="1116" w:type="dxa"/>
            <w:tcBorders/>
            <w:shd w:fill="auto" w:val="clear"/>
          </w:tcPr>
          <w:p>
            <w:pPr>
              <w:pStyle w:val="TableContents"/>
              <w:spacing w:before="0" w:after="283"/>
              <w:rPr/>
            </w:pPr>
            <w:r>
              <w:rPr/>
              <w:t>Signature loan balances include payday loans (net of valuation allowance) recorded on our balance sheet and the principal portion of active brokered loans outstanding from unaffiliated lenders, the balance of which is not included on our balance sheet.</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segments signature loan contribution, or fees less bad debt, increased $17.0 million, or 46% compared to the prior year-to-date period. The primary cause of the increased contribution was the higher average loan balances at existing stores and the addition of new stores, resulting in a 50% increase in the current year-to-date signature loan fee revenue. Signature loan bad debt increased $6.9 million, to 25.2% of related fees in the current year-to-date period compared to 23.4% in the prior year period. Early in the current quarter, we revised some of our underwriting criteria to optimize our loan growth. The result was stronger than normal loan growth as well as a higher level of bad debt. Later in the quarter, we refined our underwriting criteria specifically for new customers to ensure future bad debt results are more in line with our prior trends. As a result, we saw our bad debt return to expected levels in the month of June.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Operations expense increased $10.5 million in the current year-to-date period to $29.2 million, or 41% of segment revenues from 39% in the prior year period. The increase was mostly from additional labor, rent and other costs at new stores that have not yet matured. In the current year-to-date period, operations expense was $83,800 per average store, compared to $76,500 per average store in the prior year-to-date period. Stores adjoining an EZPAWN location, which generally have lower operating costs, now comprise a smaller percentage of the total EZMONEY stores.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the $17.0 million increase in signature loan fees net of bad debt and $10.5 million greater operations expense resulted in a $6.5 million net increase in store operating income from the EZMONEY Operations segment. For the current year-to-date period, EZMONEY Operations made up 35% of consolidated store operating income compared to 32% in the prior year period. The relative increase is due to the more rapid growth in the EZMONEY Operations segment compared to the EZPAWN Operations segment. </w:t>
      </w:r>
    </w:p>
    <w:p>
      <w:pPr>
        <w:pStyle w:val="TextBody"/>
        <w:jc w:val="center"/>
        <w:rPr>
          <w:rFonts w:ascii="Times New Roman;Times;serif" w:hAnsi="Times New Roman;Times;serif"/>
          <w:sz w:val="17"/>
        </w:rPr>
      </w:pPr>
      <w:r>
        <w:rPr>
          <w:rFonts w:ascii="Times New Roman;Times;serif" w:hAnsi="Times New Roman;Times;serif"/>
          <w:sz w:val="17"/>
        </w:rPr>
        <w:t xml:space="preserve">25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r>
        <w:rPr>
          <w:rFonts w:ascii="Times New Roman;Times;serif" w:hAnsi="Times New Roman;Times;serif"/>
          <w:b/>
          <w:sz w:val="17"/>
        </w:rPr>
        <w:t>Other Items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items discussed below affect our consolidated financial results, but are not allocated between segments.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Administrative expenses in the current year-to-date period were $23.5 million compared to $20.3 million in the prior year-to-date period. This is an improvement of 0.6 of a percentage point to 12.9% when measured as a percent of net revenue. The dollar increase was due primarily to a $1.7 million increase in stock compensation, a $0.8 million increase in professional fees and a $0.5 million increase in administrative labor and benefits.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Depreciation and amortization expense was $7.2 million in the current year, compared to $6.4 million in the prior year. Depreciation on assets placed in service, primarily related to new EZMONEY stores, exceeded the reduction from assets that became fully depreciated or were retired.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earned $1.5 million of interest income on our invested cash in the current year-to-date period for an annualized rate of return of 5.0%. In the comparable prior year period, we earned $0.3 million of interest income on our invested cash, yielding a 3.8% annualized rate of return.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With no debt in the current year-to-date period, our $0.2 million interest expense was comprised mostly of the amortization of deferred financing costs and the commitment fee on our line of credit. Interest expense in the prior year-to-date period was $0.4 million. In that period, we had an average debt balance of $2.1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current year-to-date income tax expense was $15.7 million (37.0% of pretax income) compared to $11.5 million (36.4% of pretax income) for the prior year period. The increase in effective tax rate between these periods is due primarily to a legislative change increasing our expected taxes in Texas.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Consolidated operating income for the current year-to-date period improved $8.9 million over the prior year-to-date period to $38.8 million. Contributing to this were the $6.4 million and $6.5 million increases in store operating income in our EZPAWN and EZMONEY Operations segments, partially offset by the $3.2 million increase in administrative expenses. After a $1.4 million improvement in net interest and a $4.2 million increase in income taxes and other smaller items, net income improved to $26.7 million in the current year-to-date period from $20.1 million in the prior year-to-date period.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Liquidity and Capital Resources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current year-to-date period, our $36.2 million cash flow from operations consisted of (a) net income plus several non-cash items, aggregating to $36.9 million, net of (b) $0.6 million of changes in operating assets and liabilities. The changes in operating assets and liabilities were of a normal, recurring nature. In the prior year-to-date period, our $29.8 million cash flow from operations consisted of net income plus several non-cash items, primarily depreciation and the change in deferred taxes. The primary differences in cash flow from operations between the two periods were an increase in the gross profit on sales of inventory and an increase in collected signature loan fees and pawn service charges, net of higher operating expenditures and cash taxes paid.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$36.5 million of cash used in investing activities during the current year-to-date period were funded primarily by cash flow from operations. Our most significant year-do-date investment was the $23.2 million acquisition of 15 pawn stores and one payday loan store from Jumping Jack Cash. Other significant investments were the $9.2 million in additions to property and equipment and funding the $5.3 million of payday loans net of repayments. Partially offsetting these was $1.3 million of dividends received from an unconsolidated affiliate and $2.3 million received from the exercise of employee stock options and related excess tax benefits. The net effect of these and other smaller cash flows was a $1.7 million increase in cash on hand, providing a $31.7 million ending cash balance. </w:t>
      </w:r>
    </w:p>
    <w:p>
      <w:pPr>
        <w:pStyle w:val="TextBody"/>
        <w:jc w:val="center"/>
        <w:rPr>
          <w:rFonts w:ascii="Times New Roman;Times;serif" w:hAnsi="Times New Roman;Times;serif"/>
          <w:sz w:val="17"/>
        </w:rPr>
      </w:pPr>
      <w:r>
        <w:rPr>
          <w:rFonts w:ascii="Times New Roman;Times;serif" w:hAnsi="Times New Roman;Times;serif"/>
          <w:sz w:val="17"/>
        </w:rPr>
        <w:t xml:space="preserve">26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Below is a summary of our cash needs to meet future aggregate contractual obligations (</w:t>
      </w:r>
      <w:r>
        <w:rPr>
          <w:rFonts w:ascii="Times New Roman;Times;serif" w:hAnsi="Times New Roman;Times;serif"/>
          <w:i/>
          <w:sz w:val="17"/>
        </w:rPr>
        <w:t>in millions)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3475"/>
        <w:gridCol w:w="243"/>
        <w:gridCol w:w="158"/>
        <w:gridCol w:w="670"/>
        <w:gridCol w:w="89"/>
        <w:gridCol w:w="243"/>
        <w:gridCol w:w="265"/>
        <w:gridCol w:w="906"/>
        <w:gridCol w:w="89"/>
        <w:gridCol w:w="243"/>
        <w:gridCol w:w="221"/>
        <w:gridCol w:w="770"/>
        <w:gridCol w:w="88"/>
        <w:gridCol w:w="243"/>
        <w:gridCol w:w="221"/>
        <w:gridCol w:w="770"/>
        <w:gridCol w:w="89"/>
        <w:gridCol w:w="243"/>
        <w:gridCol w:w="243"/>
        <w:gridCol w:w="837"/>
        <w:gridCol w:w="99"/>
      </w:tblGrid>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6388" w:type="dxa"/>
            <w:gridSpan w:val="18"/>
            <w:tcBorders>
              <w:bottom w:val="single" w:sz="2" w:space="0" w:color="000000"/>
            </w:tcBorders>
            <w:shd w:fill="auto" w:val="clear"/>
            <w:tcMar>
              <w:bottom w:w="28" w:type="dxa"/>
            </w:tcMar>
            <w:vAlign w:val="bottom"/>
          </w:tcPr>
          <w:p>
            <w:pPr>
              <w:pStyle w:val="TableContents"/>
              <w:spacing w:before="0" w:after="283"/>
              <w:jc w:val="center"/>
              <w:rPr/>
            </w:pPr>
            <w:r>
              <w:rPr/>
              <w:t>Payments due by Period</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71" w:type="dxa"/>
            <w:gridSpan w:val="2"/>
            <w:tcBorders/>
            <w:shd w:fill="auto" w:val="clear"/>
            <w:vAlign w:val="bottom"/>
          </w:tcPr>
          <w:p>
            <w:pPr>
              <w:pStyle w:val="TableContents"/>
              <w:spacing w:before="0" w:after="283"/>
              <w:jc w:val="center"/>
              <w:rPr/>
            </w:pPr>
            <w:r>
              <w:rPr/>
              <w:t>Less than 1</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0" w:type="dxa"/>
            <w:gridSpan w:val="2"/>
            <w:tcBorders/>
            <w:shd w:fill="auto" w:val="clear"/>
            <w:vAlign w:val="bottom"/>
          </w:tcPr>
          <w:p>
            <w:pPr>
              <w:pStyle w:val="TableContents"/>
              <w:spacing w:before="0" w:after="283"/>
              <w:jc w:val="center"/>
              <w:rPr/>
            </w:pPr>
            <w:r>
              <w:rPr/>
              <w:t>More than</w:t>
            </w:r>
          </w:p>
        </w:tc>
        <w:tc>
          <w:tcPr>
            <w:tcW w:w="99" w:type="dxa"/>
            <w:tcBorders/>
            <w:shd w:fill="auto" w:val="clear"/>
            <w:vAlign w:val="bottom"/>
          </w:tcPr>
          <w:p>
            <w:pPr>
              <w:pStyle w:val="TableContents"/>
              <w:spacing w:before="0" w:after="283"/>
              <w:rPr/>
            </w:pPr>
            <w:r>
              <w:rPr/>
              <w:t> </w:t>
            </w:r>
          </w:p>
        </w:tc>
      </w:tr>
      <w:tr>
        <w:trPr/>
        <w:tc>
          <w:tcPr>
            <w:tcW w:w="3475" w:type="dxa"/>
            <w:tcBorders>
              <w:bottom w:val="single" w:sz="2" w:space="0" w:color="000000"/>
            </w:tcBorders>
            <w:shd w:fill="auto" w:val="clear"/>
            <w:tcMar>
              <w:bottom w:w="28" w:type="dxa"/>
            </w:tcMar>
            <w:vAlign w:val="bottom"/>
          </w:tcPr>
          <w:p>
            <w:pPr>
              <w:pStyle w:val="TableContents"/>
              <w:spacing w:before="0" w:after="283"/>
              <w:jc w:val="left"/>
              <w:rPr/>
            </w:pPr>
            <w:r>
              <w:rPr/>
              <w:t>Contractual Obligations</w:t>
            </w:r>
          </w:p>
        </w:tc>
        <w:tc>
          <w:tcPr>
            <w:tcW w:w="243" w:type="dxa"/>
            <w:tcBorders/>
            <w:shd w:fill="auto" w:val="clear"/>
            <w:vAlign w:val="bottom"/>
          </w:tcPr>
          <w:p>
            <w:pPr>
              <w:pStyle w:val="TableContents"/>
              <w:spacing w:before="0" w:after="283"/>
              <w:rPr/>
            </w:pPr>
            <w:r>
              <w:rPr/>
              <w:t> </w:t>
            </w:r>
          </w:p>
        </w:tc>
        <w:tc>
          <w:tcPr>
            <w:tcW w:w="828" w:type="dxa"/>
            <w:gridSpan w:val="2"/>
            <w:tcBorders>
              <w:bottom w:val="single" w:sz="2" w:space="0" w:color="000000"/>
            </w:tcBorders>
            <w:shd w:fill="auto" w:val="clear"/>
            <w:tcMar>
              <w:bottom w:w="28" w:type="dxa"/>
            </w:tcMar>
            <w:vAlign w:val="bottom"/>
          </w:tcPr>
          <w:p>
            <w:pPr>
              <w:pStyle w:val="TableContents"/>
              <w:spacing w:before="0" w:after="283"/>
              <w:jc w:val="center"/>
              <w:rPr/>
            </w:pPr>
            <w:r>
              <w:rPr/>
              <w:t>Total</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171" w:type="dxa"/>
            <w:gridSpan w:val="2"/>
            <w:tcBorders>
              <w:bottom w:val="single" w:sz="2" w:space="0" w:color="000000"/>
            </w:tcBorders>
            <w:shd w:fill="auto" w:val="clear"/>
            <w:tcMar>
              <w:bottom w:w="28" w:type="dxa"/>
            </w:tcMar>
            <w:vAlign w:val="bottom"/>
          </w:tcPr>
          <w:p>
            <w:pPr>
              <w:pStyle w:val="TableContents"/>
              <w:spacing w:before="0" w:after="283"/>
              <w:jc w:val="center"/>
              <w:rPr/>
            </w:pPr>
            <w:r>
              <w:rPr/>
              <w:t>year</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1-3 years</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991" w:type="dxa"/>
            <w:gridSpan w:val="2"/>
            <w:tcBorders>
              <w:bottom w:val="single" w:sz="2" w:space="0" w:color="000000"/>
            </w:tcBorders>
            <w:shd w:fill="auto" w:val="clear"/>
            <w:tcMar>
              <w:bottom w:w="28" w:type="dxa"/>
            </w:tcMar>
            <w:vAlign w:val="bottom"/>
          </w:tcPr>
          <w:p>
            <w:pPr>
              <w:pStyle w:val="TableContents"/>
              <w:spacing w:before="0" w:after="283"/>
              <w:jc w:val="center"/>
              <w:rPr/>
            </w:pPr>
            <w:r>
              <w:rPr/>
              <w:t>3-5 years</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1080" w:type="dxa"/>
            <w:gridSpan w:val="2"/>
            <w:tcBorders>
              <w:bottom w:val="single" w:sz="2" w:space="0" w:color="000000"/>
            </w:tcBorders>
            <w:shd w:fill="auto" w:val="clear"/>
            <w:tcMar>
              <w:bottom w:w="28" w:type="dxa"/>
            </w:tcMar>
            <w:vAlign w:val="bottom"/>
          </w:tcPr>
          <w:p>
            <w:pPr>
              <w:pStyle w:val="TableContents"/>
              <w:spacing w:before="0" w:after="283"/>
              <w:jc w:val="center"/>
              <w:rPr/>
            </w:pPr>
            <w:r>
              <w:rPr/>
              <w:t>5 years</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 </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rPr/>
            </w:pPr>
            <w:r>
              <w:rPr/>
              <w:t> </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Long-term debt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6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Interest on long-term debt obligations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0.2</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0.1</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0.1</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Capital lease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Operating lease obligations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135.3</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20.0</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35.1</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28.9</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51.3</w:t>
            </w:r>
          </w:p>
        </w:tc>
        <w:tc>
          <w:tcPr>
            <w:tcW w:w="99" w:type="dxa"/>
            <w:tcBorders/>
            <w:shd w:fill="auto" w:val="clear"/>
            <w:vAlign w:val="bottom"/>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Purchase obligations</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rPr/>
            </w:pPr>
            <w:r>
              <w:rPr/>
              <w:t> </w:t>
            </w:r>
          </w:p>
        </w:tc>
        <w:tc>
          <w:tcPr>
            <w:tcW w:w="6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rPr/>
            </w:pPr>
            <w:r>
              <w:rPr/>
              <w:t> </w:t>
            </w:r>
          </w:p>
        </w:tc>
        <w:tc>
          <w:tcPr>
            <w:tcW w:w="906"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 </w:t>
            </w:r>
          </w:p>
        </w:tc>
        <w:tc>
          <w:tcPr>
            <w:tcW w:w="770" w:type="dxa"/>
            <w:tcBorders/>
            <w:shd w:fill="CCEEFF" w:val="clear"/>
            <w:vAlign w:val="bottom"/>
          </w:tcPr>
          <w:p>
            <w:pPr>
              <w:pStyle w:val="TableContents"/>
              <w:spacing w:before="0" w:after="283"/>
              <w:jc w:val="right"/>
              <w:rPr/>
            </w:pPr>
            <w:r>
              <w:rPr/>
              <w:t></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837" w:type="dxa"/>
            <w:tcBorders/>
            <w:shd w:fill="CCEEFF" w:val="clear"/>
            <w:vAlign w:val="bottom"/>
          </w:tcPr>
          <w:p>
            <w:pPr>
              <w:pStyle w:val="TableContents"/>
              <w:spacing w:before="0" w:after="283"/>
              <w:jc w:val="right"/>
              <w:rPr/>
            </w:pPr>
            <w:r>
              <w:rPr/>
              <w:t></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bottom"/>
          </w:tcPr>
          <w:p>
            <w:pPr>
              <w:pStyle w:val="TableContents"/>
              <w:spacing w:before="0" w:after="0"/>
              <w:ind w:left="225" w:right="0" w:hanging="225"/>
              <w:rPr/>
            </w:pPr>
            <w:r>
              <w:rPr/>
              <w:t>Other long-term liabilities</w:t>
            </w:r>
          </w:p>
        </w:tc>
        <w:tc>
          <w:tcPr>
            <w:tcW w:w="243" w:type="dxa"/>
            <w:tcBorders/>
            <w:shd w:fill="auto" w:val="clear"/>
            <w:vAlign w:val="bottom"/>
          </w:tcPr>
          <w:p>
            <w:pPr>
              <w:pStyle w:val="TableContents"/>
              <w:spacing w:before="0" w:after="283"/>
              <w:rPr/>
            </w:pPr>
            <w:r>
              <w:rPr/>
              <w:t> </w:t>
            </w:r>
          </w:p>
        </w:tc>
        <w:tc>
          <w:tcPr>
            <w:tcW w:w="158" w:type="dxa"/>
            <w:tcBorders/>
            <w:shd w:fill="auto" w:val="clear"/>
            <w:vAlign w:val="bottom"/>
          </w:tcPr>
          <w:p>
            <w:pPr>
              <w:pStyle w:val="TableContents"/>
              <w:spacing w:before="0" w:after="283"/>
              <w:rPr/>
            </w:pPr>
            <w:r>
              <w:rPr/>
              <w:t> </w:t>
            </w:r>
          </w:p>
        </w:tc>
        <w:tc>
          <w:tcPr>
            <w:tcW w:w="6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65" w:type="dxa"/>
            <w:tcBorders/>
            <w:shd w:fill="auto" w:val="clear"/>
            <w:vAlign w:val="bottom"/>
          </w:tcPr>
          <w:p>
            <w:pPr>
              <w:pStyle w:val="TableContents"/>
              <w:spacing w:before="0" w:after="283"/>
              <w:rPr/>
            </w:pPr>
            <w:r>
              <w:rPr/>
              <w:t> </w:t>
            </w:r>
          </w:p>
        </w:tc>
        <w:tc>
          <w:tcPr>
            <w:tcW w:w="906"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8"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pPr>
            <w:r>
              <w:rPr/>
              <w:t> </w:t>
            </w:r>
          </w:p>
        </w:tc>
        <w:tc>
          <w:tcPr>
            <w:tcW w:w="770" w:type="dxa"/>
            <w:tcBorders/>
            <w:shd w:fill="auto" w:val="clear"/>
            <w:vAlign w:val="bottom"/>
          </w:tcPr>
          <w:p>
            <w:pPr>
              <w:pStyle w:val="TableContents"/>
              <w:spacing w:before="0" w:after="283"/>
              <w:jc w:val="right"/>
              <w:rPr/>
            </w:pPr>
            <w:r>
              <w:rPr/>
              <w:t></w:t>
            </w:r>
          </w:p>
        </w:tc>
        <w:tc>
          <w:tcPr>
            <w:tcW w:w="89"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243" w:type="dxa"/>
            <w:tcBorders/>
            <w:shd w:fill="auto" w:val="clear"/>
            <w:vAlign w:val="bottom"/>
          </w:tcPr>
          <w:p>
            <w:pPr>
              <w:pStyle w:val="TableContents"/>
              <w:spacing w:before="0" w:after="283"/>
              <w:rPr/>
            </w:pPr>
            <w:r>
              <w:rPr/>
              <w:t> </w:t>
            </w:r>
          </w:p>
        </w:tc>
        <w:tc>
          <w:tcPr>
            <w:tcW w:w="837" w:type="dxa"/>
            <w:tcBorders/>
            <w:shd w:fill="auto" w:val="clear"/>
            <w:vAlign w:val="bottom"/>
          </w:tcPr>
          <w:p>
            <w:pPr>
              <w:pStyle w:val="TableContents"/>
              <w:spacing w:before="0" w:after="283"/>
              <w:jc w:val="right"/>
              <w:rPr/>
            </w:pPr>
            <w:r>
              <w:rPr/>
              <w:t></w:t>
            </w:r>
          </w:p>
        </w:tc>
        <w:tc>
          <w:tcPr>
            <w:tcW w:w="99" w:type="dxa"/>
            <w:tcBorders/>
            <w:shd w:fill="auto" w:val="clear"/>
            <w:vAlign w:val="bottom"/>
          </w:tcPr>
          <w:p>
            <w:pPr>
              <w:pStyle w:val="TableContents"/>
              <w:spacing w:before="0" w:after="283"/>
              <w:rPr/>
            </w:pPr>
            <w:r>
              <w:rPr/>
              <w:t> </w:t>
            </w:r>
          </w:p>
        </w:tc>
      </w:tr>
      <w:tr>
        <w:trPr/>
        <w:tc>
          <w:tcPr>
            <w:tcW w:w="3475" w:type="dxa"/>
            <w:tcBorders/>
            <w:shd w:fill="auto" w:val="clear"/>
            <w:vAlign w:val="center"/>
          </w:tcPr>
          <w:p>
            <w:pPr>
              <w:pStyle w:val="TableContents"/>
              <w:spacing w:before="0" w:after="0"/>
              <w:ind w:left="225" w:right="0" w:hanging="225"/>
              <w:rPr/>
            </w:pPr>
            <w:r>
              <w:rPr/>
              <w:t> </w:t>
            </w:r>
          </w:p>
        </w:tc>
        <w:tc>
          <w:tcPr>
            <w:tcW w:w="243" w:type="dxa"/>
            <w:tcBorders/>
            <w:shd w:fill="auto" w:val="clear"/>
            <w:vAlign w:val="center"/>
          </w:tcPr>
          <w:p>
            <w:pPr>
              <w:pStyle w:val="TableContents"/>
              <w:spacing w:before="0" w:after="283"/>
              <w:rPr/>
            </w:pPr>
            <w:r>
              <w:rPr/>
              <w:t> </w:t>
            </w:r>
          </w:p>
        </w:tc>
        <w:tc>
          <w:tcPr>
            <w:tcW w:w="828"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7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080" w:type="dxa"/>
            <w:gridSpan w:val="2"/>
            <w:tcBorders>
              <w:top w:val="single" w:sz="2"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r>
        <w:trPr/>
        <w:tc>
          <w:tcPr>
            <w:tcW w:w="3475" w:type="dxa"/>
            <w:tcBorders/>
            <w:shd w:fill="CCEEFF" w:val="clear"/>
            <w:vAlign w:val="bottom"/>
          </w:tcPr>
          <w:p>
            <w:pPr>
              <w:pStyle w:val="TableContents"/>
              <w:spacing w:before="0" w:after="0"/>
              <w:ind w:left="225" w:right="0" w:hanging="225"/>
              <w:rPr/>
            </w:pPr>
            <w:r>
              <w:rPr/>
              <w:t>Total</w:t>
            </w:r>
          </w:p>
        </w:tc>
        <w:tc>
          <w:tcPr>
            <w:tcW w:w="243" w:type="dxa"/>
            <w:tcBorders/>
            <w:shd w:fill="CCEEFF" w:val="clear"/>
            <w:vAlign w:val="bottom"/>
          </w:tcPr>
          <w:p>
            <w:pPr>
              <w:pStyle w:val="TableContents"/>
              <w:spacing w:before="0" w:after="283"/>
              <w:rPr/>
            </w:pPr>
            <w:r>
              <w:rPr/>
              <w:t> </w:t>
            </w:r>
          </w:p>
        </w:tc>
        <w:tc>
          <w:tcPr>
            <w:tcW w:w="158" w:type="dxa"/>
            <w:tcBorders/>
            <w:shd w:fill="CCEEFF" w:val="clear"/>
            <w:vAlign w:val="bottom"/>
          </w:tcPr>
          <w:p>
            <w:pPr>
              <w:pStyle w:val="TableContents"/>
              <w:spacing w:before="0" w:after="283"/>
              <w:jc w:val="left"/>
              <w:rPr/>
            </w:pPr>
            <w:r>
              <w:rPr/>
              <w:t>$</w:t>
            </w:r>
          </w:p>
        </w:tc>
        <w:tc>
          <w:tcPr>
            <w:tcW w:w="670" w:type="dxa"/>
            <w:tcBorders/>
            <w:shd w:fill="CCEEFF" w:val="clear"/>
            <w:vAlign w:val="bottom"/>
          </w:tcPr>
          <w:p>
            <w:pPr>
              <w:pStyle w:val="TableContents"/>
              <w:spacing w:before="0" w:after="283"/>
              <w:jc w:val="right"/>
              <w:rPr/>
            </w:pPr>
            <w:r>
              <w:rPr/>
              <w:t>135.5</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65" w:type="dxa"/>
            <w:tcBorders/>
            <w:shd w:fill="CCEEFF" w:val="clear"/>
            <w:vAlign w:val="bottom"/>
          </w:tcPr>
          <w:p>
            <w:pPr>
              <w:pStyle w:val="TableContents"/>
              <w:spacing w:before="0" w:after="283"/>
              <w:jc w:val="left"/>
              <w:rPr/>
            </w:pPr>
            <w:r>
              <w:rPr/>
              <w:t>$</w:t>
            </w:r>
          </w:p>
        </w:tc>
        <w:tc>
          <w:tcPr>
            <w:tcW w:w="906" w:type="dxa"/>
            <w:tcBorders/>
            <w:shd w:fill="CCEEFF" w:val="clear"/>
            <w:vAlign w:val="bottom"/>
          </w:tcPr>
          <w:p>
            <w:pPr>
              <w:pStyle w:val="TableContents"/>
              <w:spacing w:before="0" w:after="283"/>
              <w:jc w:val="right"/>
              <w:rPr/>
            </w:pPr>
            <w:r>
              <w:rPr/>
              <w:t>20.1</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35.2</w:t>
            </w:r>
          </w:p>
        </w:tc>
        <w:tc>
          <w:tcPr>
            <w:tcW w:w="88"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jc w:val="left"/>
              <w:rPr/>
            </w:pPr>
            <w:r>
              <w:rPr/>
              <w:t>$</w:t>
            </w:r>
          </w:p>
        </w:tc>
        <w:tc>
          <w:tcPr>
            <w:tcW w:w="770" w:type="dxa"/>
            <w:tcBorders/>
            <w:shd w:fill="CCEEFF" w:val="clear"/>
            <w:vAlign w:val="bottom"/>
          </w:tcPr>
          <w:p>
            <w:pPr>
              <w:pStyle w:val="TableContents"/>
              <w:spacing w:before="0" w:after="283"/>
              <w:jc w:val="right"/>
              <w:rPr/>
            </w:pPr>
            <w:r>
              <w:rPr/>
              <w:t>28.9</w:t>
            </w:r>
          </w:p>
        </w:tc>
        <w:tc>
          <w:tcPr>
            <w:tcW w:w="89"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rPr/>
            </w:pPr>
            <w:r>
              <w:rPr/>
              <w:t> </w:t>
            </w:r>
          </w:p>
        </w:tc>
        <w:tc>
          <w:tcPr>
            <w:tcW w:w="243" w:type="dxa"/>
            <w:tcBorders/>
            <w:shd w:fill="CCEEFF" w:val="clear"/>
            <w:vAlign w:val="bottom"/>
          </w:tcPr>
          <w:p>
            <w:pPr>
              <w:pStyle w:val="TableContents"/>
              <w:spacing w:before="0" w:after="283"/>
              <w:jc w:val="left"/>
              <w:rPr/>
            </w:pPr>
            <w:r>
              <w:rPr/>
              <w:t>$</w:t>
            </w:r>
          </w:p>
        </w:tc>
        <w:tc>
          <w:tcPr>
            <w:tcW w:w="837" w:type="dxa"/>
            <w:tcBorders/>
            <w:shd w:fill="CCEEFF" w:val="clear"/>
            <w:vAlign w:val="bottom"/>
          </w:tcPr>
          <w:p>
            <w:pPr>
              <w:pStyle w:val="TableContents"/>
              <w:spacing w:before="0" w:after="283"/>
              <w:jc w:val="right"/>
              <w:rPr/>
            </w:pPr>
            <w:r>
              <w:rPr/>
              <w:t>51.3</w:t>
            </w:r>
          </w:p>
        </w:tc>
        <w:tc>
          <w:tcPr>
            <w:tcW w:w="99" w:type="dxa"/>
            <w:tcBorders/>
            <w:shd w:fill="CCEEFF" w:val="clear"/>
            <w:vAlign w:val="bottom"/>
          </w:tcPr>
          <w:p>
            <w:pPr>
              <w:pStyle w:val="TableContents"/>
              <w:spacing w:before="0" w:after="283"/>
              <w:rPr/>
            </w:pPr>
            <w:r>
              <w:rPr/>
              <w:t> </w:t>
            </w:r>
          </w:p>
        </w:tc>
      </w:tr>
      <w:tr>
        <w:trPr/>
        <w:tc>
          <w:tcPr>
            <w:tcW w:w="3475" w:type="dxa"/>
            <w:tcBorders/>
            <w:shd w:fill="auto" w:val="clear"/>
            <w:vAlign w:val="center"/>
          </w:tcPr>
          <w:p>
            <w:pPr>
              <w:pStyle w:val="TableContents"/>
              <w:spacing w:before="0" w:after="0"/>
              <w:ind w:left="225" w:right="0" w:hanging="225"/>
              <w:rPr/>
            </w:pPr>
            <w:r>
              <w:rPr/>
              <w:t> </w:t>
            </w:r>
          </w:p>
        </w:tc>
        <w:tc>
          <w:tcPr>
            <w:tcW w:w="243" w:type="dxa"/>
            <w:tcBorders/>
            <w:shd w:fill="auto" w:val="clear"/>
            <w:vAlign w:val="center"/>
          </w:tcPr>
          <w:p>
            <w:pPr>
              <w:pStyle w:val="TableContents"/>
              <w:spacing w:before="0" w:after="283"/>
              <w:rPr/>
            </w:pPr>
            <w:r>
              <w:rPr/>
              <w:t> </w:t>
            </w:r>
          </w:p>
        </w:tc>
        <w:tc>
          <w:tcPr>
            <w:tcW w:w="828"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17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8"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991"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89" w:type="dxa"/>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1080" w:type="dxa"/>
            <w:gridSpan w:val="2"/>
            <w:tcBorders>
              <w:top w:val="double" w:sz="6" w:space="0" w:color="000000"/>
            </w:tcBorders>
            <w:shd w:fill="auto" w:val="clear"/>
            <w:tcMar>
              <w:top w:w="28" w:type="dxa"/>
            </w:tcMar>
            <w:vAlign w:val="center"/>
          </w:tcPr>
          <w:p>
            <w:pPr>
              <w:pStyle w:val="TableContents"/>
              <w:spacing w:before="0" w:after="283"/>
              <w:jc w:val="right"/>
              <w:rPr/>
            </w:pPr>
            <w:r>
              <w:rPr/>
              <w:t> </w:t>
            </w:r>
          </w:p>
        </w:tc>
        <w:tc>
          <w:tcPr>
            <w:tcW w:w="99" w:type="dxa"/>
            <w:tcBorders/>
            <w:shd w:fill="auto" w:val="clear"/>
            <w:vAlign w:val="center"/>
          </w:tcPr>
          <w:p>
            <w:pPr>
              <w:pStyle w:val="TableContents"/>
              <w:spacing w:before="0" w:after="283"/>
              <w:rPr/>
            </w:pPr>
            <w:r>
              <w:rPr/>
              <w:t> </w:t>
            </w:r>
          </w:p>
        </w:tc>
      </w:tr>
    </w:tbl>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contractual obligations in the table above, we are obligated under letters of credit issued to unaffiliated lenders as part of our credit service operations. At June 30, 2007, our maximum exposure for losses on letters of credit, if all brokered loans defaulted and none was collected, was $22.8 million. This amount includes principal, interest and insufficient funds fees.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addition to the operating lease obligations in the table above, we are responsible for the maintenance, property taxes, and insurance at most of our locations. In the fiscal year ended September 30, 2006, these collectively amounted to $6.7 million.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On July 11, 2007, subsequent to the current quarter-end, we invested $13.4 million in additional common shares of Albemarle &amp; Bond, as described in Note L, </w:t>
      </w:r>
      <w:r>
        <w:rPr>
          <w:rFonts w:ascii="Times New Roman;Times;serif" w:hAnsi="Times New Roman;Times;serif"/>
          <w:i/>
          <w:sz w:val="17"/>
        </w:rPr>
        <w:t xml:space="preserve">Subsequent Event </w:t>
      </w:r>
      <w:r>
        <w:rPr>
          <w:rFonts w:ascii="Times New Roman;Times;serif" w:hAnsi="Times New Roman;Times;serif"/>
          <w:sz w:val="17"/>
        </w:rPr>
        <w:t xml:space="preserve">in the financial statements filed as part of this Form 10-Q.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the remaining three months of the fiscal year ending September 30, 2007, we plan to open 45 new signature loan stores and one new pawn store for an expected capital expenditure of approximately $2.6 million, plus the funding of working capital and start-up losses at these stores. We believe these new stores will create a drag on earnings and liquidity in their first six to nine months of operations before turning profitable.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While we had no debt outstanding at June 30, 2007, we have a $40 million revolving credit facility secured by our assets, which matures October 1, 2009. Under the terms of the agreement, we could borrow the full $40 million at June 30, 2007. Terms of the agreement require, among other things, that we meet certain financial covenants. Payment of dividends and additional debt are allowed but restricted. The interest amount shown in the table above reflects the commitment fee we anticipate paying through the maturity of the credit agreement, assuming we remain debt-free.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We anticipate that cash flow from operations, cash on hand and availability under our revolving credit facility will be adequate to fund our contractual obligations, planned store growth, capital expenditures and working capital requirements during the coming year.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Seasonality</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Historically, fee and service charge revenues are highest in our fourth fiscal quarter (July through September) due to a higher average loan balance during the summer lending season. Merchandise sales generally are highest in the first and second fiscal quarters (October through March) due to the holiday season, jewelry sales surrounding Valentines Day, and the impact of tax refunds. Jewelry scrapping sales are heavily influenced by the timing of decisions to scrap excess jewelry inventory. The majority of jewelry scrapping sales generally occurs during our fourth fiscal quarter (July through September) due to low jewelry merchandise sales in that quarter. The net effect of these factors is that net revenues and net income typically are highest in the fourth fiscal quarter, with the first fiscal quarter being second highest. Our cash flow typically is greatest in the second fiscal quarter due to a high level of loan redemptions and sales in the income tax refund season. </w:t>
      </w:r>
    </w:p>
    <w:p>
      <w:pPr>
        <w:pStyle w:val="TextBody"/>
        <w:jc w:val="center"/>
        <w:rPr>
          <w:rFonts w:ascii="Times New Roman;Times;serif" w:hAnsi="Times New Roman;Times;serif"/>
          <w:sz w:val="17"/>
        </w:rPr>
      </w:pPr>
      <w:r>
        <w:rPr>
          <w:rFonts w:ascii="Times New Roman;Times;serif" w:hAnsi="Times New Roman;Times;serif"/>
          <w:sz w:val="17"/>
        </w:rPr>
        <w:t xml:space="preserve">27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r>
        <w:rPr>
          <w:rFonts w:ascii="Times New Roman;Times;serif" w:hAnsi="Times New Roman;Times;serif"/>
          <w:b/>
          <w:i/>
          <w:sz w:val="17"/>
        </w:rPr>
        <w:t>Use of Estimates and Assumptions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Managements Discussion and Analysis of Financial Condition and Results of Operations is based on our condensed consolidated financial statements. We prepared those statements according to accounting principles generally accepted in the United States for interim financial information. We must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allowance for losses on signature loans, long-lived and intangible assets, income taxes, contingencies and litigation. We base our estimates on historical experience, observable trends and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 </w:t>
      </w:r>
    </w:p>
    <w:p>
      <w:pPr>
        <w:pStyle w:val="TextBody"/>
        <w:spacing w:before="240" w:after="283"/>
        <w:jc w:val="left"/>
        <w:rPr>
          <w:rFonts w:ascii="Times New Roman;Times;serif" w:hAnsi="Times New Roman;Times;serif"/>
          <w:sz w:val="17"/>
        </w:rPr>
      </w:pPr>
      <w:bookmarkStart w:id="10" w:name="307"/>
      <w:bookmarkEnd w:id="10"/>
      <w:r>
        <w:rPr>
          <w:rFonts w:ascii="Times New Roman;Times;serif" w:hAnsi="Times New Roman;Times;serif"/>
          <w:b/>
          <w:i/>
          <w:sz w:val="17"/>
        </w:rPr>
        <w:t>Item 3. Quantitative and Qualitative Disclosures about Market Risk</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 following discussion about our market risk disclosures involves forward-looking statements. Actual results could differ materially from those projected in the forward-looking statements. We are exposed to market risk related to changes in foreign currency exchange rates and gold values. We also are exposed to regulatory risk in relation to our credit services, payday loans and pawn operations. We do not use derivative financial instruments.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may be affected by changes in gold values and the resulting impact on pawn lending and jewelry sales. The proceeds of scrap sales and our ability to sell excess jewelry inventory at an acceptable margin depend on gold values. The impact on our financial position and results of operations of a hypothetical change in gold values cannot be reasonably estimated. For further discussion, you should read Risk Factors in Part I, Item 1A of our Annual Report on Form 10-K for the year ended September 30, 2006.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Our earnings and financial position are affected by foreign currency exchange rate fluctuations related to our equity investment in A&amp;B. A&amp;Bs functional currency is the U.K. pound. The impact on our results of operations and financial position of a hypothetical change in the exchange rate between the U.S. dollar and the U.K. pound cannot be reasonably estimated due to the interrelationship of operating results and exchange rates. The translation adjustment representing the strengthening in the U.K. pound during the quarter ended March 31, 2007 (included in our June 30, 2007 results on a three-month lag as described above) was a $23,000 increase, net of tax effect, to stockholders equity. On June 30, 2007, the U.K. pound strengthened to £1.00 to $2.0039 U.S. from $1.9625 U.S. at March 31, 2007. We cannot assure the future valuation of the U.K. pound or how further movements in the pound could affect our future earnings or financial position.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Similar to the discussion above regarding the U.K. pound, fluctuations in the exchange rate for the Mexican peso also affect our earnings and financial position due to our pawn operations in Mexico. Currently these operations are not material. The translation adjustment representing the strengthening in the Mexican peso during the quarter ended June 30, 2007 was a $3,000 increase, net of tax effect, to stockholders equity.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Forward-Looking Information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This Quarterly Report on Form 10-Q, including Managements Discussion and Analysis of Financial Condition and Results of Operations, includes forward-looking statements within the meaning of Section 27A of the Securities Act of 1933, as amended, and Section 21E of the Securities Exchange Act of 1934, as amended. We intend that all forward-looking statements be subject to the safe harbors created by these laws. All statements other than statements of historical information are forward-looking and may contain information about financial results, economic conditions, trends, planned store openings and known uncertainties. These statements are often, but not always, made with words or phrases like may, should, could, predict, potential, believe, expect, anticipate, seek, estimate, intend, plan, projection, outlook, expect, will, and similar expressions. All forward-looking statements are based on current expectations regarding important risk factors. Many of these risks and uncertainties are beyond our control, and in many cases, we cannot predict all of the risks and uncertainties that could cause our actual results to differ materially from those expressed in the forward-looking statements. Actual results could differ materially from those expressed in the forward-looking statements, and you should not regard them as a representation that the expected results will be achieved. Important risk factors that could cause results or events to differ from current expectations are described in Part II, Item 1A, Risk Factors, of this </w:t>
      </w:r>
    </w:p>
    <w:p>
      <w:pPr>
        <w:pStyle w:val="TextBody"/>
        <w:jc w:val="center"/>
        <w:rPr>
          <w:rFonts w:ascii="Times New Roman;Times;serif" w:hAnsi="Times New Roman;Times;serif"/>
          <w:sz w:val="17"/>
        </w:rPr>
      </w:pPr>
      <w:r>
        <w:rPr>
          <w:rFonts w:ascii="Times New Roman;Times;serif" w:hAnsi="Times New Roman;Times;serif"/>
          <w:sz w:val="17"/>
        </w:rPr>
        <w:t xml:space="preserve">28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Quarterly Report and in the section entitled Risk Factors in our Annual Report on Form 10-K for the year ended September 30, 2006. These factors are not intended to be an all-encompassing list of risks and uncertainties that may affect our operations, performance, development and results. You are cautioned not to overly rely on these forward-looking statements, which are current only as of the date of this report. We undertake no obligation to release publicly the results of any revisions to these forward-looking statements that may be made to reflect events or circumstances after the date of this report, including without limitation, changes in our business strategy or planned capital expenditures, store growth plans or to reflect unanticipated events. </w:t>
      </w:r>
    </w:p>
    <w:p>
      <w:pPr>
        <w:pStyle w:val="TextBody"/>
        <w:spacing w:before="240" w:after="283"/>
        <w:jc w:val="left"/>
        <w:rPr>
          <w:rFonts w:ascii="Times New Roman;Times;serif" w:hAnsi="Times New Roman;Times;serif"/>
          <w:sz w:val="17"/>
        </w:rPr>
      </w:pPr>
      <w:bookmarkStart w:id="11" w:name="308"/>
      <w:bookmarkEnd w:id="11"/>
      <w:r>
        <w:rPr>
          <w:rFonts w:ascii="Times New Roman;Times;serif" w:hAnsi="Times New Roman;Times;serif"/>
          <w:b/>
          <w:i/>
          <w:sz w:val="17"/>
        </w:rPr>
        <w:t>Item 4. Controls and Procedures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(a) Evaluation of Disclosure Controls and Procedures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Under the supervision and with the participation of our Chief Executive Officer and Chief Financial Officer, we have evaluated the effectiveness of the design and operation of our disclosure controls and procedures (as defined in Rules 13a-15(e) and 15d-15(e) under the Securities Exchange Act of 1934) as of June 30, 2007. Based upon that evaluation, our Chief Executive Officer and Chief Financial Officer concluded that, as of June 30, 2007, our disclosure controls and procedures are effective to ensure that information required to be disclosed in reports we file or submit under the Exchange Act is recorded, processed, summarized and reported within the time periods specified in SEC rules and forms. Disclosure controls and procedures include those controls and procedures that are designed to ensure that information required to be disclosed in the reports that we file or submit under the Exchange Act is accumulated and communicated to our management, including our Chief Executive Officer and Chief Financial Officer, to allow timely decisions regarding required disclosures. </w:t>
      </w:r>
    </w:p>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(b) Changes in Internal Controls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There were no changes in our internal controls that occurred during the last fiscal quarter that have materially affected, or are reasonably likely to materially affect, our internal control over financial reporting. </w:t>
      </w:r>
    </w:p>
    <w:p>
      <w:pPr>
        <w:pStyle w:val="TextBody"/>
        <w:jc w:val="center"/>
        <w:rPr>
          <w:rFonts w:ascii="Times New Roman;Times;serif" w:hAnsi="Times New Roman;Times;serif"/>
          <w:sz w:val="17"/>
        </w:rPr>
      </w:pPr>
      <w:r>
        <w:rPr>
          <w:rFonts w:ascii="Times New Roman;Times;serif" w:hAnsi="Times New Roman;Times;serif"/>
          <w:sz w:val="17"/>
        </w:rPr>
        <w:t xml:space="preserve">29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240" w:after="283"/>
        <w:jc w:val="left"/>
        <w:rPr>
          <w:rFonts w:ascii="Times New Roman;Times;serif" w:hAnsi="Times New Roman;Times;serif"/>
          <w:sz w:val="17"/>
        </w:rPr>
      </w:pPr>
      <w:bookmarkStart w:id="12" w:name="309"/>
      <w:bookmarkEnd w:id="12"/>
      <w:r>
        <w:rPr>
          <w:rFonts w:ascii="Times New Roman;Times;serif" w:hAnsi="Times New Roman;Times;serif"/>
          <w:b/>
          <w:sz w:val="17"/>
        </w:rPr>
        <w:t>PART II</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bookmarkStart w:id="13" w:name="310"/>
      <w:bookmarkEnd w:id="13"/>
      <w:r>
        <w:rPr>
          <w:rFonts w:ascii="Times New Roman;Times;serif" w:hAnsi="Times New Roman;Times;serif"/>
          <w:b/>
          <w:i/>
          <w:sz w:val="17"/>
        </w:rPr>
        <w:t>Item 1. Legal Proceedings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See Note F, Contingencies, in the Notes to the Interim Condensed Consolidated Financial Statements included in this filing. </w:t>
      </w:r>
    </w:p>
    <w:p>
      <w:pPr>
        <w:pStyle w:val="TextBody"/>
        <w:spacing w:before="240" w:after="283"/>
        <w:jc w:val="left"/>
        <w:rPr>
          <w:rFonts w:ascii="Times New Roman;Times;serif" w:hAnsi="Times New Roman;Times;serif"/>
          <w:sz w:val="17"/>
        </w:rPr>
      </w:pPr>
      <w:bookmarkStart w:id="14" w:name="311"/>
      <w:bookmarkEnd w:id="14"/>
      <w:r>
        <w:rPr>
          <w:rFonts w:ascii="Times New Roman;Times;serif" w:hAnsi="Times New Roman;Times;serif"/>
          <w:b/>
          <w:i/>
          <w:sz w:val="17"/>
        </w:rPr>
        <w:t>Item 1A. Risk Factors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Important risk factors that could cause results or events to differ from current expectations are described in Part I, Item 1A, Risk Factors of our Annual Report on Form 10-K for the year ended September 30, 2006. These factors are supplemented by those discussed under Quantitative and Qualitative Disclosures about Market Risk in Part I, Item 3 of this report and in Part II, Item 7A of our Annual Report on Form 10-K for the year ended September 30, 2006. </w:t>
      </w:r>
    </w:p>
    <w:p>
      <w:pPr>
        <w:pStyle w:val="TextBody"/>
        <w:spacing w:before="240" w:after="283"/>
        <w:jc w:val="left"/>
        <w:rPr>
          <w:rFonts w:ascii="Times New Roman;Times;serif" w:hAnsi="Times New Roman;Times;serif"/>
          <w:sz w:val="17"/>
        </w:rPr>
      </w:pPr>
      <w:bookmarkStart w:id="15" w:name="312"/>
      <w:bookmarkEnd w:id="15"/>
      <w:r>
        <w:rPr>
          <w:rFonts w:ascii="Times New Roman;Times;serif" w:hAnsi="Times New Roman;Times;serif"/>
          <w:b/>
          <w:i/>
          <w:sz w:val="17"/>
        </w:rPr>
        <w:t>Item 6.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828"/>
        <w:gridCol w:w="300"/>
        <w:gridCol w:w="9077"/>
      </w:tblGrid>
      <w:tr>
        <w:trPr/>
        <w:tc>
          <w:tcPr>
            <w:tcW w:w="828" w:type="dxa"/>
            <w:tcBorders/>
            <w:shd w:fill="auto" w:val="clear"/>
            <w:vAlign w:val="bottom"/>
          </w:tcPr>
          <w:p>
            <w:pPr>
              <w:pStyle w:val="TableContents"/>
              <w:spacing w:before="0" w:after="283"/>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vAlign w:val="bottom"/>
          </w:tcPr>
          <w:p>
            <w:pPr>
              <w:pStyle w:val="TableContents"/>
              <w:spacing w:before="0" w:after="283"/>
              <w:rPr/>
            </w:pPr>
            <w:r>
              <w:rPr/>
              <w:t> </w:t>
            </w:r>
          </w:p>
        </w:tc>
      </w:tr>
      <w:tr>
        <w:trPr/>
        <w:tc>
          <w:tcPr>
            <w:tcW w:w="828" w:type="dxa"/>
            <w:tcBorders/>
            <w:shd w:fill="auto" w:val="clear"/>
            <w:vAlign w:val="bottom"/>
          </w:tcPr>
          <w:p>
            <w:pPr>
              <w:pStyle w:val="TableContents"/>
              <w:spacing w:before="0" w:after="283"/>
              <w:jc w:val="left"/>
              <w:rPr/>
            </w:pPr>
            <w:r>
              <w:rPr/>
              <w:t>Exhibit</w:t>
            </w:r>
          </w:p>
        </w:tc>
        <w:tc>
          <w:tcPr>
            <w:tcW w:w="300" w:type="dxa"/>
            <w:tcBorders/>
            <w:shd w:fill="auto" w:val="clear"/>
            <w:vAlign w:val="bottom"/>
          </w:tcPr>
          <w:p>
            <w:pPr>
              <w:pStyle w:val="TableContents"/>
              <w:spacing w:before="0" w:after="283"/>
              <w:rPr/>
            </w:pPr>
            <w:r>
              <w:rPr/>
              <w:t> </w:t>
            </w:r>
          </w:p>
        </w:tc>
        <w:tc>
          <w:tcPr>
            <w:tcW w:w="9077" w:type="dxa"/>
            <w:tcBorders/>
            <w:shd w:fill="auto" w:val="clear"/>
            <w:vAlign w:val="bottom"/>
          </w:tcPr>
          <w:p>
            <w:pPr>
              <w:pStyle w:val="TableContents"/>
              <w:spacing w:before="0" w:after="283"/>
              <w:jc w:val="center"/>
              <w:rPr/>
            </w:pPr>
            <w:r>
              <w:rPr/>
              <w:t> </w:t>
            </w:r>
          </w:p>
        </w:tc>
      </w:tr>
      <w:tr>
        <w:trPr/>
        <w:tc>
          <w:tcPr>
            <w:tcW w:w="828"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300" w:type="dxa"/>
            <w:tcBorders/>
            <w:shd w:fill="auto" w:val="clear"/>
            <w:vAlign w:val="bottom"/>
          </w:tcPr>
          <w:p>
            <w:pPr>
              <w:pStyle w:val="TableContents"/>
              <w:spacing w:before="0" w:after="283"/>
              <w:rPr/>
            </w:pPr>
            <w:r>
              <w:rPr/>
              <w:t> </w:t>
            </w:r>
          </w:p>
        </w:tc>
        <w:tc>
          <w:tcPr>
            <w:tcW w:w="9077"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r>
      <w:tr>
        <w:trPr/>
        <w:tc>
          <w:tcPr>
            <w:tcW w:w="828" w:type="dxa"/>
            <w:tcBorders/>
            <w:shd w:fill="auto" w:val="clear"/>
          </w:tcPr>
          <w:p>
            <w:pPr>
              <w:pStyle w:val="TableContents"/>
              <w:spacing w:before="0" w:after="0"/>
              <w:ind w:left="0" w:right="0" w:hanging="0"/>
              <w:jc w:val="center"/>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10.105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First Amendment to Fourth Amended and Restated Credit Agreement between the Company and Wells Fargo Bank Texas, N.A., as the Agent and Issuing Bank, re: $40 million credit facility.</w:t>
            </w:r>
          </w:p>
        </w:tc>
      </w:tr>
      <w:tr>
        <w:trPr/>
        <w:tc>
          <w:tcPr>
            <w:tcW w:w="828" w:type="dxa"/>
            <w:tcBorders/>
            <w:shd w:fill="auto" w:val="clear"/>
          </w:tcPr>
          <w:p>
            <w:pPr>
              <w:pStyle w:val="TableContents"/>
              <w:spacing w:before="0" w:after="0"/>
              <w:ind w:left="0" w:right="0" w:hanging="0"/>
              <w:jc w:val="center"/>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31.1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of Chief Executive Officer Pursuant to Section 302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31.2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of Chief Financial Officer Pursuant to Section 302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32.1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of Chief Executive Officer Pursuant to Section 906 of the Sarbanes-Oxley Act of 2002</w:t>
            </w:r>
          </w:p>
        </w:tc>
      </w:tr>
      <w:tr>
        <w:trPr/>
        <w:tc>
          <w:tcPr>
            <w:tcW w:w="828" w:type="dxa"/>
            <w:tcBorders/>
            <w:shd w:fill="auto" w:val="clear"/>
          </w:tcPr>
          <w:p>
            <w:pPr>
              <w:pStyle w:val="TableContents"/>
              <w:spacing w:before="0" w:after="0"/>
              <w:ind w:left="0" w:right="0" w:hanging="0"/>
              <w:jc w:val="center"/>
              <w:rPr/>
            </w:pPr>
            <w:r>
              <w:rPr/>
              <w:t>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 </w:t>
            </w:r>
          </w:p>
        </w:tc>
      </w:tr>
      <w:tr>
        <w:trPr/>
        <w:tc>
          <w:tcPr>
            <w:tcW w:w="828" w:type="dxa"/>
            <w:tcBorders/>
            <w:shd w:fill="auto" w:val="clear"/>
          </w:tcPr>
          <w:p>
            <w:pPr>
              <w:pStyle w:val="TableContents"/>
              <w:spacing w:before="0" w:after="0"/>
              <w:ind w:left="0" w:right="0" w:hanging="0"/>
              <w:jc w:val="center"/>
              <w:rPr/>
            </w:pPr>
            <w:r>
              <w:rPr/>
              <w:t xml:space="preserve">32.2 </w:t>
            </w:r>
          </w:p>
        </w:tc>
        <w:tc>
          <w:tcPr>
            <w:tcW w:w="300" w:type="dxa"/>
            <w:tcBorders/>
            <w:shd w:fill="auto" w:val="clear"/>
            <w:vAlign w:val="bottom"/>
          </w:tcPr>
          <w:p>
            <w:pPr>
              <w:pStyle w:val="TableContents"/>
              <w:spacing w:before="0" w:after="283"/>
              <w:rPr/>
            </w:pPr>
            <w:r>
              <w:rPr/>
              <w:t> </w:t>
            </w:r>
          </w:p>
        </w:tc>
        <w:tc>
          <w:tcPr>
            <w:tcW w:w="9077" w:type="dxa"/>
            <w:tcBorders/>
            <w:shd w:fill="auto" w:val="clear"/>
          </w:tcPr>
          <w:p>
            <w:pPr>
              <w:pStyle w:val="TableContents"/>
              <w:spacing w:before="0" w:after="283"/>
              <w:jc w:val="left"/>
              <w:rPr/>
            </w:pPr>
            <w:r>
              <w:rPr/>
              <w:t>Certification of Chief Financial Officer Pursuant to Section 906 of the Sarbanes-Oxley Act of 2002</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30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6" w:name="313"/>
      <w:bookmarkEnd w:id="16"/>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Pursuant to the requirements of the Securities Exchange Act of 1934, the registrant has duly caused this report to be signed on its behalf by the undersigned thereunto duly authorized. </w:t>
      </w:r>
    </w:p>
    <w:tbl>
      <w:tblPr>
        <w:tblW w:w="5000" w:type="pct"/>
        <w:jc w:val="left"/>
        <w:tblInd w:w="0" w:type="dxa"/>
        <w:tblCellMar>
          <w:top w:w="0" w:type="dxa"/>
          <w:left w:w="0" w:type="dxa"/>
          <w:bottom w:w="0" w:type="dxa"/>
          <w:right w:w="0" w:type="dxa"/>
        </w:tblCellMar>
      </w:tblPr>
      <w:tblGrid>
        <w:gridCol w:w="4365"/>
        <w:gridCol w:w="759"/>
        <w:gridCol w:w="577"/>
        <w:gridCol w:w="3232"/>
        <w:gridCol w:w="1272"/>
      </w:tblGrid>
      <w:tr>
        <w:trPr/>
        <w:tc>
          <w:tcPr>
            <w:tcW w:w="4365" w:type="dxa"/>
            <w:tcBorders/>
            <w:shd w:fill="auto" w:val="clear"/>
            <w:vAlign w:val="center"/>
          </w:tcPr>
          <w:p>
            <w:pPr>
              <w:pStyle w:val="TableContents"/>
              <w:spacing w:before="0" w:after="283"/>
              <w:rPr/>
            </w:pPr>
            <w:r>
              <w:rPr/>
              <w:t> </w:t>
            </w:r>
          </w:p>
        </w:tc>
        <w:tc>
          <w:tcPr>
            <w:tcW w:w="759" w:type="dxa"/>
            <w:tcBorders/>
            <w:shd w:fill="auto" w:val="clear"/>
            <w:vAlign w:val="center"/>
          </w:tcPr>
          <w:p>
            <w:pPr>
              <w:pStyle w:val="TableContents"/>
              <w:spacing w:before="0" w:after="283"/>
              <w:rPr/>
            </w:pPr>
            <w:r>
              <w:rPr/>
              <w:t> </w:t>
            </w:r>
          </w:p>
        </w:tc>
        <w:tc>
          <w:tcPr>
            <w:tcW w:w="577" w:type="dxa"/>
            <w:tcBorders/>
            <w:shd w:fill="auto" w:val="clear"/>
            <w:vAlign w:val="center"/>
          </w:tcPr>
          <w:p>
            <w:pPr>
              <w:pStyle w:val="TableContents"/>
              <w:spacing w:before="0" w:after="283"/>
              <w:rPr/>
            </w:pPr>
            <w:r>
              <w:rPr/>
              <w:t> </w:t>
            </w:r>
          </w:p>
        </w:tc>
        <w:tc>
          <w:tcPr>
            <w:tcW w:w="3232" w:type="dxa"/>
            <w:tcBorders/>
            <w:shd w:fill="auto" w:val="clear"/>
            <w:vAlign w:val="center"/>
          </w:tcPr>
          <w:p>
            <w:pPr>
              <w:pStyle w:val="TableContents"/>
              <w:spacing w:before="0" w:after="283"/>
              <w:rPr/>
            </w:pPr>
            <w:r>
              <w:rPr/>
              <w:t> </w:t>
            </w:r>
          </w:p>
        </w:tc>
        <w:tc>
          <w:tcPr>
            <w:tcW w:w="1272" w:type="dxa"/>
            <w:tcBorders/>
            <w:shd w:fill="auto" w:val="clear"/>
            <w:vAlign w:val="center"/>
          </w:tcPr>
          <w:p>
            <w:pPr>
              <w:pStyle w:val="TableContents"/>
              <w:spacing w:before="0" w:after="283"/>
              <w:rPr/>
            </w:pPr>
            <w:r>
              <w:rPr/>
              <w:t> </w:t>
            </w:r>
          </w:p>
        </w:tc>
      </w:tr>
      <w:tr>
        <w:trPr/>
        <w:tc>
          <w:tcPr>
            <w:tcW w:w="4365" w:type="dxa"/>
            <w:tcBorders/>
            <w:shd w:fill="auto" w:val="clear"/>
          </w:tcPr>
          <w:p>
            <w:pPr>
              <w:pStyle w:val="TableContents"/>
              <w:spacing w:before="0" w:after="283"/>
              <w:jc w:val="left"/>
              <w:rPr/>
            </w:pPr>
            <w:r>
              <w:rPr/>
              <w:t> </w:t>
            </w:r>
          </w:p>
        </w:tc>
        <w:tc>
          <w:tcPr>
            <w:tcW w:w="4568" w:type="dxa"/>
            <w:gridSpan w:val="3"/>
            <w:tcBorders/>
            <w:shd w:fill="auto" w:val="clear"/>
            <w:vAlign w:val="center"/>
          </w:tcPr>
          <w:p>
            <w:pPr>
              <w:pStyle w:val="TableContents"/>
              <w:spacing w:before="0" w:after="283"/>
              <w:jc w:val="left"/>
              <w:rPr/>
            </w:pPr>
            <w:r>
              <w:rPr>
                <w:u w:val="single"/>
              </w:rPr>
              <w:t>EZCORP, INC.</w:t>
            </w:r>
            <w:r>
              <w:rPr/>
              <w:br/>
              <w:t>(Registrant)</w:t>
              <w:br/>
              <w:t> </w:t>
            </w:r>
          </w:p>
        </w:tc>
        <w:tc>
          <w:tcPr>
            <w:tcW w:w="1272" w:type="dxa"/>
            <w:tcBorders/>
            <w:shd w:fill="auto" w:val="clear"/>
            <w:vAlign w:val="center"/>
          </w:tcPr>
          <w:p>
            <w:pPr>
              <w:pStyle w:val="TableContents"/>
              <w:spacing w:before="0" w:after="283"/>
              <w:rPr/>
            </w:pPr>
            <w:r>
              <w:rPr/>
              <w:t> </w:t>
            </w:r>
          </w:p>
        </w:tc>
      </w:tr>
      <w:tr>
        <w:trPr/>
        <w:tc>
          <w:tcPr>
            <w:tcW w:w="4365" w:type="dxa"/>
            <w:tcBorders/>
            <w:shd w:fill="auto" w:val="clear"/>
            <w:vAlign w:val="center"/>
          </w:tcPr>
          <w:p>
            <w:pPr>
              <w:pStyle w:val="TableContents"/>
              <w:spacing w:before="0" w:after="283"/>
              <w:rPr/>
            </w:pPr>
            <w:r>
              <w:rPr/>
              <w:t> </w:t>
            </w:r>
          </w:p>
        </w:tc>
        <w:tc>
          <w:tcPr>
            <w:tcW w:w="5840" w:type="dxa"/>
            <w:gridSpan w:val="4"/>
            <w:tcBorders/>
            <w:shd w:fill="auto" w:val="clear"/>
          </w:tcPr>
          <w:p>
            <w:pPr>
              <w:pStyle w:val="TableContents"/>
              <w:spacing w:before="0" w:after="283"/>
              <w:rPr>
                <w:sz w:val="4"/>
                <w:szCs w:val="4"/>
              </w:rPr>
            </w:pPr>
            <w:r>
              <w:rPr>
                <w:sz w:val="4"/>
                <w:szCs w:val="4"/>
              </w:rPr>
            </w:r>
          </w:p>
        </w:tc>
      </w:tr>
      <w:tr>
        <w:trPr/>
        <w:tc>
          <w:tcPr>
            <w:tcW w:w="4365" w:type="dxa"/>
            <w:tcBorders/>
            <w:shd w:fill="auto" w:val="clear"/>
            <w:vAlign w:val="center"/>
          </w:tcPr>
          <w:p>
            <w:pPr>
              <w:pStyle w:val="TableContents"/>
              <w:spacing w:before="0" w:after="283"/>
              <w:jc w:val="left"/>
              <w:rPr/>
            </w:pPr>
            <w:r>
              <w:rPr/>
              <w:t>Date: August 6, 2007 </w:t>
            </w:r>
          </w:p>
        </w:tc>
        <w:tc>
          <w:tcPr>
            <w:tcW w:w="759" w:type="dxa"/>
            <w:tcBorders/>
            <w:shd w:fill="auto" w:val="clear"/>
          </w:tcPr>
          <w:p>
            <w:pPr>
              <w:pStyle w:val="TableContents"/>
              <w:spacing w:before="0" w:after="283"/>
              <w:rPr/>
            </w:pPr>
            <w:r>
              <w:rPr/>
              <w:t>By:  </w:t>
            </w:r>
          </w:p>
        </w:tc>
        <w:tc>
          <w:tcPr>
            <w:tcW w:w="3809" w:type="dxa"/>
            <w:gridSpan w:val="2"/>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272" w:type="dxa"/>
            <w:tcBorders/>
            <w:shd w:fill="auto" w:val="clear"/>
            <w:vAlign w:val="center"/>
          </w:tcPr>
          <w:p>
            <w:pPr>
              <w:pStyle w:val="TableContents"/>
              <w:spacing w:before="0" w:after="283"/>
              <w:rPr/>
            </w:pPr>
            <w:r>
              <w:rPr/>
              <w:t> </w:t>
            </w:r>
          </w:p>
        </w:tc>
      </w:tr>
      <w:tr>
        <w:trPr/>
        <w:tc>
          <w:tcPr>
            <w:tcW w:w="4365" w:type="dxa"/>
            <w:tcBorders/>
            <w:shd w:fill="auto" w:val="clear"/>
            <w:vAlign w:val="center"/>
          </w:tcPr>
          <w:p>
            <w:pPr>
              <w:pStyle w:val="TableContents"/>
              <w:spacing w:before="0" w:after="283"/>
              <w:jc w:val="left"/>
              <w:rPr/>
            </w:pPr>
            <w:r>
              <w:rPr/>
              <w:t> </w:t>
            </w:r>
          </w:p>
        </w:tc>
        <w:tc>
          <w:tcPr>
            <w:tcW w:w="759" w:type="dxa"/>
            <w:tcBorders/>
            <w:shd w:fill="auto" w:val="clear"/>
            <w:vAlign w:val="center"/>
          </w:tcPr>
          <w:p>
            <w:pPr>
              <w:pStyle w:val="TableContents"/>
              <w:spacing w:before="0" w:after="283"/>
              <w:rPr/>
            </w:pPr>
            <w:r>
              <w:rPr/>
              <w:t> </w:t>
            </w:r>
          </w:p>
        </w:tc>
        <w:tc>
          <w:tcPr>
            <w:tcW w:w="3809" w:type="dxa"/>
            <w:gridSpan w:val="2"/>
            <w:tcBorders/>
            <w:shd w:fill="auto" w:val="clear"/>
            <w:vAlign w:val="center"/>
          </w:tcPr>
          <w:p>
            <w:pPr>
              <w:pStyle w:val="TableContents"/>
              <w:spacing w:before="0" w:after="283"/>
              <w:jc w:val="left"/>
              <w:rPr/>
            </w:pPr>
            <w:r>
              <w:rPr/>
              <w:t>(Signature) </w:t>
            </w:r>
          </w:p>
        </w:tc>
        <w:tc>
          <w:tcPr>
            <w:tcW w:w="1272" w:type="dxa"/>
            <w:tcBorders/>
            <w:shd w:fill="auto" w:val="clear"/>
            <w:vAlign w:val="center"/>
          </w:tcPr>
          <w:p>
            <w:pPr>
              <w:pStyle w:val="TableContents"/>
              <w:spacing w:before="0" w:after="283"/>
              <w:rPr/>
            </w:pPr>
            <w:r>
              <w:rPr/>
              <w:t> </w:t>
            </w:r>
          </w:p>
        </w:tc>
      </w:tr>
      <w:tr>
        <w:trPr/>
        <w:tc>
          <w:tcPr>
            <w:tcW w:w="4365" w:type="dxa"/>
            <w:tcBorders/>
            <w:shd w:fill="auto" w:val="clear"/>
            <w:vAlign w:val="center"/>
          </w:tcPr>
          <w:p>
            <w:pPr>
              <w:pStyle w:val="TableContents"/>
              <w:spacing w:before="0" w:after="283"/>
              <w:jc w:val="left"/>
              <w:rPr/>
            </w:pPr>
            <w:r>
              <w:rPr/>
              <w:t> </w:t>
            </w:r>
          </w:p>
        </w:tc>
        <w:tc>
          <w:tcPr>
            <w:tcW w:w="759" w:type="dxa"/>
            <w:tcBorders/>
            <w:shd w:fill="auto" w:val="clear"/>
            <w:vAlign w:val="center"/>
          </w:tcPr>
          <w:p>
            <w:pPr>
              <w:pStyle w:val="TableContents"/>
              <w:spacing w:before="0" w:after="283"/>
              <w:rPr/>
            </w:pPr>
            <w:r>
              <w:rPr/>
              <w:t> </w:t>
            </w:r>
          </w:p>
        </w:tc>
        <w:tc>
          <w:tcPr>
            <w:tcW w:w="3809" w:type="dxa"/>
            <w:gridSpan w:val="2"/>
            <w:tcBorders/>
            <w:shd w:fill="auto" w:val="clear"/>
            <w:vAlign w:val="center"/>
          </w:tcPr>
          <w:p>
            <w:pPr>
              <w:pStyle w:val="TableContents"/>
              <w:spacing w:before="0" w:after="283"/>
              <w:jc w:val="left"/>
              <w:rPr/>
            </w:pPr>
            <w:r>
              <w:rPr/>
              <w:t> </w:t>
            </w:r>
          </w:p>
        </w:tc>
        <w:tc>
          <w:tcPr>
            <w:tcW w:w="1272" w:type="dxa"/>
            <w:tcBorders/>
            <w:shd w:fill="auto" w:val="clear"/>
            <w:vAlign w:val="center"/>
          </w:tcPr>
          <w:p>
            <w:pPr>
              <w:pStyle w:val="TableContents"/>
              <w:spacing w:before="0" w:after="283"/>
              <w:rPr/>
            </w:pPr>
            <w:r>
              <w:rPr/>
              <w:t> </w:t>
            </w:r>
          </w:p>
        </w:tc>
      </w:tr>
      <w:tr>
        <w:trPr/>
        <w:tc>
          <w:tcPr>
            <w:tcW w:w="4365" w:type="dxa"/>
            <w:tcBorders/>
            <w:shd w:fill="auto" w:val="clear"/>
            <w:vAlign w:val="center"/>
          </w:tcPr>
          <w:p>
            <w:pPr>
              <w:pStyle w:val="TableContents"/>
              <w:spacing w:before="0" w:after="283"/>
              <w:jc w:val="left"/>
              <w:rPr/>
            </w:pPr>
            <w:r>
              <w:rPr/>
              <w:t> </w:t>
            </w:r>
          </w:p>
        </w:tc>
        <w:tc>
          <w:tcPr>
            <w:tcW w:w="759" w:type="dxa"/>
            <w:tcBorders/>
            <w:shd w:fill="auto" w:val="clear"/>
            <w:vAlign w:val="center"/>
          </w:tcPr>
          <w:p>
            <w:pPr>
              <w:pStyle w:val="TableContents"/>
              <w:spacing w:before="0" w:after="283"/>
              <w:rPr/>
            </w:pPr>
            <w:r>
              <w:rPr/>
              <w:t> </w:t>
            </w:r>
          </w:p>
        </w:tc>
        <w:tc>
          <w:tcPr>
            <w:tcW w:w="3809" w:type="dxa"/>
            <w:gridSpan w:val="2"/>
            <w:tcBorders/>
            <w:shd w:fill="auto" w:val="clear"/>
            <w:vAlign w:val="center"/>
          </w:tcPr>
          <w:p>
            <w:pPr>
              <w:pStyle w:val="TableContents"/>
              <w:spacing w:before="0" w:after="283"/>
              <w:jc w:val="left"/>
              <w:rPr/>
            </w:pPr>
            <w:r>
              <w:rPr/>
              <w:t>Dan N. Tonissen</w:t>
              <w:br/>
              <w:t>Senior Vice President,</w:t>
              <w:br/>
              <w:t>Chief Financial Officer &amp;</w:t>
              <w:br/>
              <w:t>Director</w:t>
            </w:r>
          </w:p>
        </w:tc>
        <w:tc>
          <w:tcPr>
            <w:tcW w:w="1272"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31 </w:t>
      </w:r>
    </w:p>
    <w:p>
      <w:pPr>
        <w:pStyle w:val="HorizontalLine"/>
        <w:pBdr>
          <w:bottom w:val="single" w:sz="20" w:space="0" w:color="808080"/>
        </w:pBdr>
        <w:rPr/>
      </w:pPr>
      <w:r>
        <w:rPr/>
      </w:r>
      <w:r>
        <w:br w:type="page"/>
      </w:r>
    </w:p>
    <w:p>
      <w:pPr>
        <w:pStyle w:val="Heading5"/>
        <w:jc w:val="left"/>
        <w:rPr/>
      </w:pPr>
      <w:hyperlink w:anchor="tocpage">
        <w:r>
          <w:rPr>
            <w:rStyle w:val="InternetLink"/>
          </w:rPr>
          <w:t>Table of Contents</w:t>
        </w:r>
      </w:hyperlink>
    </w:p>
    <w:p>
      <w:pPr>
        <w:pStyle w:val="TextBody"/>
        <w:spacing w:before="360" w:after="283"/>
        <w:jc w:val="center"/>
        <w:rPr>
          <w:rFonts w:ascii="Times New Roman;Times;serif" w:hAnsi="Times New Roman;Times;serif"/>
          <w:sz w:val="17"/>
        </w:rPr>
      </w:pPr>
      <w:bookmarkStart w:id="17" w:name="314"/>
      <w:bookmarkEnd w:id="17"/>
      <w:r>
        <w:rPr>
          <w:rFonts w:ascii="Times New Roman;Times;serif" w:hAnsi="Times New Roman;Times;serif"/>
          <w:sz w:val="17"/>
        </w:rPr>
        <w:t xml:space="preserve">EXHIBIT INDEX </w:t>
      </w:r>
    </w:p>
    <w:tbl>
      <w:tblPr>
        <w:tblW w:w="5000" w:type="pct"/>
        <w:jc w:val="center"/>
        <w:tblInd w:w="0" w:type="dxa"/>
        <w:tblCellMar>
          <w:top w:w="0" w:type="dxa"/>
          <w:left w:w="0" w:type="dxa"/>
          <w:bottom w:w="0" w:type="dxa"/>
          <w:right w:w="0" w:type="dxa"/>
        </w:tblCellMar>
      </w:tblPr>
      <w:tblGrid>
        <w:gridCol w:w="824"/>
        <w:gridCol w:w="298"/>
        <w:gridCol w:w="8961"/>
        <w:gridCol w:w="60"/>
        <w:gridCol w:w="62"/>
      </w:tblGrid>
      <w:tr>
        <w:trPr/>
        <w:tc>
          <w:tcPr>
            <w:tcW w:w="824" w:type="dxa"/>
            <w:tcBorders/>
            <w:shd w:fill="auto" w:val="clear"/>
            <w:vAlign w:val="bottom"/>
          </w:tcPr>
          <w:p>
            <w:pPr>
              <w:pStyle w:val="TableContents"/>
              <w:spacing w:before="0" w:after="283"/>
              <w:rPr/>
            </w:pPr>
            <w:r>
              <w:rPr/>
              <w:t> </w:t>
            </w:r>
          </w:p>
        </w:tc>
        <w:tc>
          <w:tcPr>
            <w:tcW w:w="298" w:type="dxa"/>
            <w:tcBorders/>
            <w:shd w:fill="auto" w:val="clear"/>
            <w:vAlign w:val="bottom"/>
          </w:tcPr>
          <w:p>
            <w:pPr>
              <w:pStyle w:val="TableContents"/>
              <w:spacing w:before="0" w:after="283"/>
              <w:rPr/>
            </w:pPr>
            <w:r>
              <w:rPr/>
              <w:t> </w:t>
            </w:r>
          </w:p>
        </w:tc>
        <w:tc>
          <w:tcPr>
            <w:tcW w:w="8961"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824" w:type="dxa"/>
            <w:tcBorders/>
            <w:shd w:fill="auto" w:val="clear"/>
            <w:vAlign w:val="bottom"/>
          </w:tcPr>
          <w:p>
            <w:pPr>
              <w:pStyle w:val="TableContents"/>
              <w:spacing w:before="0" w:after="283"/>
              <w:jc w:val="left"/>
              <w:rPr/>
            </w:pPr>
            <w:r>
              <w:rPr/>
              <w:t>Exhibit</w:t>
            </w:r>
          </w:p>
        </w:tc>
        <w:tc>
          <w:tcPr>
            <w:tcW w:w="298" w:type="dxa"/>
            <w:tcBorders/>
            <w:shd w:fill="auto" w:val="clear"/>
            <w:vAlign w:val="bottom"/>
          </w:tcPr>
          <w:p>
            <w:pPr>
              <w:pStyle w:val="TableContents"/>
              <w:spacing w:before="0" w:after="283"/>
              <w:rPr/>
            </w:pPr>
            <w:r>
              <w:rPr/>
              <w:t> </w:t>
            </w:r>
          </w:p>
        </w:tc>
        <w:tc>
          <w:tcPr>
            <w:tcW w:w="8961" w:type="dxa"/>
            <w:tcBorders/>
            <w:shd w:fill="auto" w:val="clear"/>
            <w:vAlign w:val="bottom"/>
          </w:tcPr>
          <w:p>
            <w:pPr>
              <w:pStyle w:val="TableContents"/>
              <w:spacing w:before="0" w:after="283"/>
              <w:jc w:val="center"/>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824" w:type="dxa"/>
            <w:tcBorders>
              <w:bottom w:val="single" w:sz="2" w:space="0" w:color="000000"/>
            </w:tcBorders>
            <w:shd w:fill="auto" w:val="clear"/>
            <w:tcMar>
              <w:bottom w:w="28" w:type="dxa"/>
            </w:tcMar>
            <w:vAlign w:val="bottom"/>
          </w:tcPr>
          <w:p>
            <w:pPr>
              <w:pStyle w:val="TableContents"/>
              <w:spacing w:before="0" w:after="283"/>
              <w:jc w:val="left"/>
              <w:rPr/>
            </w:pPr>
            <w:r>
              <w:rPr/>
              <w:t>Number</w:t>
            </w:r>
          </w:p>
        </w:tc>
        <w:tc>
          <w:tcPr>
            <w:tcW w:w="298" w:type="dxa"/>
            <w:tcBorders/>
            <w:shd w:fill="auto" w:val="clear"/>
            <w:vAlign w:val="bottom"/>
          </w:tcPr>
          <w:p>
            <w:pPr>
              <w:pStyle w:val="TableContents"/>
              <w:spacing w:before="0" w:after="283"/>
              <w:rPr/>
            </w:pPr>
            <w:r>
              <w:rPr/>
              <w:t> </w:t>
            </w:r>
          </w:p>
        </w:tc>
        <w:tc>
          <w:tcPr>
            <w:tcW w:w="8961" w:type="dxa"/>
            <w:tcBorders>
              <w:bottom w:val="single" w:sz="2" w:space="0" w:color="000000"/>
            </w:tcBorders>
            <w:shd w:fill="auto" w:val="clear"/>
            <w:tcMar>
              <w:bottom w:w="28" w:type="dxa"/>
            </w:tcMar>
            <w:vAlign w:val="bottom"/>
          </w:tcPr>
          <w:p>
            <w:pPr>
              <w:pStyle w:val="TableContents"/>
              <w:spacing w:before="0" w:after="283"/>
              <w:jc w:val="center"/>
              <w:rPr/>
            </w:pPr>
            <w:r>
              <w:rPr/>
              <w:t>Description</w:t>
            </w:r>
          </w:p>
        </w:tc>
        <w:tc>
          <w:tcPr>
            <w:tcW w:w="60" w:type="dxa"/>
            <w:tcBorders/>
            <w:shd w:fill="auto" w:val="clear"/>
            <w:vAlign w:val="bottom"/>
          </w:tcPr>
          <w:p>
            <w:pPr>
              <w:pStyle w:val="TableContents"/>
              <w:spacing w:before="0" w:after="283"/>
              <w:rPr/>
            </w:pPr>
            <w:r>
              <w:rPr/>
              <w:t> </w:t>
            </w:r>
          </w:p>
        </w:tc>
        <w:tc>
          <w:tcPr>
            <w:tcW w:w="62" w:type="dxa"/>
            <w:tcBorders/>
            <w:shd w:fill="auto" w:val="clear"/>
            <w:vAlign w:val="bottom"/>
          </w:tcPr>
          <w:p>
            <w:pPr>
              <w:pStyle w:val="TableContents"/>
              <w:spacing w:before="0" w:after="283"/>
              <w:rPr/>
            </w:pPr>
            <w:r>
              <w:rPr/>
              <w:t> </w:t>
            </w:r>
          </w:p>
        </w:tc>
      </w:tr>
      <w:tr>
        <w:trPr/>
        <w:tc>
          <w:tcPr>
            <w:tcW w:w="824" w:type="dxa"/>
            <w:tcBorders/>
            <w:shd w:fill="auto" w:val="clear"/>
          </w:tcPr>
          <w:p>
            <w:pPr>
              <w:pStyle w:val="TableContents"/>
              <w:spacing w:before="0" w:after="0"/>
              <w:ind w:left="0" w:right="0" w:hanging="0"/>
              <w:jc w:val="center"/>
              <w:rPr/>
            </w:pPr>
            <w:r>
              <w:rPr/>
              <w:t xml:space="preserve">10.105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First Amendment to Fourth Amended and Restated Credit Agreement between the Company and Wells Fargo Bank Texas, N.A., as the Agent and Issuing Bank, re: $40 million credit facility.</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xml:space="preserve">31.1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Certification of Chief Executive Officer Pursuant to Section 302 of the Sarbanes-Oxley Act of 2002</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xml:space="preserve">31.2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Certification of Chief Financial Officer Pursuant to Section 302 of the Sarbanes-Oxley Act of 2002</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xml:space="preserve">32.1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Certification of Chief Executive Officer Pursuant to Section 906 of the Sarbanes-Oxley Act of 2002</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283"/>
              <w:jc w:val="left"/>
              <w:rPr/>
            </w:pPr>
            <w:r>
              <w:rPr/>
              <w:t> </w:t>
            </w:r>
          </w:p>
        </w:tc>
        <w:tc>
          <w:tcPr>
            <w:tcW w:w="9381" w:type="dxa"/>
            <w:gridSpan w:val="4"/>
            <w:tcBorders/>
            <w:shd w:fill="auto" w:val="clear"/>
          </w:tcPr>
          <w:p>
            <w:pPr>
              <w:pStyle w:val="TableContents"/>
              <w:spacing w:before="0" w:after="283"/>
              <w:rPr>
                <w:sz w:val="4"/>
                <w:szCs w:val="4"/>
              </w:rPr>
            </w:pPr>
            <w:r>
              <w:rPr>
                <w:sz w:val="4"/>
                <w:szCs w:val="4"/>
              </w:rPr>
            </w:r>
          </w:p>
        </w:tc>
      </w:tr>
      <w:tr>
        <w:trPr/>
        <w:tc>
          <w:tcPr>
            <w:tcW w:w="824" w:type="dxa"/>
            <w:tcBorders/>
            <w:shd w:fill="auto" w:val="clear"/>
          </w:tcPr>
          <w:p>
            <w:pPr>
              <w:pStyle w:val="TableContents"/>
              <w:spacing w:before="0" w:after="0"/>
              <w:ind w:left="0" w:right="0" w:hanging="0"/>
              <w:jc w:val="center"/>
              <w:rPr/>
            </w:pPr>
            <w:r>
              <w:rPr/>
              <w:t xml:space="preserve">32.2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Certification of Chief Financial Officer Pursuant to Section 906 of the Sarbanes-Oxley Act of 2002</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jc w:val="left"/>
              <w:rPr/>
            </w:pPr>
            <w:r>
              <w:rPr/>
              <w:t> </w:t>
            </w:r>
          </w:p>
        </w:tc>
      </w:tr>
      <w:tr>
        <w:trPr/>
        <w:tc>
          <w:tcPr>
            <w:tcW w:w="824" w:type="dxa"/>
            <w:tcBorders/>
            <w:shd w:fill="auto" w:val="clear"/>
          </w:tcPr>
          <w:p>
            <w:pPr>
              <w:pStyle w:val="TableContents"/>
              <w:spacing w:before="0" w:after="0"/>
              <w:ind w:left="0" w:right="0" w:hanging="0"/>
              <w:jc w:val="center"/>
              <w:rPr/>
            </w:pPr>
            <w:r>
              <w:rPr/>
              <w:t xml:space="preserve">  </w:t>
            </w:r>
          </w:p>
        </w:tc>
        <w:tc>
          <w:tcPr>
            <w:tcW w:w="298" w:type="dxa"/>
            <w:tcBorders/>
            <w:shd w:fill="auto" w:val="clear"/>
            <w:vAlign w:val="bottom"/>
          </w:tcPr>
          <w:p>
            <w:pPr>
              <w:pStyle w:val="TableContents"/>
              <w:spacing w:before="0" w:after="283"/>
              <w:rPr/>
            </w:pPr>
            <w:r>
              <w:rPr/>
              <w:t> </w:t>
            </w:r>
          </w:p>
        </w:tc>
        <w:tc>
          <w:tcPr>
            <w:tcW w:w="8961" w:type="dxa"/>
            <w:tcBorders/>
            <w:shd w:fill="auto" w:val="clear"/>
          </w:tcPr>
          <w:p>
            <w:pPr>
              <w:pStyle w:val="TableContents"/>
              <w:spacing w:before="0" w:after="283"/>
              <w:jc w:val="left"/>
              <w:rPr/>
            </w:pPr>
            <w:r>
              <w:rPr/>
              <w:t> </w:t>
            </w:r>
          </w:p>
        </w:tc>
        <w:tc>
          <w:tcPr>
            <w:tcW w:w="60" w:type="dxa"/>
            <w:tcBorders/>
            <w:shd w:fill="auto" w:val="clear"/>
            <w:vAlign w:val="bottom"/>
          </w:tcPr>
          <w:p>
            <w:pPr>
              <w:pStyle w:val="TableContents"/>
              <w:spacing w:before="0" w:after="283"/>
              <w:rPr/>
            </w:pPr>
            <w:r>
              <w:rPr/>
              <w:t> </w:t>
            </w:r>
          </w:p>
        </w:tc>
        <w:tc>
          <w:tcPr>
            <w:tcW w:w="62"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32 </w:t>
      </w:r>
      <w:r>
        <w:br w:type="page"/>
      </w:r>
    </w:p>
    <w:p>
      <w:pPr>
        <w:pStyle w:val="Heading5"/>
        <w:jc w:val="left"/>
        <w:rPr/>
      </w:pPr>
      <w:bookmarkStart w:id="18" w:name="d48834exv10w105.htm"/>
      <w:bookmarkStart w:id="19" w:name="ksd48834exv10w105"/>
      <w:bookmarkEnd w:id="18"/>
      <w:bookmarkEnd w:id="19"/>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10.105</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FIRST AMENDMENT TO FOURTH AMENDED</w:t>
        <w:br/>
        <w:t>AND RESTATED CREDIT 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This FIRST AMENDMENT TO FOURTH AMENDED AND RESTATED CREDIT AGREEMENT dated as of July 5, 2007 (this </w:t>
      </w:r>
      <w:r>
        <w:rPr>
          <w:rFonts w:ascii="Times New Roman;Times;serif" w:hAnsi="Times New Roman;Times;serif"/>
          <w:sz w:val="17"/>
          <w:u w:val="single"/>
        </w:rPr>
        <w:t>Amendment</w:t>
      </w:r>
      <w:r>
        <w:rPr>
          <w:rFonts w:ascii="Times New Roman;Times;serif" w:hAnsi="Times New Roman;Times;serif"/>
          <w:sz w:val="17"/>
        </w:rPr>
        <w:t>), is among EZCORP, INC., a Delaware corporation (the </w:t>
      </w:r>
      <w:r>
        <w:rPr>
          <w:rFonts w:ascii="Times New Roman;Times;serif" w:hAnsi="Times New Roman;Times;serif"/>
          <w:sz w:val="17"/>
          <w:u w:val="single"/>
        </w:rPr>
        <w:t>Borrower</w:t>
      </w:r>
      <w:r>
        <w:rPr>
          <w:rFonts w:ascii="Times New Roman;Times;serif" w:hAnsi="Times New Roman;Times;serif"/>
          <w:sz w:val="17"/>
        </w:rPr>
        <w:t>), the Guarantors, the Lenders, and WELLS FARGO BANK, NATIONAL ASSOCIATION, as Agent for itself and the other Lenders (the </w:t>
      </w:r>
      <w:r>
        <w:rPr>
          <w:rFonts w:ascii="Times New Roman;Times;serif" w:hAnsi="Times New Roman;Times;serif"/>
          <w:sz w:val="17"/>
          <w:u w:val="single"/>
        </w:rPr>
        <w:t>Agent</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sz w:val="17"/>
          <w:u w:val="single"/>
        </w:rPr>
        <w:t>RECITALS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A. The Borrower, the Agent, the Lenders and the Issuing Bank have previously entered into that certain Fourth Amended and Restated Credit Agreement dated as of October 13, 2006 (as the same has been amended, restated or modified from time to time, the </w:t>
      </w:r>
      <w:r>
        <w:rPr>
          <w:rFonts w:ascii="Times New Roman;Times;serif" w:hAnsi="Times New Roman;Times;serif"/>
          <w:sz w:val="17"/>
          <w:u w:val="single"/>
        </w:rPr>
        <w:t>Agreement</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B. The Agent, the Lenders and the Borrower desire to amend the Agreement on the terms and subject to the conditions and to the extent set forth below. </w:t>
      </w:r>
    </w:p>
    <w:p>
      <w:pPr>
        <w:pStyle w:val="TextBody"/>
        <w:spacing w:before="120" w:after="283"/>
        <w:jc w:val="left"/>
        <w:rPr/>
      </w:pPr>
      <w:r>
        <w:rPr/>
        <w:t>     </w:t>
      </w:r>
      <w:r>
        <w:rPr>
          <w:rFonts w:ascii="Times New Roman;Times;serif" w:hAnsi="Times New Roman;Times;serif"/>
          <w:sz w:val="17"/>
        </w:rPr>
        <w:t xml:space="preserve">NOW, THEREFORE, in consideration of the premises and the agreements, provisions and covenants herein contained, the parties hereto hereby agree as follows: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 </w:t>
      </w:r>
    </w:p>
    <w:p>
      <w:pPr>
        <w:pStyle w:val="TextBody"/>
        <w:spacing w:before="120" w:after="283"/>
        <w:jc w:val="center"/>
        <w:rPr>
          <w:rFonts w:ascii="Times New Roman;Times;serif" w:hAnsi="Times New Roman;Times;serif"/>
          <w:sz w:val="17"/>
        </w:rPr>
      </w:pPr>
      <w:r>
        <w:rPr>
          <w:rFonts w:ascii="Times New Roman;Times;serif" w:hAnsi="Times New Roman;Times;serif"/>
          <w:sz w:val="17"/>
          <w:u w:val="single"/>
        </w:rPr>
        <w:t>Definitions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1.1 </w:t>
      </w:r>
      <w:r>
        <w:rPr>
          <w:rFonts w:ascii="Times New Roman;Times;serif" w:hAnsi="Times New Roman;Times;serif"/>
          <w:sz w:val="17"/>
          <w:u w:val="single"/>
        </w:rPr>
        <w:t>Definitions</w:t>
      </w:r>
      <w:r>
        <w:rPr>
          <w:rFonts w:ascii="Times New Roman;Times;serif" w:hAnsi="Times New Roman;Times;serif"/>
          <w:sz w:val="17"/>
        </w:rPr>
        <w:t xml:space="preserve">. All capitalized terms not otherwise defined herein shall have the same meanings as in the Agreement, as amended hereby.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II </w:t>
      </w:r>
    </w:p>
    <w:p>
      <w:pPr>
        <w:pStyle w:val="TextBody"/>
        <w:spacing w:before="120" w:after="283"/>
        <w:jc w:val="center"/>
        <w:rPr>
          <w:rFonts w:ascii="Times New Roman;Times;serif" w:hAnsi="Times New Roman;Times;serif"/>
          <w:sz w:val="17"/>
        </w:rPr>
      </w:pPr>
      <w:r>
        <w:rPr>
          <w:rFonts w:ascii="Times New Roman;Times;serif" w:hAnsi="Times New Roman;Times;serif"/>
          <w:sz w:val="17"/>
          <w:u w:val="single"/>
        </w:rPr>
        <w:t>Amendment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2.1 </w:t>
      </w:r>
      <w:r>
        <w:rPr>
          <w:rFonts w:ascii="Times New Roman;Times;serif" w:hAnsi="Times New Roman;Times;serif"/>
          <w:sz w:val="17"/>
          <w:u w:val="single"/>
        </w:rPr>
        <w:t>Addition to Article I</w:t>
      </w:r>
      <w:r>
        <w:rPr>
          <w:rFonts w:ascii="Times New Roman;Times;serif" w:hAnsi="Times New Roman;Times;serif"/>
          <w:sz w:val="17"/>
        </w:rPr>
        <w:t xml:space="preserve">. Effective as of the date hereof, a new Section 1.3 is added to Article I of the Agreement to read in its entirety as follows: </w:t>
      </w:r>
    </w:p>
    <w:p>
      <w:pPr>
        <w:pStyle w:val="TextBody"/>
        <w:spacing w:before="120" w:after="283"/>
        <w:jc w:val="left"/>
        <w:rPr/>
      </w:pPr>
      <w:r>
        <w:rPr/>
        <w:t>     </w:t>
      </w:r>
      <w:r>
        <w:rPr>
          <w:rFonts w:ascii="Times New Roman;Times;serif" w:hAnsi="Times New Roman;Times;serif"/>
          <w:sz w:val="17"/>
        </w:rPr>
        <w:t xml:space="preserve">Section 1.3 </w:t>
      </w:r>
      <w:r>
        <w:rPr>
          <w:rFonts w:ascii="Times New Roman;Times;serif" w:hAnsi="Times New Roman;Times;serif"/>
          <w:sz w:val="17"/>
          <w:u w:val="single"/>
        </w:rPr>
        <w:t>Consolidation of Variable Interest Entities</w:t>
      </w:r>
      <w:r>
        <w:rPr>
          <w:rFonts w:ascii="Times New Roman;Times;serif" w:hAnsi="Times New Roman;Times;serif"/>
          <w:sz w:val="17"/>
        </w:rPr>
        <w:t xml:space="preserve">. All references herein to consolidated financial statements of the Borrower and the Subsidiaries or to the determination of any amount for the Borrower and its Subsidiaries on a consolidated basis or any similar reference shall, in each case, be deemed to include each variable interest entity that the Borrower is required to consolidate pursuant to FASB Interpretation No. 46  Consolidation of Variable Interest Entities: an interpretation of ARB No. 51 (January 2003), as if such variable interest entity were a Subsidiary as defined herein, but each such variable interest entity shall not be considered a Subsidiary for any other purpose hereunder.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2.2 </w:t>
      </w:r>
      <w:r>
        <w:rPr>
          <w:rFonts w:ascii="Times New Roman;Times;serif" w:hAnsi="Times New Roman;Times;serif"/>
          <w:sz w:val="17"/>
          <w:u w:val="single"/>
        </w:rPr>
        <w:t>Amendment to Section 9.5(c)</w:t>
      </w:r>
      <w:r>
        <w:rPr>
          <w:rFonts w:ascii="Times New Roman;Times;serif" w:hAnsi="Times New Roman;Times;serif"/>
          <w:sz w:val="17"/>
        </w:rPr>
        <w:t xml:space="preserve">. Effective as of the date hereof, the reference to the dollar amount $7,500,000 in Section 9.5(c) of the Agreement is deleted and the reference to the dollar amount $15,000,000 is inserted in lieu thereof.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III </w:t>
      </w:r>
    </w:p>
    <w:p>
      <w:pPr>
        <w:pStyle w:val="TextBody"/>
        <w:spacing w:before="120" w:after="283"/>
        <w:jc w:val="center"/>
        <w:rPr>
          <w:rFonts w:ascii="Times New Roman;Times;serif" w:hAnsi="Times New Roman;Times;serif"/>
          <w:sz w:val="17"/>
        </w:rPr>
      </w:pPr>
      <w:r>
        <w:rPr>
          <w:rFonts w:ascii="Times New Roman;Times;serif" w:hAnsi="Times New Roman;Times;serif"/>
          <w:sz w:val="17"/>
          <w:u w:val="single"/>
        </w:rPr>
        <w:t>Conditions Precedent</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3.1 </w:t>
      </w:r>
      <w:r>
        <w:rPr>
          <w:rFonts w:ascii="Times New Roman;Times;serif" w:hAnsi="Times New Roman;Times;serif"/>
          <w:sz w:val="17"/>
          <w:u w:val="single"/>
        </w:rPr>
        <w:t>Conditions</w:t>
      </w:r>
      <w:r>
        <w:rPr>
          <w:rFonts w:ascii="Times New Roman;Times;serif" w:hAnsi="Times New Roman;Times;serif"/>
          <w:sz w:val="17"/>
        </w:rPr>
        <w:t xml:space="preserve">. The effectiveness of this Amendment is subject to the satisfaction of the following conditions precedent: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u w:val="single"/>
              </w:rPr>
              <w:t>Amendment</w:t>
            </w:r>
            <w:r>
              <w:rPr/>
              <w:t>. The Agent shall have received this Amendment executed by the Borrower, the Guarantors, the Required Lenders and the Agent.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u w:val="single"/>
              </w:rPr>
              <w:t>No Default</w:t>
            </w:r>
            <w:r>
              <w:rPr/>
              <w:t>. No Default shall have occurred and be continuing.</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(c)</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u w:val="single"/>
              </w:rPr>
              <w:t>Representations and Warranties</w:t>
            </w:r>
            <w:r>
              <w:rPr/>
              <w:t>. All of the representations and warranties contained in Article VII of the Agreement and in the other Loan Documents shall be true and correct on and as of the date of this Amendment with the same force and effect as if such representations and warranties had been made on and as of such date, except to the extent such representations and warranties speak to a specific date.</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(d)</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u w:val="single"/>
              </w:rPr>
              <w:t>Additional Documentation</w:t>
            </w:r>
            <w:r>
              <w:rPr/>
              <w:t>. The Agent shall have received such additional approvals, opinions or documents as the Agent or its legal counsel may reasonably request.</w:t>
            </w:r>
          </w:p>
        </w:tc>
      </w:tr>
    </w:tbl>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IV </w:t>
      </w:r>
    </w:p>
    <w:p>
      <w:pPr>
        <w:pStyle w:val="TextBody"/>
        <w:spacing w:before="120" w:after="283"/>
        <w:jc w:val="center"/>
        <w:rPr>
          <w:rFonts w:ascii="Times New Roman;Times;serif" w:hAnsi="Times New Roman;Times;serif"/>
          <w:sz w:val="17"/>
        </w:rPr>
      </w:pPr>
      <w:r>
        <w:rPr>
          <w:rFonts w:ascii="Times New Roman;Times;serif" w:hAnsi="Times New Roman;Times;serif"/>
          <w:sz w:val="17"/>
          <w:u w:val="single"/>
        </w:rPr>
        <w:t>Ratifications, Representations and Warranties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4.1 </w:t>
      </w:r>
      <w:r>
        <w:rPr>
          <w:rFonts w:ascii="Times New Roman;Times;serif" w:hAnsi="Times New Roman;Times;serif"/>
          <w:sz w:val="17"/>
          <w:u w:val="single"/>
        </w:rPr>
        <w:t>Ratifications</w:t>
      </w:r>
      <w:r>
        <w:rPr>
          <w:rFonts w:ascii="Times New Roman;Times;serif" w:hAnsi="Times New Roman;Times;serif"/>
          <w:sz w:val="17"/>
        </w:rPr>
        <w:t xml:space="preserve">. The terms and provisions set forth in this Amendment shall modify and supersede all inconsistent terms and provisions set forth in the Agreement and except as expressly modified and superseded by this Amendment, the terms and provisions of the Agreement and the other Loan Documents are ratified and confirmed and shall continue in full force and effect. The Borrower, the Guarantors and the Agent agree that the Agreement as amended hereby and the other Loan Documents shall continue to be legal, valid, binding and enforceable in accordance with their respective terms.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4.2 </w:t>
      </w:r>
      <w:r>
        <w:rPr>
          <w:rFonts w:ascii="Times New Roman;Times;serif" w:hAnsi="Times New Roman;Times;serif"/>
          <w:sz w:val="17"/>
          <w:u w:val="single"/>
        </w:rPr>
        <w:t>Representations and Warranties</w:t>
      </w:r>
      <w:r>
        <w:rPr>
          <w:rFonts w:ascii="Times New Roman;Times;serif" w:hAnsi="Times New Roman;Times;serif"/>
          <w:sz w:val="17"/>
        </w:rPr>
        <w:t xml:space="preserve">. Each of the Borrower and the Guarantors hereby represents and warrants to the Lenders, the Agent and the Issuing Bank that (a) the execution, delivery and performance of this Amendment and any and all other Loan Documents executed and/or delivered in connection herewith have been authorized by all requisite corporate or other action on the part of the Borrower or such Guarantor and will not violate the certificate of incorporation, bylaws or other organizational documents of the Borrower or such Guarantor, (b) the representations and warranties contained in the Agreement, and any other Loan Document are true and correct on and as of the date hereof as though made on and as of the date hereof (except for such representations and warranties as are limited by their express terms to a specific date), (c) effective upon the execution of this Amendment and the Loan Documents executed in connection herewith, no Default has occurred and is continuing, and (d) the Borrower and the Guarantors are in full compliance with all covenants and agreements contained in the Agreement as amended hereby.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4.3 </w:t>
      </w:r>
      <w:r>
        <w:rPr>
          <w:rFonts w:ascii="Times New Roman;Times;serif" w:hAnsi="Times New Roman;Times;serif"/>
          <w:sz w:val="17"/>
          <w:u w:val="single"/>
        </w:rPr>
        <w:t>Ratification by Guarantors</w:t>
      </w:r>
      <w:r>
        <w:rPr>
          <w:rFonts w:ascii="Times New Roman;Times;serif" w:hAnsi="Times New Roman;Times;serif"/>
          <w:sz w:val="17"/>
        </w:rPr>
        <w:t xml:space="preserve">. The Guarantors hereby consent and agree to this Amendment and agree that the Guaranty shall remain in full force and in effect and shall continue to (a) guarantee the Guaranteed Indebtedness (as defined in the Guaranty), and (b) be the legal, valid and binding obligation of the Guarantors and enforceable against the Guarantors in accordance with its terms. In addition, the Guarantors hereby agree that each Subsidiary Security Agreement, the Contribution and Indemnification Agreement and each Real Property Security Agreement shall remain in full force and in effect and shall continue to (i) secure the Obligations (as defined in the Loan Documents other than the Real Property Security Documents) and the Debt (as defined in the Real Property Security Documents), and (ii) be the legal, valid and binding obligation of the Guarantors and enforceable against the Guarantors and collateral in accordance with their respective terms.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ARTICLE V </w:t>
      </w:r>
    </w:p>
    <w:p>
      <w:pPr>
        <w:pStyle w:val="TextBody"/>
        <w:spacing w:before="120" w:after="283"/>
        <w:jc w:val="center"/>
        <w:rPr>
          <w:rFonts w:ascii="Times New Roman;Times;serif" w:hAnsi="Times New Roman;Times;serif"/>
          <w:sz w:val="17"/>
        </w:rPr>
      </w:pPr>
      <w:r>
        <w:rPr>
          <w:rFonts w:ascii="Times New Roman;Times;serif" w:hAnsi="Times New Roman;Times;serif"/>
          <w:sz w:val="17"/>
          <w:u w:val="single"/>
        </w:rPr>
        <w:t>Miscellaneous</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5.1 </w:t>
      </w:r>
      <w:r>
        <w:rPr>
          <w:rFonts w:ascii="Times New Roman;Times;serif" w:hAnsi="Times New Roman;Times;serif"/>
          <w:sz w:val="17"/>
          <w:u w:val="single"/>
        </w:rPr>
        <w:t>Survival of Representations and Warranties</w:t>
      </w:r>
      <w:r>
        <w:rPr>
          <w:rFonts w:ascii="Times New Roman;Times;serif" w:hAnsi="Times New Roman;Times;serif"/>
          <w:sz w:val="17"/>
        </w:rPr>
        <w:t xml:space="preserve">. All representations and warranties made in this Amendment or any other Loan Document including any Loan Document furnished in connection with this Amendment shall survive the execution and delivery of this Amendment and the other Loan Documents, and no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investigation by the Lenders, the Agent or the Issuing Bank or any closing shall affect the representations and warranties or the right of the Lenders, the Agent or the Issuing Bank to rely upon them.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5.2 </w:t>
      </w:r>
      <w:r>
        <w:rPr>
          <w:rFonts w:ascii="Times New Roman;Times;serif" w:hAnsi="Times New Roman;Times;serif"/>
          <w:sz w:val="17"/>
          <w:u w:val="single"/>
        </w:rPr>
        <w:t>Reference to Agreement</w:t>
      </w:r>
      <w:r>
        <w:rPr>
          <w:rFonts w:ascii="Times New Roman;Times;serif" w:hAnsi="Times New Roman;Times;serif"/>
          <w:sz w:val="17"/>
        </w:rPr>
        <w:t xml:space="preserve">. Each of the Loan Documents, including the Agreement and any and all other agreements, documents, or instruments now or hereafter executed and delivered pursuant to the terms hereof or pursuant to the terms of the Agreement as amended hereby, are hereby amended so that any reference in such Loan Documents to the Agreement shall mean a reference to the Agreement as amended hereby.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5.3 </w:t>
      </w:r>
      <w:r>
        <w:rPr>
          <w:rFonts w:ascii="Times New Roman;Times;serif" w:hAnsi="Times New Roman;Times;serif"/>
          <w:sz w:val="17"/>
          <w:u w:val="single"/>
        </w:rPr>
        <w:t>Expenses of Agent</w:t>
      </w:r>
      <w:r>
        <w:rPr>
          <w:rFonts w:ascii="Times New Roman;Times;serif" w:hAnsi="Times New Roman;Times;serif"/>
          <w:sz w:val="17"/>
        </w:rPr>
        <w:t xml:space="preserve">. As provided in the Agreement, Borrower agrees to pay on demand all costs and expenses incurred by the Agent in connection with the preparation, negotiation, and execution of this Amendment and the other Loan Documents executed pursuant hereto and any and all amendments, modifications, and supplements thereto, including without limitation the reasonable costs and fees of the Agents legal counsel, and all costs and expenses incurred by the Agent in connection with the enforcement or preservation of any rights under the Agreement or any other Loan Document, including without limitation the reasonable costs and fees of the Agents legal counsel.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5.4 </w:t>
      </w:r>
      <w:r>
        <w:rPr>
          <w:rFonts w:ascii="Times New Roman;Times;serif" w:hAnsi="Times New Roman;Times;serif"/>
          <w:sz w:val="17"/>
          <w:u w:val="single"/>
        </w:rPr>
        <w:t>Severability</w:t>
      </w:r>
      <w:r>
        <w:rPr>
          <w:rFonts w:ascii="Times New Roman;Times;serif" w:hAnsi="Times New Roman;Times;serif"/>
          <w:sz w:val="17"/>
        </w:rPr>
        <w:t xml:space="preserve">. Any provision of this Amendment held by a court of competent jurisdiction to be invalid or unenforceable shall not impair or invalidate the remainder of this Amendment and the effect thereof shall be confined to the provision so held to be invalid or unenforceable.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5.5 </w:t>
      </w:r>
      <w:r>
        <w:rPr>
          <w:rFonts w:ascii="Times New Roman;Times;serif" w:hAnsi="Times New Roman;Times;serif"/>
          <w:sz w:val="17"/>
          <w:u w:val="single"/>
        </w:rPr>
        <w:t>Applicable Law</w:t>
      </w:r>
      <w:r>
        <w:rPr>
          <w:rFonts w:ascii="Times New Roman;Times;serif" w:hAnsi="Times New Roman;Times;serif"/>
          <w:sz w:val="17"/>
        </w:rPr>
        <w:t xml:space="preserve">. This Amendment and all other Loan Documents executed pursuant hereto shall be governed by and construed in accordance with the laws of the State of Texas and the applicable laws of the United States of America.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5.6 </w:t>
      </w:r>
      <w:r>
        <w:rPr>
          <w:rFonts w:ascii="Times New Roman;Times;serif" w:hAnsi="Times New Roman;Times;serif"/>
          <w:sz w:val="17"/>
          <w:u w:val="single"/>
        </w:rPr>
        <w:t>Successors and Assigns</w:t>
      </w:r>
      <w:r>
        <w:rPr>
          <w:rFonts w:ascii="Times New Roman;Times;serif" w:hAnsi="Times New Roman;Times;serif"/>
          <w:sz w:val="17"/>
        </w:rPr>
        <w:t xml:space="preserve">. This Amendment is binding upon and shall inure to the benefit of the Lenders, the Agent, the Issuing Bank and the Borrower and the Guarantors and their respective successors and assigns, except neither the Borrower nor any Guarantor may assign or transfer any of its rights or obligations hereunder without the prior written consent of the Lenders and the Agent.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5.7 </w:t>
      </w:r>
      <w:r>
        <w:rPr>
          <w:rFonts w:ascii="Times New Roman;Times;serif" w:hAnsi="Times New Roman;Times;serif"/>
          <w:sz w:val="17"/>
          <w:u w:val="single"/>
        </w:rPr>
        <w:t>Counterparts</w:t>
      </w:r>
      <w:r>
        <w:rPr>
          <w:rFonts w:ascii="Times New Roman;Times;serif" w:hAnsi="Times New Roman;Times;serif"/>
          <w:sz w:val="17"/>
        </w:rPr>
        <w:t>. This Amendment may be executed in one or more counterparts, each of which when so executed shall be deemed to be an original, but all of which when taken together shall constitute one and the same instrument. Signatures transmitted by facsimile, email or other electronic medium shall be effective as originals.</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5.8 </w:t>
      </w:r>
      <w:r>
        <w:rPr>
          <w:rFonts w:ascii="Times New Roman;Times;serif" w:hAnsi="Times New Roman;Times;serif"/>
          <w:sz w:val="17"/>
          <w:u w:val="single"/>
        </w:rPr>
        <w:t>Headings</w:t>
      </w:r>
      <w:r>
        <w:rPr>
          <w:rFonts w:ascii="Times New Roman;Times;serif" w:hAnsi="Times New Roman;Times;serif"/>
          <w:sz w:val="17"/>
        </w:rPr>
        <w:t xml:space="preserve">. The headings, captions, and arrangements used in this Amendment are for convenience only and shall not affect the interpretation of this Amendment.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5.9 </w:t>
      </w:r>
      <w:r>
        <w:rPr>
          <w:rFonts w:ascii="Times New Roman;Times;serif" w:hAnsi="Times New Roman;Times;serif"/>
          <w:sz w:val="17"/>
          <w:u w:val="single"/>
        </w:rPr>
        <w:t>ENTIRE AGREEMENT</w:t>
      </w:r>
      <w:r>
        <w:rPr>
          <w:rFonts w:ascii="Times New Roman;Times;serif" w:hAnsi="Times New Roman;Times;serif"/>
          <w:sz w:val="17"/>
        </w:rPr>
        <w:t xml:space="preserve">. THIS AMENDMENT AND ALL OTHER INSTRUMENTS, DOCUMENTS AND AGREEMENTS EXECUTED AND DELIVERED IN CONNECTION WITH THIS AMENDMENT EMBODY THE FINAL, ENTIRE AGREEMENT AMONG THE PARTIES HERETO WITH RESPECT TO THE SUBJECT MATTER HEREOF AND SUPERSEDE ANY AND ALL PRIOR COMMITMENTS, AGREEMENTS, REPRESENTATIONS AND UNDERSTANDINGS, WHETHER WRITTEN OR ORAL, RELATING TO THIS AMENDMENT, AND MAY NOT BE CONTRADICTED OR VARIED BY EVIDENCE OF PRIOR, CONTEMPORANEOUS OR SUBSEQUENT ORAL AGREEMENTS OR DISCUSSIONS OF THE PARTIES HERETO. THERE ARE NO UNWRITTEN ORAL AGREEMENTS AMONG THE PARTIES HERETO.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 xml:space="preserve">[Remainder of Page Intentionally Left Blank]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Executed as of the date first written above. </w:t>
      </w:r>
    </w:p>
    <w:tbl>
      <w:tblPr>
        <w:tblW w:w="5000" w:type="pct"/>
        <w:jc w:val="center"/>
        <w:tblInd w:w="0" w:type="dxa"/>
        <w:tblCellMar>
          <w:top w:w="0" w:type="dxa"/>
          <w:left w:w="0" w:type="dxa"/>
          <w:bottom w:w="0" w:type="dxa"/>
          <w:right w:w="0" w:type="dxa"/>
        </w:tblCellMar>
      </w:tblPr>
      <w:tblGrid>
        <w:gridCol w:w="4135"/>
        <w:gridCol w:w="131"/>
        <w:gridCol w:w="365"/>
        <w:gridCol w:w="131"/>
        <w:gridCol w:w="4156"/>
        <w:gridCol w:w="131"/>
        <w:gridCol w:w="1156"/>
      </w:tblGrid>
      <w:tr>
        <w:trPr/>
        <w:tc>
          <w:tcPr>
            <w:tcW w:w="413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6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156"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56" w:type="dxa"/>
            <w:tcBorders/>
            <w:shd w:fill="auto" w:val="clear"/>
            <w:vAlign w:val="bottom"/>
          </w:tcPr>
          <w:p>
            <w:pPr>
              <w:pStyle w:val="TableContents"/>
              <w:spacing w:before="0" w:after="283"/>
              <w:rPr/>
            </w:pPr>
            <w:r>
              <w:rPr/>
              <w:t> </w:t>
            </w:r>
          </w:p>
        </w:tc>
      </w:tr>
      <w:tr>
        <w:trPr/>
        <w:tc>
          <w:tcPr>
            <w:tcW w:w="413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939" w:type="dxa"/>
            <w:gridSpan w:val="5"/>
            <w:tcBorders/>
            <w:shd w:fill="auto" w:val="clear"/>
          </w:tcPr>
          <w:p>
            <w:pPr>
              <w:pStyle w:val="TableContents"/>
              <w:spacing w:before="0" w:after="283"/>
              <w:jc w:val="left"/>
              <w:rPr/>
            </w:pPr>
            <w:r>
              <w:rPr>
                <w:u w:val="single"/>
              </w:rPr>
              <w:t>BORROWER</w:t>
            </w:r>
            <w:r>
              <w:rPr/>
              <w:t>:  </w:t>
            </w:r>
          </w:p>
        </w:tc>
      </w:tr>
      <w:tr>
        <w:trPr/>
        <w:tc>
          <w:tcPr>
            <w:tcW w:w="413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156"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939" w:type="dxa"/>
            <w:gridSpan w:val="5"/>
            <w:tcBorders/>
            <w:shd w:fill="auto" w:val="clear"/>
          </w:tcPr>
          <w:p>
            <w:pPr>
              <w:pStyle w:val="TableContents"/>
              <w:spacing w:before="0" w:after="283"/>
              <w:jc w:val="left"/>
              <w:rPr/>
            </w:pPr>
            <w:r>
              <w:rPr/>
              <w:t>EZCORP, INC.</w:t>
            </w:r>
          </w:p>
        </w:tc>
      </w:tr>
      <w:tr>
        <w:trPr/>
        <w:tc>
          <w:tcPr>
            <w:tcW w:w="413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156"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By:</w:t>
            </w:r>
          </w:p>
        </w:tc>
        <w:tc>
          <w:tcPr>
            <w:tcW w:w="131" w:type="dxa"/>
            <w:tcBorders/>
            <w:shd w:fill="auto" w:val="clear"/>
            <w:vAlign w:val="bottom"/>
          </w:tcPr>
          <w:p>
            <w:pPr>
              <w:pStyle w:val="TableContents"/>
              <w:spacing w:before="0" w:after="283"/>
              <w:rPr/>
            </w:pPr>
            <w:r>
              <w:rPr/>
              <w:t> </w:t>
            </w:r>
          </w:p>
        </w:tc>
        <w:tc>
          <w:tcPr>
            <w:tcW w:w="4156"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0"/>
              <w:ind w:left="0" w:right="0" w:hanging="0"/>
              <w:rPr/>
            </w:pPr>
            <w:r>
              <w:rPr/>
              <w:t xml:space="preserve">  </w:t>
            </w:r>
          </w:p>
        </w:tc>
        <w:tc>
          <w:tcPr>
            <w:tcW w:w="131" w:type="dxa"/>
            <w:tcBorders/>
            <w:shd w:fill="auto" w:val="clear"/>
            <w:vAlign w:val="center"/>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4156" w:type="dxa"/>
            <w:tcBorders>
              <w:top w:val="single" w:sz="2" w:space="0" w:color="000000"/>
            </w:tcBorders>
            <w:shd w:fill="auto" w:val="clear"/>
            <w:tcMar>
              <w:top w:w="28" w:type="dxa"/>
            </w:tcM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156" w:type="dxa"/>
            <w:tcBorders/>
            <w:shd w:fill="auto" w:val="clear"/>
          </w:tcPr>
          <w:p>
            <w:pPr>
              <w:pStyle w:val="TableContents"/>
              <w:spacing w:before="0" w:after="283"/>
              <w:jc w:val="left"/>
              <w:rPr/>
            </w:pPr>
            <w:r>
              <w:rPr/>
              <w:t>Daniel N. Tonissen</w:t>
              <w:br/>
              <w:t>Senior Vice President</w:t>
            </w:r>
          </w:p>
        </w:tc>
        <w:tc>
          <w:tcPr>
            <w:tcW w:w="131" w:type="dxa"/>
            <w:tcBorders/>
            <w:shd w:fill="auto" w:val="clear"/>
            <w:vAlign w:val="bottom"/>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156"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939" w:type="dxa"/>
            <w:gridSpan w:val="5"/>
            <w:tcBorders/>
            <w:shd w:fill="auto" w:val="clear"/>
          </w:tcPr>
          <w:p>
            <w:pPr>
              <w:pStyle w:val="TableContents"/>
              <w:spacing w:before="0" w:after="283"/>
              <w:jc w:val="left"/>
              <w:rPr/>
            </w:pPr>
            <w:r>
              <w:rPr>
                <w:u w:val="single"/>
              </w:rPr>
              <w:t>GUARANTORS</w:t>
            </w:r>
            <w:r>
              <w:rPr/>
              <w:t>:</w:t>
            </w:r>
          </w:p>
        </w:tc>
      </w:tr>
      <w:tr>
        <w:trPr/>
        <w:tc>
          <w:tcPr>
            <w:tcW w:w="413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65"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156"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56" w:type="dxa"/>
            <w:tcBorders/>
            <w:shd w:fill="auto" w:val="clear"/>
          </w:tcPr>
          <w:p>
            <w:pPr>
              <w:pStyle w:val="TableContents"/>
              <w:spacing w:before="0" w:after="283"/>
              <w:jc w:val="left"/>
              <w:rPr/>
            </w:pPr>
            <w:r>
              <w:rPr/>
              <w:t> </w:t>
            </w:r>
          </w:p>
        </w:tc>
      </w:tr>
      <w:tr>
        <w:trPr/>
        <w:tc>
          <w:tcPr>
            <w:tcW w:w="413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939" w:type="dxa"/>
            <w:gridSpan w:val="5"/>
            <w:tcBorders/>
            <w:shd w:fill="auto" w:val="clear"/>
          </w:tcPr>
          <w:p>
            <w:pPr>
              <w:pStyle w:val="TableContents"/>
              <w:spacing w:before="0" w:after="283"/>
              <w:jc w:val="left"/>
              <w:rPr/>
            </w:pPr>
            <w:r>
              <w:rPr/>
              <w:t>EZCORP INTERNATIONAL, INC.</w:t>
              <w:br/>
              <w:t>EZMONEY COLORADO, INC.</w:t>
              <w:br/>
              <w:t>EZMONEY HOLDINGS, INC.</w:t>
              <w:br/>
              <w:t>EZMONEY IDAHO, INC.</w:t>
              <w:br/>
              <w:t>EZMONEY MANAGEMENT, INC.</w:t>
              <w:br/>
              <w:t>EZMONEY NEBRASKA, INC.</w:t>
              <w:br/>
              <w:t>EZMONEY UTAH, INC.</w:t>
              <w:br/>
              <w:t>EZMONEY WISCONSIN, INC.</w:t>
              <w:br/>
              <w:t>EZPAWN ALABAMA, INC.</w:t>
              <w:br/>
              <w:t>EZPAWN ARKANSAS, INC.</w:t>
              <w:br/>
              <w:t>EZPAWN COLORADO, INC.</w:t>
              <w:br/>
              <w:t>EZPAWN FLORIDA, INC.</w:t>
              <w:br/>
              <w:t>EZPAWN HOLDINGS, INC.</w:t>
              <w:br/>
              <w:t>EZPAWN INDIANA, INC.</w:t>
              <w:br/>
              <w:t>EZPAWN LOUISIANA, INC.</w:t>
              <w:br/>
              <w:t>EZPAWN NEVADA, INC.</w:t>
              <w:br/>
              <w:t>EZPAWN OKLAHOMA, INC.</w:t>
              <w:br/>
              <w:t>EZPAWN TENNESSEE, INC.</w:t>
              <w:br/>
              <w:t>EZPAWN MEXICO LTD., INC.</w:t>
              <w:br/>
              <w:t>EZPAWN MEXICO HOLDINGS, INC.</w:t>
              <w:br/>
              <w:t>TEXAS EZPAWN MANAGEMENT, INC.</w:t>
              <w:br/>
              <w:t>PAYDAY LOAN MANAGEMENT, INC.</w:t>
              <w:br/>
              <w:t>TEXAS DIAMOND &amp; GOLD, &amp; PAWN, INC.</w:t>
            </w:r>
          </w:p>
        </w:tc>
      </w:tr>
    </w:tbl>
    <w:tbl>
      <w:tblPr>
        <w:tblW w:w="5000" w:type="pct"/>
        <w:jc w:val="center"/>
        <w:tblInd w:w="0" w:type="dxa"/>
        <w:tblCellMar>
          <w:top w:w="0" w:type="dxa"/>
          <w:left w:w="0" w:type="dxa"/>
          <w:bottom w:w="0" w:type="dxa"/>
          <w:right w:w="0" w:type="dxa"/>
        </w:tblCellMar>
      </w:tblPr>
      <w:tblGrid>
        <w:gridCol w:w="4397"/>
        <w:gridCol w:w="133"/>
        <w:gridCol w:w="308"/>
        <w:gridCol w:w="133"/>
        <w:gridCol w:w="3875"/>
        <w:gridCol w:w="133"/>
        <w:gridCol w:w="1226"/>
      </w:tblGrid>
      <w:tr>
        <w:trPr/>
        <w:tc>
          <w:tcPr>
            <w:tcW w:w="439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87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26" w:type="dxa"/>
            <w:tcBorders/>
            <w:shd w:fill="auto" w:val="clear"/>
            <w:vAlign w:val="bottom"/>
          </w:tcPr>
          <w:p>
            <w:pPr>
              <w:pStyle w:val="TableContents"/>
              <w:spacing w:before="0" w:after="283"/>
              <w:rPr/>
            </w:pPr>
            <w:r>
              <w:rPr/>
              <w:t> </w:t>
            </w:r>
          </w:p>
        </w:tc>
      </w:tr>
      <w:tr>
        <w:trPr/>
        <w:tc>
          <w:tcPr>
            <w:tcW w:w="439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387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226" w:type="dxa"/>
            <w:tcBorders/>
            <w:shd w:fill="auto" w:val="clear"/>
          </w:tcPr>
          <w:p>
            <w:pPr>
              <w:pStyle w:val="TableContents"/>
              <w:spacing w:before="0" w:after="283"/>
              <w:jc w:val="left"/>
              <w:rPr/>
            </w:pPr>
            <w:r>
              <w:rPr/>
              <w:t> </w:t>
            </w:r>
          </w:p>
        </w:tc>
      </w:tr>
      <w:tr>
        <w:trPr/>
        <w:tc>
          <w:tcPr>
            <w:tcW w:w="4397"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875"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Daniel N. Tonissen</w:t>
              <w:br/>
              <w:t>Senior Vice President</w:t>
              <w:br/>
              <w:t xml:space="preserve">of each Guarantor listed above </w:t>
            </w:r>
          </w:p>
        </w:tc>
        <w:tc>
          <w:tcPr>
            <w:tcW w:w="133" w:type="dxa"/>
            <w:tcBorders/>
            <w:shd w:fill="auto" w:val="clear"/>
            <w:vAlign w:val="bottom"/>
          </w:tcPr>
          <w:p>
            <w:pPr>
              <w:pStyle w:val="TableContents"/>
              <w:spacing w:before="0" w:after="283"/>
              <w:rPr/>
            </w:pPr>
            <w:r>
              <w:rPr/>
              <w:t> </w:t>
            </w:r>
          </w:p>
        </w:tc>
        <w:tc>
          <w:tcPr>
            <w:tcW w:w="1226"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275"/>
        <w:gridCol w:w="131"/>
        <w:gridCol w:w="308"/>
        <w:gridCol w:w="131"/>
        <w:gridCol w:w="4034"/>
        <w:gridCol w:w="131"/>
        <w:gridCol w:w="1195"/>
      </w:tblGrid>
      <w:tr>
        <w:trPr/>
        <w:tc>
          <w:tcPr>
            <w:tcW w:w="42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r>
      <w:tr>
        <w:trPr/>
        <w:tc>
          <w:tcPr>
            <w:tcW w:w="427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799" w:type="dxa"/>
            <w:gridSpan w:val="5"/>
            <w:tcBorders/>
            <w:shd w:fill="auto" w:val="clear"/>
          </w:tcPr>
          <w:p>
            <w:pPr>
              <w:pStyle w:val="TableContents"/>
              <w:spacing w:before="0" w:after="283"/>
              <w:jc w:val="left"/>
              <w:rPr/>
            </w:pPr>
            <w:r>
              <w:rPr/>
              <w:t>TEXAS EZPAWN L.P.</w:t>
            </w:r>
          </w:p>
        </w:tc>
      </w:tr>
      <w:tr>
        <w:trPr/>
        <w:tc>
          <w:tcPr>
            <w:tcW w:w="427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Texas EZPAWN Management, Inc.,</w:t>
              <w:br/>
              <w:t>its sole general partner</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399"/>
        <w:gridCol w:w="135"/>
        <w:gridCol w:w="321"/>
        <w:gridCol w:w="135"/>
        <w:gridCol w:w="3849"/>
        <w:gridCol w:w="135"/>
        <w:gridCol w:w="1231"/>
      </w:tblGrid>
      <w:tr>
        <w:trPr/>
        <w:tc>
          <w:tcPr>
            <w:tcW w:w="439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21"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3849" w:type="dxa"/>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rPr/>
            </w:pPr>
            <w:r>
              <w:rPr/>
              <w:t> </w:t>
            </w:r>
          </w:p>
        </w:tc>
        <w:tc>
          <w:tcPr>
            <w:tcW w:w="1231" w:type="dxa"/>
            <w:tcBorders/>
            <w:shd w:fill="auto" w:val="clear"/>
            <w:vAlign w:val="bottom"/>
          </w:tcPr>
          <w:p>
            <w:pPr>
              <w:pStyle w:val="TableContents"/>
              <w:spacing w:before="0" w:after="283"/>
              <w:rPr/>
            </w:pPr>
            <w:r>
              <w:rPr/>
              <w:t> </w:t>
            </w:r>
          </w:p>
        </w:tc>
      </w:tr>
      <w:tr>
        <w:trPr/>
        <w:tc>
          <w:tcPr>
            <w:tcW w:w="4399"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21" w:type="dxa"/>
            <w:tcBorders/>
            <w:shd w:fill="auto" w:val="clear"/>
          </w:tcPr>
          <w:p>
            <w:pPr>
              <w:pStyle w:val="TableContents"/>
              <w:spacing w:before="0" w:after="283"/>
              <w:jc w:val="left"/>
              <w:rPr/>
            </w:pPr>
            <w:r>
              <w:rPr/>
              <w:t>By:</w:t>
            </w:r>
          </w:p>
        </w:tc>
        <w:tc>
          <w:tcPr>
            <w:tcW w:w="135" w:type="dxa"/>
            <w:tcBorders/>
            <w:shd w:fill="auto" w:val="clear"/>
            <w:vAlign w:val="bottom"/>
          </w:tcPr>
          <w:p>
            <w:pPr>
              <w:pStyle w:val="TableContents"/>
              <w:spacing w:before="0" w:after="283"/>
              <w:rPr/>
            </w:pPr>
            <w:r>
              <w:rPr/>
              <w:t> </w:t>
            </w:r>
          </w:p>
        </w:tc>
        <w:tc>
          <w:tcPr>
            <w:tcW w:w="3849"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231" w:type="dxa"/>
            <w:tcBorders/>
            <w:shd w:fill="auto" w:val="clear"/>
          </w:tcPr>
          <w:p>
            <w:pPr>
              <w:pStyle w:val="TableContents"/>
              <w:spacing w:before="0" w:after="283"/>
              <w:jc w:val="left"/>
              <w:rPr/>
            </w:pPr>
            <w:r>
              <w:rPr/>
              <w:t> </w:t>
            </w:r>
          </w:p>
        </w:tc>
      </w:tr>
      <w:tr>
        <w:trPr/>
        <w:tc>
          <w:tcPr>
            <w:tcW w:w="4399" w:type="dxa"/>
            <w:tcBorders/>
            <w:shd w:fill="auto" w:val="clear"/>
          </w:tcPr>
          <w:p>
            <w:pPr>
              <w:pStyle w:val="TableContents"/>
              <w:spacing w:before="0" w:after="0"/>
              <w:ind w:left="0" w:right="0" w:hanging="0"/>
              <w:rPr/>
            </w:pPr>
            <w:r>
              <w:rPr/>
              <w:t xml:space="preserve">  </w:t>
            </w:r>
          </w:p>
        </w:tc>
        <w:tc>
          <w:tcPr>
            <w:tcW w:w="135" w:type="dxa"/>
            <w:tcBorders/>
            <w:shd w:fill="auto" w:val="clear"/>
            <w:vAlign w:val="bottom"/>
          </w:tcPr>
          <w:p>
            <w:pPr>
              <w:pStyle w:val="TableContents"/>
              <w:spacing w:before="0" w:after="283"/>
              <w:rPr/>
            </w:pPr>
            <w:r>
              <w:rPr/>
              <w:t> </w:t>
            </w:r>
          </w:p>
        </w:tc>
        <w:tc>
          <w:tcPr>
            <w:tcW w:w="321" w:type="dxa"/>
            <w:tcBorders/>
            <w:shd w:fill="auto" w:val="clear"/>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3849"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Daniel N. Tonissen</w:t>
              <w:br/>
              <w:t xml:space="preserve">Senior Vice President </w:t>
            </w:r>
          </w:p>
        </w:tc>
        <w:tc>
          <w:tcPr>
            <w:tcW w:w="135" w:type="dxa"/>
            <w:tcBorders/>
            <w:shd w:fill="auto" w:val="clear"/>
            <w:vAlign w:val="bottom"/>
          </w:tcPr>
          <w:p>
            <w:pPr>
              <w:pStyle w:val="TableContents"/>
              <w:spacing w:before="0" w:after="283"/>
              <w:rPr/>
            </w:pPr>
            <w:r>
              <w:rPr/>
              <w:t> </w:t>
            </w:r>
          </w:p>
        </w:tc>
        <w:tc>
          <w:tcPr>
            <w:tcW w:w="1231" w:type="dxa"/>
            <w:tcBorders/>
            <w:shd w:fill="auto" w:val="clear"/>
          </w:tcPr>
          <w:p>
            <w:pPr>
              <w:pStyle w:val="TableContents"/>
              <w:spacing w:before="0" w:after="283"/>
              <w:jc w:val="left"/>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center"/>
        <w:tblInd w:w="0" w:type="dxa"/>
        <w:tblCellMar>
          <w:top w:w="0" w:type="dxa"/>
          <w:left w:w="0" w:type="dxa"/>
          <w:bottom w:w="0" w:type="dxa"/>
          <w:right w:w="0" w:type="dxa"/>
        </w:tblCellMar>
      </w:tblPr>
      <w:tblGrid>
        <w:gridCol w:w="4206"/>
        <w:gridCol w:w="133"/>
        <w:gridCol w:w="367"/>
        <w:gridCol w:w="133"/>
        <w:gridCol w:w="4055"/>
        <w:gridCol w:w="133"/>
        <w:gridCol w:w="1178"/>
      </w:tblGrid>
      <w:tr>
        <w:trPr/>
        <w:tc>
          <w:tcPr>
            <w:tcW w:w="42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67"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4055"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178" w:type="dxa"/>
            <w:tcBorders/>
            <w:shd w:fill="auto" w:val="clear"/>
            <w:vAlign w:val="bottom"/>
          </w:tcPr>
          <w:p>
            <w:pPr>
              <w:pStyle w:val="TableContents"/>
              <w:spacing w:before="0" w:after="283"/>
              <w:rPr/>
            </w:pPr>
            <w:r>
              <w:rPr/>
              <w:t> </w:t>
            </w:r>
          </w:p>
        </w:tc>
      </w:tr>
      <w:tr>
        <w:trPr/>
        <w:tc>
          <w:tcPr>
            <w:tcW w:w="4206" w:type="dxa"/>
            <w:tcBorders/>
            <w:shd w:fill="auto" w:val="clear"/>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5866" w:type="dxa"/>
            <w:gridSpan w:val="5"/>
            <w:tcBorders/>
            <w:shd w:fill="auto" w:val="clear"/>
          </w:tcPr>
          <w:p>
            <w:pPr>
              <w:pStyle w:val="TableContents"/>
              <w:spacing w:before="0" w:after="283"/>
              <w:jc w:val="left"/>
              <w:rPr/>
            </w:pPr>
            <w:r>
              <w:rPr/>
              <w:t>TEXAS PRA MANAGEMENT, L.P.</w:t>
            </w:r>
          </w:p>
        </w:tc>
      </w:tr>
      <w:tr>
        <w:trPr/>
        <w:tc>
          <w:tcPr>
            <w:tcW w:w="4206" w:type="dxa"/>
            <w:tcBorders/>
            <w:shd w:fill="auto" w:val="clear"/>
          </w:tcPr>
          <w:p>
            <w:pPr>
              <w:pStyle w:val="TableContents"/>
              <w:spacing w:before="0" w:after="0"/>
              <w:ind w:left="0" w:right="0" w:hanging="0"/>
              <w:rPr/>
            </w:pPr>
            <w:r>
              <w:rPr/>
              <w:t> </w:t>
            </w:r>
          </w:p>
        </w:tc>
        <w:tc>
          <w:tcPr>
            <w:tcW w:w="133" w:type="dxa"/>
            <w:tcBorders/>
            <w:shd w:fill="auto" w:val="clear"/>
            <w:vAlign w:val="bottom"/>
          </w:tcPr>
          <w:p>
            <w:pPr>
              <w:pStyle w:val="TableContents"/>
              <w:spacing w:before="0" w:after="283"/>
              <w:rPr/>
            </w:pPr>
            <w:r>
              <w:rPr/>
              <w:t> </w:t>
            </w:r>
          </w:p>
        </w:tc>
        <w:tc>
          <w:tcPr>
            <w:tcW w:w="367"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4055"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178" w:type="dxa"/>
            <w:tcBorders/>
            <w:shd w:fill="auto" w:val="clear"/>
          </w:tcPr>
          <w:p>
            <w:pPr>
              <w:pStyle w:val="TableContents"/>
              <w:spacing w:before="0" w:after="283"/>
              <w:jc w:val="left"/>
              <w:rPr/>
            </w:pPr>
            <w:r>
              <w:rPr/>
              <w:t> </w:t>
            </w:r>
          </w:p>
        </w:tc>
      </w:tr>
      <w:tr>
        <w:trPr/>
        <w:tc>
          <w:tcPr>
            <w:tcW w:w="4206"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67" w:type="dxa"/>
            <w:tcBorders/>
            <w:shd w:fill="auto" w:val="clear"/>
          </w:tcPr>
          <w:p>
            <w:pPr>
              <w:pStyle w:val="TableContents"/>
              <w:spacing w:before="0" w:after="283"/>
              <w:jc w:val="left"/>
              <w:rPr/>
            </w:pPr>
            <w:r>
              <w:rPr/>
              <w:t xml:space="preserve">By: </w:t>
            </w:r>
          </w:p>
        </w:tc>
        <w:tc>
          <w:tcPr>
            <w:tcW w:w="133" w:type="dxa"/>
            <w:tcBorders/>
            <w:shd w:fill="auto" w:val="clear"/>
            <w:vAlign w:val="bottom"/>
          </w:tcPr>
          <w:p>
            <w:pPr>
              <w:pStyle w:val="TableContents"/>
              <w:spacing w:before="0" w:after="283"/>
              <w:rPr/>
            </w:pPr>
            <w:r>
              <w:rPr/>
              <w:t> </w:t>
            </w:r>
          </w:p>
        </w:tc>
        <w:tc>
          <w:tcPr>
            <w:tcW w:w="4055" w:type="dxa"/>
            <w:tcBorders/>
            <w:shd w:fill="auto" w:val="clear"/>
          </w:tcPr>
          <w:p>
            <w:pPr>
              <w:pStyle w:val="TableContents"/>
              <w:spacing w:before="0" w:after="283"/>
              <w:jc w:val="left"/>
              <w:rPr/>
            </w:pPr>
            <w:r>
              <w:rPr/>
              <w:t>EZMoney Management, Inc.,</w:t>
              <w:br/>
              <w:t>its sole general partner</w:t>
            </w:r>
          </w:p>
        </w:tc>
        <w:tc>
          <w:tcPr>
            <w:tcW w:w="133" w:type="dxa"/>
            <w:tcBorders/>
            <w:shd w:fill="auto" w:val="clear"/>
            <w:vAlign w:val="bottom"/>
          </w:tcPr>
          <w:p>
            <w:pPr>
              <w:pStyle w:val="TableContents"/>
              <w:spacing w:before="0" w:after="283"/>
              <w:rPr/>
            </w:pPr>
            <w:r>
              <w:rPr/>
              <w:t> </w:t>
            </w:r>
          </w:p>
        </w:tc>
        <w:tc>
          <w:tcPr>
            <w:tcW w:w="1178"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411"/>
        <w:gridCol w:w="133"/>
        <w:gridCol w:w="306"/>
        <w:gridCol w:w="133"/>
        <w:gridCol w:w="3816"/>
        <w:gridCol w:w="133"/>
        <w:gridCol w:w="1273"/>
      </w:tblGrid>
      <w:tr>
        <w:trPr/>
        <w:tc>
          <w:tcPr>
            <w:tcW w:w="4411"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0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381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273" w:type="dxa"/>
            <w:tcBorders/>
            <w:shd w:fill="auto" w:val="clear"/>
            <w:vAlign w:val="bottom"/>
          </w:tcPr>
          <w:p>
            <w:pPr>
              <w:pStyle w:val="TableContents"/>
              <w:spacing w:before="0" w:after="283"/>
              <w:rPr/>
            </w:pPr>
            <w:r>
              <w:rPr/>
              <w:t> </w:t>
            </w:r>
          </w:p>
        </w:tc>
      </w:tr>
      <w:tr>
        <w:trPr/>
        <w:tc>
          <w:tcPr>
            <w:tcW w:w="4411"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By:</w:t>
            </w:r>
          </w:p>
        </w:tc>
        <w:tc>
          <w:tcPr>
            <w:tcW w:w="133" w:type="dxa"/>
            <w:tcBorders/>
            <w:shd w:fill="auto" w:val="clear"/>
            <w:vAlign w:val="bottom"/>
          </w:tcPr>
          <w:p>
            <w:pPr>
              <w:pStyle w:val="TableContents"/>
              <w:spacing w:before="0" w:after="283"/>
              <w:rPr/>
            </w:pPr>
            <w:r>
              <w:rPr/>
              <w:t> </w:t>
            </w:r>
          </w:p>
        </w:tc>
        <w:tc>
          <w:tcPr>
            <w:tcW w:w="3816"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1273" w:type="dxa"/>
            <w:tcBorders/>
            <w:shd w:fill="auto" w:val="clear"/>
          </w:tcPr>
          <w:p>
            <w:pPr>
              <w:pStyle w:val="TableContents"/>
              <w:spacing w:before="0" w:after="283"/>
              <w:jc w:val="left"/>
              <w:rPr/>
            </w:pPr>
            <w:r>
              <w:rPr/>
              <w:t> </w:t>
            </w:r>
          </w:p>
        </w:tc>
      </w:tr>
      <w:tr>
        <w:trPr/>
        <w:tc>
          <w:tcPr>
            <w:tcW w:w="4411" w:type="dxa"/>
            <w:tcBorders/>
            <w:shd w:fill="auto" w:val="clear"/>
          </w:tcPr>
          <w:p>
            <w:pPr>
              <w:pStyle w:val="TableContents"/>
              <w:spacing w:before="0" w:after="0"/>
              <w:ind w:left="0" w:right="0" w:hanging="0"/>
              <w:rPr/>
            </w:pPr>
            <w:r>
              <w:rPr/>
              <w:t xml:space="preserve">  </w:t>
            </w:r>
          </w:p>
        </w:tc>
        <w:tc>
          <w:tcPr>
            <w:tcW w:w="133" w:type="dxa"/>
            <w:tcBorders/>
            <w:shd w:fill="auto" w:val="clear"/>
            <w:vAlign w:val="bottom"/>
          </w:tcPr>
          <w:p>
            <w:pPr>
              <w:pStyle w:val="TableContents"/>
              <w:spacing w:before="0" w:after="283"/>
              <w:rPr/>
            </w:pPr>
            <w:r>
              <w:rPr/>
              <w:t> </w:t>
            </w:r>
          </w:p>
        </w:tc>
        <w:tc>
          <w:tcPr>
            <w:tcW w:w="306" w:type="dxa"/>
            <w:tcBorders/>
            <w:shd w:fill="auto" w:val="clear"/>
          </w:tcPr>
          <w:p>
            <w:pPr>
              <w:pStyle w:val="TableContents"/>
              <w:spacing w:before="0" w:after="283"/>
              <w:jc w:val="left"/>
              <w:rPr/>
            </w:pPr>
            <w:r>
              <w:rPr/>
              <w:t> </w:t>
            </w:r>
          </w:p>
        </w:tc>
        <w:tc>
          <w:tcPr>
            <w:tcW w:w="133" w:type="dxa"/>
            <w:tcBorders/>
            <w:shd w:fill="auto" w:val="clear"/>
            <w:vAlign w:val="bottom"/>
          </w:tcPr>
          <w:p>
            <w:pPr>
              <w:pStyle w:val="TableContents"/>
              <w:spacing w:before="0" w:after="283"/>
              <w:rPr/>
            </w:pPr>
            <w:r>
              <w:rPr/>
              <w:t> </w:t>
            </w:r>
          </w:p>
        </w:tc>
        <w:tc>
          <w:tcPr>
            <w:tcW w:w="3816" w:type="dxa"/>
            <w:tcBorders/>
            <w:shd w:fill="auto" w:val="clear"/>
          </w:tcPr>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Daniel N. Tonissen</w:t>
              <w:br/>
              <w:t xml:space="preserve">Senior Vice President </w:t>
            </w:r>
          </w:p>
        </w:tc>
        <w:tc>
          <w:tcPr>
            <w:tcW w:w="133" w:type="dxa"/>
            <w:tcBorders/>
            <w:shd w:fill="auto" w:val="clear"/>
            <w:vAlign w:val="bottom"/>
          </w:tcPr>
          <w:p>
            <w:pPr>
              <w:pStyle w:val="TableContents"/>
              <w:spacing w:before="0" w:after="283"/>
              <w:rPr/>
            </w:pPr>
            <w:r>
              <w:rPr/>
              <w:t> </w:t>
            </w:r>
          </w:p>
        </w:tc>
        <w:tc>
          <w:tcPr>
            <w:tcW w:w="1273" w:type="dxa"/>
            <w:tcBorders/>
            <w:shd w:fill="auto" w:val="clear"/>
          </w:tcPr>
          <w:p>
            <w:pPr>
              <w:pStyle w:val="TableContents"/>
              <w:spacing w:before="0" w:after="283"/>
              <w:jc w:val="left"/>
              <w:rPr/>
            </w:pPr>
            <w:r>
              <w:rPr/>
              <w:t>  </w:t>
            </w:r>
          </w:p>
        </w:tc>
      </w:tr>
    </w:tbl>
    <w:tbl>
      <w:tblPr>
        <w:tblW w:w="5000" w:type="pct"/>
        <w:jc w:val="center"/>
        <w:tblInd w:w="0" w:type="dxa"/>
        <w:tblCellMar>
          <w:top w:w="0" w:type="dxa"/>
          <w:left w:w="0" w:type="dxa"/>
          <w:bottom w:w="0" w:type="dxa"/>
          <w:right w:w="0" w:type="dxa"/>
        </w:tblCellMar>
      </w:tblPr>
      <w:tblGrid>
        <w:gridCol w:w="4275"/>
        <w:gridCol w:w="131"/>
        <w:gridCol w:w="308"/>
        <w:gridCol w:w="131"/>
        <w:gridCol w:w="4034"/>
        <w:gridCol w:w="131"/>
        <w:gridCol w:w="1195"/>
      </w:tblGrid>
      <w:tr>
        <w:trPr/>
        <w:tc>
          <w:tcPr>
            <w:tcW w:w="4275"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vAlign w:val="bottom"/>
          </w:tcPr>
          <w:p>
            <w:pPr>
              <w:pStyle w:val="TableContents"/>
              <w:spacing w:before="0" w:after="283"/>
              <w:rPr/>
            </w:pPr>
            <w:r>
              <w:rPr/>
              <w:t> </w:t>
            </w:r>
          </w:p>
        </w:tc>
      </w:tr>
      <w:tr>
        <w:trPr/>
        <w:tc>
          <w:tcPr>
            <w:tcW w:w="427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799" w:type="dxa"/>
            <w:gridSpan w:val="5"/>
            <w:tcBorders/>
            <w:shd w:fill="auto" w:val="clear"/>
          </w:tcPr>
          <w:p>
            <w:pPr>
              <w:pStyle w:val="TableContents"/>
              <w:spacing w:before="0" w:after="283"/>
              <w:jc w:val="left"/>
              <w:rPr/>
            </w:pPr>
            <w:r>
              <w:rPr/>
              <w:t>TEXAS EZMONEY, L.P.</w:t>
            </w:r>
          </w:p>
        </w:tc>
      </w:tr>
      <w:tr>
        <w:trPr/>
        <w:tc>
          <w:tcPr>
            <w:tcW w:w="427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xml:space="preserve">By: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Payday Loan Management, Inc.,</w:t>
              <w:br/>
              <w:t>its sole general partner</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By:</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31" w:type="dxa"/>
            <w:tcBorders/>
            <w:shd w:fill="auto" w:val="clear"/>
            <w:vAlign w:val="center"/>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4034" w:type="dxa"/>
            <w:tcBorders>
              <w:top w:val="single" w:sz="2" w:space="0" w:color="000000"/>
            </w:tcBorders>
            <w:shd w:fill="auto" w:val="clear"/>
            <w:tcMar>
              <w:top w:w="28" w:type="dxa"/>
            </w:tcMar>
          </w:tcPr>
          <w:p>
            <w:pPr>
              <w:pStyle w:val="TableContents"/>
              <w:spacing w:before="0" w:after="283"/>
              <w:jc w:val="left"/>
              <w:rPr/>
            </w:pPr>
            <w:r>
              <w:rPr/>
              <w:t> </w:t>
            </w:r>
          </w:p>
        </w:tc>
        <w:tc>
          <w:tcPr>
            <w:tcW w:w="131" w:type="dxa"/>
            <w:tcBorders/>
            <w:shd w:fill="auto" w:val="clear"/>
            <w:vAlign w:val="center"/>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xml:space="preserve">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Daniel N. Tonissen</w:t>
              <w:br/>
              <w:t>Senior Vice President</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0"/>
              <w:ind w:left="0" w:right="0" w:hanging="0"/>
              <w:rPr/>
            </w:pPr>
            <w:r>
              <w:rPr/>
              <w:t> </w:t>
            </w:r>
          </w:p>
        </w:tc>
        <w:tc>
          <w:tcPr>
            <w:tcW w:w="131" w:type="dxa"/>
            <w:tcBorders/>
            <w:shd w:fill="auto" w:val="clear"/>
            <w:vAlign w:val="bottom"/>
          </w:tcPr>
          <w:p>
            <w:pPr>
              <w:pStyle w:val="TableContents"/>
              <w:spacing w:before="0" w:after="283"/>
              <w:rPr/>
            </w:pPr>
            <w:r>
              <w:rPr/>
              <w:t> </w:t>
            </w:r>
          </w:p>
        </w:tc>
        <w:tc>
          <w:tcPr>
            <w:tcW w:w="308"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4034" w:type="dxa"/>
            <w:tcBorders/>
            <w:shd w:fill="auto" w:val="clear"/>
          </w:tcPr>
          <w:p>
            <w:pPr>
              <w:pStyle w:val="TableContents"/>
              <w:spacing w:before="0" w:after="283"/>
              <w:jc w:val="left"/>
              <w:rPr/>
            </w:pPr>
            <w:r>
              <w:rPr/>
              <w:t> </w:t>
            </w:r>
          </w:p>
        </w:tc>
        <w:tc>
          <w:tcPr>
            <w:tcW w:w="131" w:type="dxa"/>
            <w:tcBorders/>
            <w:shd w:fill="auto" w:val="clear"/>
            <w:vAlign w:val="bottom"/>
          </w:tcPr>
          <w:p>
            <w:pPr>
              <w:pStyle w:val="TableContents"/>
              <w:spacing w:before="0" w:after="283"/>
              <w:rPr/>
            </w:pPr>
            <w:r>
              <w:rPr/>
              <w:t> </w:t>
            </w:r>
          </w:p>
        </w:tc>
        <w:tc>
          <w:tcPr>
            <w:tcW w:w="1195" w:type="dxa"/>
            <w:tcBorders/>
            <w:shd w:fill="auto" w:val="clear"/>
          </w:tcPr>
          <w:p>
            <w:pPr>
              <w:pStyle w:val="TableContents"/>
              <w:spacing w:before="0" w:after="283"/>
              <w:jc w:val="left"/>
              <w:rPr/>
            </w:pPr>
            <w:r>
              <w:rPr/>
              <w:t> </w:t>
            </w:r>
          </w:p>
        </w:tc>
      </w:tr>
      <w:tr>
        <w:trPr/>
        <w:tc>
          <w:tcPr>
            <w:tcW w:w="4275" w:type="dxa"/>
            <w:tcBorders/>
            <w:shd w:fill="auto" w:val="clear"/>
          </w:tcPr>
          <w:p>
            <w:pPr>
              <w:pStyle w:val="TableContents"/>
              <w:spacing w:before="0" w:after="283"/>
              <w:rPr/>
            </w:pPr>
            <w:r>
              <w:rPr/>
              <w:t> </w:t>
            </w:r>
          </w:p>
        </w:tc>
        <w:tc>
          <w:tcPr>
            <w:tcW w:w="131" w:type="dxa"/>
            <w:tcBorders/>
            <w:shd w:fill="auto" w:val="clear"/>
            <w:vAlign w:val="bottom"/>
          </w:tcPr>
          <w:p>
            <w:pPr>
              <w:pStyle w:val="TableContents"/>
              <w:spacing w:before="0" w:after="283"/>
              <w:rPr/>
            </w:pPr>
            <w:r>
              <w:rPr/>
              <w:t> </w:t>
            </w:r>
          </w:p>
        </w:tc>
        <w:tc>
          <w:tcPr>
            <w:tcW w:w="5799" w:type="dxa"/>
            <w:gridSpan w:val="5"/>
            <w:tcBorders/>
            <w:shd w:fill="auto" w:val="clear"/>
          </w:tcPr>
          <w:p>
            <w:pPr>
              <w:pStyle w:val="TableContents"/>
              <w:spacing w:before="0" w:after="283"/>
              <w:jc w:val="left"/>
              <w:rPr/>
            </w:pPr>
            <w:r>
              <w:rPr/>
              <w:t>Address for Notices:</w:t>
              <w:br/>
              <w:br/>
              <w:t>1901 Capital Parkway</w:t>
              <w:br/>
              <w:t>Austin, Texas 78746</w:t>
              <w:br/>
              <w:t>Fax No.: (512) 314-3404</w:t>
              <w:br/>
              <w:t>Telephone No.: (512) 314-2289</w:t>
              <w:br/>
              <w:t>Email: dtonissen@ezcorp.com</w:t>
              <w:br/>
              <w:t>Attention: Chief Financial Officer</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2087"/>
        <w:gridCol w:w="4246"/>
        <w:gridCol w:w="868"/>
        <w:gridCol w:w="2307"/>
        <w:gridCol w:w="697"/>
      </w:tblGrid>
      <w:tr>
        <w:trPr/>
        <w:tc>
          <w:tcPr>
            <w:tcW w:w="2087" w:type="dxa"/>
            <w:tcBorders/>
            <w:shd w:fill="auto" w:val="clear"/>
            <w:vAlign w:val="center"/>
          </w:tcPr>
          <w:p>
            <w:pPr>
              <w:pStyle w:val="TableContents"/>
              <w:spacing w:before="0" w:after="283"/>
              <w:rPr/>
            </w:pPr>
            <w:r>
              <w:rPr/>
              <w:t> </w:t>
            </w:r>
          </w:p>
        </w:tc>
        <w:tc>
          <w:tcPr>
            <w:tcW w:w="4246"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2307" w:type="dxa"/>
            <w:tcBorders/>
            <w:shd w:fill="auto" w:val="clear"/>
            <w:vAlign w:val="center"/>
          </w:tcPr>
          <w:p>
            <w:pPr>
              <w:pStyle w:val="TableContents"/>
              <w:spacing w:before="0" w:after="283"/>
              <w:rPr/>
            </w:pPr>
            <w:r>
              <w:rPr/>
              <w:t> </w:t>
            </w:r>
          </w:p>
        </w:tc>
        <w:tc>
          <w:tcPr>
            <w:tcW w:w="697" w:type="dxa"/>
            <w:tcBorders/>
            <w:shd w:fill="auto" w:val="clear"/>
            <w:vAlign w:val="center"/>
          </w:tcPr>
          <w:p>
            <w:pPr>
              <w:pStyle w:val="TableContents"/>
              <w:spacing w:before="0" w:after="283"/>
              <w:rPr/>
            </w:pPr>
            <w:r>
              <w:rPr/>
              <w:t> </w:t>
            </w:r>
          </w:p>
        </w:tc>
      </w:tr>
      <w:tr>
        <w:trPr/>
        <w:tc>
          <w:tcPr>
            <w:tcW w:w="2087" w:type="dxa"/>
            <w:tcBorders/>
            <w:shd w:fill="auto" w:val="clear"/>
          </w:tcPr>
          <w:p>
            <w:pPr>
              <w:pStyle w:val="TableContents"/>
              <w:spacing w:before="0" w:after="283"/>
              <w:jc w:val="left"/>
              <w:rPr/>
            </w:pPr>
            <w:r>
              <w:rPr/>
              <w:t> </w:t>
            </w:r>
          </w:p>
        </w:tc>
        <w:tc>
          <w:tcPr>
            <w:tcW w:w="7421" w:type="dxa"/>
            <w:gridSpan w:val="3"/>
            <w:tcBorders/>
            <w:shd w:fill="auto" w:val="clear"/>
            <w:vAlign w:val="center"/>
          </w:tcPr>
          <w:p>
            <w:pPr>
              <w:pStyle w:val="TableContents"/>
              <w:spacing w:before="0" w:after="283"/>
              <w:jc w:val="left"/>
              <w:rPr/>
            </w:pPr>
            <w:r>
              <w:rPr>
                <w:u w:val="single"/>
              </w:rPr>
              <w:t>AGENT AND LENDERS</w:t>
            </w:r>
            <w:r>
              <w:rPr/>
              <w:t>:</w:t>
              <w:br/>
              <w:br/>
              <w:t>WELLS FARGO BANK, NATIONAL ASSOCIATION, as</w:t>
              <w:br/>
              <w:t>Agent and a Lender</w:t>
              <w:br/>
              <w:t> </w:t>
            </w:r>
          </w:p>
        </w:tc>
        <w:tc>
          <w:tcPr>
            <w:tcW w:w="697" w:type="dxa"/>
            <w:tcBorders/>
            <w:shd w:fill="auto" w:val="clear"/>
            <w:vAlign w:val="center"/>
          </w:tcPr>
          <w:p>
            <w:pPr>
              <w:pStyle w:val="TableContents"/>
              <w:spacing w:before="0" w:after="283"/>
              <w:rPr/>
            </w:pPr>
            <w:r>
              <w:rPr/>
              <w:t> </w:t>
            </w:r>
          </w:p>
        </w:tc>
      </w:tr>
      <w:tr>
        <w:trPr/>
        <w:tc>
          <w:tcPr>
            <w:tcW w:w="2087" w:type="dxa"/>
            <w:tcBorders/>
            <w:shd w:fill="auto" w:val="clear"/>
            <w:vAlign w:val="center"/>
          </w:tcPr>
          <w:p>
            <w:pPr>
              <w:pStyle w:val="TableContents"/>
              <w:spacing w:before="0" w:after="283"/>
              <w:jc w:val="left"/>
              <w:rPr/>
            </w:pPr>
            <w:r>
              <w:rPr/>
              <w:t> </w:t>
            </w:r>
          </w:p>
        </w:tc>
        <w:tc>
          <w:tcPr>
            <w:tcW w:w="4246" w:type="dxa"/>
            <w:tcBorders/>
            <w:shd w:fill="auto" w:val="clear"/>
          </w:tcPr>
          <w:p>
            <w:pPr>
              <w:pStyle w:val="TableContents"/>
              <w:spacing w:before="0" w:after="283"/>
              <w:rPr/>
            </w:pPr>
            <w:r>
              <w:rPr/>
              <w:t>By:  </w:t>
            </w:r>
          </w:p>
        </w:tc>
        <w:tc>
          <w:tcPr>
            <w:tcW w:w="3175"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697" w:type="dxa"/>
            <w:tcBorders/>
            <w:shd w:fill="auto" w:val="clear"/>
            <w:vAlign w:val="center"/>
          </w:tcPr>
          <w:p>
            <w:pPr>
              <w:pStyle w:val="TableContents"/>
              <w:spacing w:before="0" w:after="283"/>
              <w:rPr/>
            </w:pPr>
            <w:r>
              <w:rPr/>
              <w:t> </w:t>
            </w:r>
          </w:p>
        </w:tc>
      </w:tr>
      <w:tr>
        <w:trPr/>
        <w:tc>
          <w:tcPr>
            <w:tcW w:w="2087" w:type="dxa"/>
            <w:tcBorders/>
            <w:shd w:fill="auto" w:val="clear"/>
            <w:vAlign w:val="center"/>
          </w:tcPr>
          <w:p>
            <w:pPr>
              <w:pStyle w:val="TableContents"/>
              <w:spacing w:before="0" w:after="283"/>
              <w:jc w:val="left"/>
              <w:rPr/>
            </w:pPr>
            <w:r>
              <w:rPr/>
              <w:t> </w:t>
            </w:r>
          </w:p>
        </w:tc>
        <w:tc>
          <w:tcPr>
            <w:tcW w:w="4246" w:type="dxa"/>
            <w:tcBorders/>
            <w:shd w:fill="auto" w:val="clear"/>
            <w:vAlign w:val="center"/>
          </w:tcPr>
          <w:p>
            <w:pPr>
              <w:pStyle w:val="TableContents"/>
              <w:spacing w:before="0" w:after="283"/>
              <w:rPr/>
            </w:pPr>
            <w:r>
              <w:rPr/>
              <w:t> </w:t>
            </w:r>
          </w:p>
        </w:tc>
        <w:tc>
          <w:tcPr>
            <w:tcW w:w="3175" w:type="dxa"/>
            <w:gridSpan w:val="2"/>
            <w:tcBorders/>
            <w:shd w:fill="auto" w:val="clear"/>
            <w:vAlign w:val="center"/>
          </w:tcPr>
          <w:p>
            <w:pPr>
              <w:pStyle w:val="TableContents"/>
              <w:spacing w:before="0" w:after="283"/>
              <w:jc w:val="left"/>
              <w:rPr/>
            </w:pPr>
            <w:r>
              <w:rPr/>
              <w:t>Michael Brewer </w:t>
            </w:r>
          </w:p>
        </w:tc>
        <w:tc>
          <w:tcPr>
            <w:tcW w:w="697" w:type="dxa"/>
            <w:tcBorders/>
            <w:shd w:fill="auto" w:val="clear"/>
            <w:vAlign w:val="center"/>
          </w:tcPr>
          <w:p>
            <w:pPr>
              <w:pStyle w:val="TableContents"/>
              <w:spacing w:before="0" w:after="283"/>
              <w:rPr/>
            </w:pPr>
            <w:r>
              <w:rPr/>
              <w:t> </w:t>
            </w:r>
          </w:p>
        </w:tc>
      </w:tr>
      <w:tr>
        <w:trPr/>
        <w:tc>
          <w:tcPr>
            <w:tcW w:w="2087" w:type="dxa"/>
            <w:tcBorders/>
            <w:shd w:fill="auto" w:val="clear"/>
            <w:vAlign w:val="center"/>
          </w:tcPr>
          <w:p>
            <w:pPr>
              <w:pStyle w:val="TableContents"/>
              <w:spacing w:before="0" w:after="283"/>
              <w:jc w:val="left"/>
              <w:rPr/>
            </w:pPr>
            <w:r>
              <w:rPr/>
              <w:t> </w:t>
            </w:r>
          </w:p>
        </w:tc>
        <w:tc>
          <w:tcPr>
            <w:tcW w:w="4246" w:type="dxa"/>
            <w:tcBorders/>
            <w:shd w:fill="auto" w:val="clear"/>
            <w:vAlign w:val="center"/>
          </w:tcPr>
          <w:p>
            <w:pPr>
              <w:pStyle w:val="TableContents"/>
              <w:spacing w:before="0" w:after="283"/>
              <w:rPr/>
            </w:pPr>
            <w:r>
              <w:rPr/>
              <w:t> </w:t>
            </w:r>
          </w:p>
        </w:tc>
        <w:tc>
          <w:tcPr>
            <w:tcW w:w="3175" w:type="dxa"/>
            <w:gridSpan w:val="2"/>
            <w:tcBorders/>
            <w:shd w:fill="auto" w:val="clear"/>
            <w:vAlign w:val="center"/>
          </w:tcPr>
          <w:p>
            <w:pPr>
              <w:pStyle w:val="TableContents"/>
              <w:spacing w:before="0" w:after="283"/>
              <w:jc w:val="left"/>
              <w:rPr/>
            </w:pPr>
            <w:r>
              <w:rPr/>
              <w:t>Vice President </w:t>
            </w:r>
          </w:p>
        </w:tc>
        <w:tc>
          <w:tcPr>
            <w:tcW w:w="697"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tbl>
      <w:tblPr>
        <w:tblW w:w="5000" w:type="pct"/>
        <w:jc w:val="left"/>
        <w:tblInd w:w="0" w:type="dxa"/>
        <w:tblCellMar>
          <w:top w:w="0" w:type="dxa"/>
          <w:left w:w="0" w:type="dxa"/>
          <w:bottom w:w="0" w:type="dxa"/>
          <w:right w:w="0" w:type="dxa"/>
        </w:tblCellMar>
      </w:tblPr>
      <w:tblGrid>
        <w:gridCol w:w="4031"/>
        <w:gridCol w:w="1017"/>
        <w:gridCol w:w="653"/>
        <w:gridCol w:w="3203"/>
        <w:gridCol w:w="1301"/>
      </w:tblGrid>
      <w:tr>
        <w:trPr/>
        <w:tc>
          <w:tcPr>
            <w:tcW w:w="4031" w:type="dxa"/>
            <w:tcBorders/>
            <w:shd w:fill="auto" w:val="clear"/>
            <w:vAlign w:val="center"/>
          </w:tcPr>
          <w:p>
            <w:pPr>
              <w:pStyle w:val="TableContents"/>
              <w:spacing w:before="0" w:after="283"/>
              <w:rPr/>
            </w:pPr>
            <w:r>
              <w:rPr/>
              <w:t> </w:t>
            </w:r>
          </w:p>
        </w:tc>
        <w:tc>
          <w:tcPr>
            <w:tcW w:w="1017" w:type="dxa"/>
            <w:tcBorders/>
            <w:shd w:fill="auto" w:val="clear"/>
            <w:vAlign w:val="center"/>
          </w:tcPr>
          <w:p>
            <w:pPr>
              <w:pStyle w:val="TableContents"/>
              <w:spacing w:before="0" w:after="283"/>
              <w:rPr/>
            </w:pPr>
            <w:r>
              <w:rPr/>
              <w:t> </w:t>
            </w:r>
          </w:p>
        </w:tc>
        <w:tc>
          <w:tcPr>
            <w:tcW w:w="653" w:type="dxa"/>
            <w:tcBorders/>
            <w:shd w:fill="auto" w:val="clear"/>
            <w:vAlign w:val="center"/>
          </w:tcPr>
          <w:p>
            <w:pPr>
              <w:pStyle w:val="TableContents"/>
              <w:spacing w:before="0" w:after="283"/>
              <w:rPr/>
            </w:pPr>
            <w:r>
              <w:rPr/>
              <w:t> </w:t>
            </w:r>
          </w:p>
        </w:tc>
        <w:tc>
          <w:tcPr>
            <w:tcW w:w="3203" w:type="dxa"/>
            <w:tcBorders/>
            <w:shd w:fill="auto" w:val="clear"/>
            <w:vAlign w:val="center"/>
          </w:tcPr>
          <w:p>
            <w:pPr>
              <w:pStyle w:val="TableContents"/>
              <w:spacing w:before="0" w:after="283"/>
              <w:rPr/>
            </w:pPr>
            <w:r>
              <w:rPr/>
              <w:t> </w:t>
            </w:r>
          </w:p>
        </w:tc>
        <w:tc>
          <w:tcPr>
            <w:tcW w:w="1301" w:type="dxa"/>
            <w:tcBorders/>
            <w:shd w:fill="auto" w:val="clear"/>
            <w:vAlign w:val="center"/>
          </w:tcPr>
          <w:p>
            <w:pPr>
              <w:pStyle w:val="TableContents"/>
              <w:spacing w:before="0" w:after="283"/>
              <w:rPr/>
            </w:pPr>
            <w:r>
              <w:rPr/>
              <w:t> </w:t>
            </w:r>
          </w:p>
        </w:tc>
      </w:tr>
      <w:tr>
        <w:trPr/>
        <w:tc>
          <w:tcPr>
            <w:tcW w:w="4031" w:type="dxa"/>
            <w:tcBorders/>
            <w:shd w:fill="auto" w:val="clear"/>
          </w:tcPr>
          <w:p>
            <w:pPr>
              <w:pStyle w:val="TableContents"/>
              <w:spacing w:before="0" w:after="283"/>
              <w:jc w:val="left"/>
              <w:rPr/>
            </w:pPr>
            <w:r>
              <w:rPr/>
              <w:t> </w:t>
            </w:r>
          </w:p>
        </w:tc>
        <w:tc>
          <w:tcPr>
            <w:tcW w:w="4873" w:type="dxa"/>
            <w:gridSpan w:val="3"/>
            <w:tcBorders/>
            <w:shd w:fill="auto" w:val="clear"/>
            <w:vAlign w:val="center"/>
          </w:tcPr>
          <w:p>
            <w:pPr>
              <w:pStyle w:val="TableContents"/>
              <w:spacing w:before="0" w:after="283"/>
              <w:jc w:val="left"/>
              <w:rPr/>
            </w:pPr>
            <w:r>
              <w:rPr/>
              <w:t xml:space="preserve">GUARANTY BANK, as a Lender </w:t>
              <w:br/>
              <w:t> </w:t>
            </w:r>
          </w:p>
        </w:tc>
        <w:tc>
          <w:tcPr>
            <w:tcW w:w="1301" w:type="dxa"/>
            <w:tcBorders/>
            <w:shd w:fill="auto" w:val="clear"/>
            <w:vAlign w:val="center"/>
          </w:tcPr>
          <w:p>
            <w:pPr>
              <w:pStyle w:val="TableContents"/>
              <w:spacing w:before="0" w:after="283"/>
              <w:rPr/>
            </w:pPr>
            <w:r>
              <w:rPr/>
              <w:t> </w:t>
            </w:r>
          </w:p>
        </w:tc>
      </w:tr>
      <w:tr>
        <w:trPr/>
        <w:tc>
          <w:tcPr>
            <w:tcW w:w="4031" w:type="dxa"/>
            <w:tcBorders/>
            <w:shd w:fill="auto" w:val="clear"/>
            <w:vAlign w:val="center"/>
          </w:tcPr>
          <w:p>
            <w:pPr>
              <w:pStyle w:val="TableContents"/>
              <w:spacing w:before="0" w:after="283"/>
              <w:jc w:val="left"/>
              <w:rPr/>
            </w:pPr>
            <w:r>
              <w:rPr/>
              <w:t> </w:t>
            </w:r>
          </w:p>
        </w:tc>
        <w:tc>
          <w:tcPr>
            <w:tcW w:w="1017" w:type="dxa"/>
            <w:tcBorders/>
            <w:shd w:fill="auto" w:val="clear"/>
          </w:tcPr>
          <w:p>
            <w:pPr>
              <w:pStyle w:val="TableContents"/>
              <w:spacing w:before="0" w:after="283"/>
              <w:rPr/>
            </w:pPr>
            <w:r>
              <w:rPr/>
              <w:t>By:  </w:t>
            </w:r>
          </w:p>
        </w:tc>
        <w:tc>
          <w:tcPr>
            <w:tcW w:w="3856" w:type="dxa"/>
            <w:gridSpan w:val="2"/>
            <w:tcBorders>
              <w:bottom w:val="single" w:sz="2" w:space="0" w:color="000000"/>
            </w:tcBorders>
            <w:shd w:fill="auto" w:val="clear"/>
            <w:tcMar>
              <w:bottom w:w="28" w:type="dxa"/>
            </w:tcMar>
            <w:vAlign w:val="center"/>
          </w:tcPr>
          <w:p>
            <w:pPr>
              <w:pStyle w:val="TableContents"/>
              <w:spacing w:before="0" w:after="283"/>
              <w:jc w:val="left"/>
              <w:rPr/>
            </w:pPr>
            <w:r>
              <w:rPr/>
              <w:t> </w:t>
            </w:r>
          </w:p>
        </w:tc>
        <w:tc>
          <w:tcPr>
            <w:tcW w:w="1301" w:type="dxa"/>
            <w:tcBorders/>
            <w:shd w:fill="auto" w:val="clear"/>
            <w:vAlign w:val="center"/>
          </w:tcPr>
          <w:p>
            <w:pPr>
              <w:pStyle w:val="TableContents"/>
              <w:spacing w:before="0" w:after="283"/>
              <w:rPr/>
            </w:pPr>
            <w:r>
              <w:rPr/>
              <w:t> </w:t>
            </w:r>
          </w:p>
        </w:tc>
      </w:tr>
      <w:tr>
        <w:trPr/>
        <w:tc>
          <w:tcPr>
            <w:tcW w:w="4031" w:type="dxa"/>
            <w:tcBorders/>
            <w:shd w:fill="auto" w:val="clear"/>
            <w:vAlign w:val="center"/>
          </w:tcPr>
          <w:p>
            <w:pPr>
              <w:pStyle w:val="TableContents"/>
              <w:spacing w:before="0" w:after="283"/>
              <w:jc w:val="left"/>
              <w:rPr/>
            </w:pPr>
            <w:r>
              <w:rPr/>
              <w:t> </w:t>
            </w:r>
          </w:p>
        </w:tc>
        <w:tc>
          <w:tcPr>
            <w:tcW w:w="1017" w:type="dxa"/>
            <w:tcBorders/>
            <w:shd w:fill="auto" w:val="clear"/>
            <w:vAlign w:val="center"/>
          </w:tcPr>
          <w:p>
            <w:pPr>
              <w:pStyle w:val="TableContents"/>
              <w:spacing w:before="0" w:after="283"/>
              <w:rPr/>
            </w:pPr>
            <w:r>
              <w:rPr/>
              <w:t> </w:t>
            </w:r>
          </w:p>
        </w:tc>
        <w:tc>
          <w:tcPr>
            <w:tcW w:w="3856" w:type="dxa"/>
            <w:gridSpan w:val="2"/>
            <w:tcBorders/>
            <w:shd w:fill="auto" w:val="clear"/>
            <w:vAlign w:val="center"/>
          </w:tcPr>
          <w:p>
            <w:pPr>
              <w:pStyle w:val="TableContents"/>
              <w:spacing w:before="0" w:after="283"/>
              <w:jc w:val="left"/>
              <w:rPr/>
            </w:pPr>
            <w:r>
              <w:rPr/>
              <w:t>Dan Leonard</w:t>
            </w:r>
          </w:p>
        </w:tc>
        <w:tc>
          <w:tcPr>
            <w:tcW w:w="1301" w:type="dxa"/>
            <w:tcBorders/>
            <w:shd w:fill="auto" w:val="clear"/>
            <w:vAlign w:val="center"/>
          </w:tcPr>
          <w:p>
            <w:pPr>
              <w:pStyle w:val="TableContents"/>
              <w:spacing w:before="0" w:after="283"/>
              <w:rPr/>
            </w:pPr>
            <w:r>
              <w:rPr/>
              <w:t> </w:t>
            </w:r>
          </w:p>
        </w:tc>
      </w:tr>
      <w:tr>
        <w:trPr/>
        <w:tc>
          <w:tcPr>
            <w:tcW w:w="4031" w:type="dxa"/>
            <w:tcBorders/>
            <w:shd w:fill="auto" w:val="clear"/>
            <w:vAlign w:val="center"/>
          </w:tcPr>
          <w:p>
            <w:pPr>
              <w:pStyle w:val="TableContents"/>
              <w:spacing w:before="0" w:after="283"/>
              <w:jc w:val="left"/>
              <w:rPr/>
            </w:pPr>
            <w:r>
              <w:rPr/>
              <w:t> </w:t>
            </w:r>
          </w:p>
        </w:tc>
        <w:tc>
          <w:tcPr>
            <w:tcW w:w="1017" w:type="dxa"/>
            <w:tcBorders/>
            <w:shd w:fill="auto" w:val="clear"/>
            <w:vAlign w:val="center"/>
          </w:tcPr>
          <w:p>
            <w:pPr>
              <w:pStyle w:val="TableContents"/>
              <w:spacing w:before="0" w:after="283"/>
              <w:rPr/>
            </w:pPr>
            <w:r>
              <w:rPr/>
              <w:t> </w:t>
            </w:r>
          </w:p>
        </w:tc>
        <w:tc>
          <w:tcPr>
            <w:tcW w:w="3856" w:type="dxa"/>
            <w:gridSpan w:val="2"/>
            <w:tcBorders/>
            <w:shd w:fill="auto" w:val="clear"/>
            <w:vAlign w:val="center"/>
          </w:tcPr>
          <w:p>
            <w:pPr>
              <w:pStyle w:val="TableContents"/>
              <w:spacing w:before="0" w:after="283"/>
              <w:jc w:val="left"/>
              <w:rPr/>
            </w:pPr>
            <w:r>
              <w:rPr/>
              <w:t>Vice President </w:t>
            </w:r>
          </w:p>
        </w:tc>
        <w:tc>
          <w:tcPr>
            <w:tcW w:w="130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0" w:name="d48834exv31w1.htm"/>
      <w:bookmarkStart w:id="21" w:name="ksd48834exv31w1"/>
      <w:bookmarkEnd w:id="20"/>
      <w:bookmarkEnd w:id="21"/>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Joseph L. Rotunda, certify that: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 have reviewed this Quarterly Report on Form 10-Q of EZCORP, Inc. (the registrant) for the quarter ended June 30,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4"/>
        <w:gridCol w:w="305"/>
        <w:gridCol w:w="101"/>
        <w:gridCol w:w="9595"/>
      </w:tblGrid>
      <w:tr>
        <w:trPr/>
        <w:tc>
          <w:tcPr>
            <w:tcW w:w="2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August 6, 2007 </w:t>
      </w:r>
    </w:p>
    <w:tbl>
      <w:tblPr>
        <w:tblW w:w="5000" w:type="pct"/>
        <w:jc w:val="left"/>
        <w:tblInd w:w="0" w:type="dxa"/>
        <w:tblCellMar>
          <w:top w:w="0" w:type="dxa"/>
          <w:left w:w="0" w:type="dxa"/>
          <w:bottom w:w="0" w:type="dxa"/>
          <w:right w:w="0" w:type="dxa"/>
        </w:tblCellMar>
      </w:tblPr>
      <w:tblGrid>
        <w:gridCol w:w="4450"/>
        <w:gridCol w:w="555"/>
        <w:gridCol w:w="326"/>
        <w:gridCol w:w="3445"/>
        <w:gridCol w:w="1429"/>
      </w:tblGrid>
      <w:tr>
        <w:trPr/>
        <w:tc>
          <w:tcPr>
            <w:tcW w:w="445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44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bottom w:val="single" w:sz="2" w:space="0" w:color="000000"/>
            </w:tcBorders>
            <w:shd w:fill="auto" w:val="clear"/>
            <w:tcMar>
              <w:bottom w:w="28" w:type="dxa"/>
            </w:tcMar>
            <w:vAlign w:val="center"/>
          </w:tcPr>
          <w:p>
            <w:pPr>
              <w:pStyle w:val="TableContents"/>
              <w:spacing w:before="0" w:after="283"/>
              <w:jc w:val="left"/>
              <w:rPr/>
            </w:pPr>
            <w:r>
              <w:rPr/>
              <w:t>/s/ 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President, Chief Executive Officer</w:t>
              <w:br/>
              <w:t>&amp; Director </w:t>
            </w:r>
          </w:p>
        </w:tc>
        <w:tc>
          <w:tcPr>
            <w:tcW w:w="1429"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Heading5"/>
        <w:jc w:val="left"/>
        <w:rPr/>
      </w:pPr>
      <w:r>
        <w:br w:type="page"/>
      </w:r>
      <w:bookmarkStart w:id="22" w:name="d48834exv31w2.htm"/>
      <w:bookmarkStart w:id="23" w:name="ksd48834exv31w2"/>
      <w:bookmarkEnd w:id="22"/>
      <w:bookmarkEnd w:id="23"/>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31.2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 Dan N. Tonissen, certify that: </w:t>
      </w:r>
    </w:p>
    <w:tbl>
      <w:tblPr>
        <w:tblW w:w="5000" w:type="pct"/>
        <w:jc w:val="left"/>
        <w:tblInd w:w="0" w:type="dxa"/>
        <w:tblCellMar>
          <w:top w:w="0" w:type="dxa"/>
          <w:left w:w="0" w:type="dxa"/>
          <w:bottom w:w="0" w:type="dxa"/>
          <w:right w:w="0" w:type="dxa"/>
        </w:tblCellMar>
      </w:tblPr>
      <w:tblGrid>
        <w:gridCol w:w="203"/>
        <w:gridCol w:w="305"/>
        <w:gridCol w:w="102"/>
        <w:gridCol w:w="9595"/>
      </w:tblGrid>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I have reviewed this Quarterly Report on Form 10-Q of EZCORP, Inc. (the registrant) for the quarter ended June 30, 2007;</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3.</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4.</w:t>
            </w:r>
          </w:p>
        </w:tc>
        <w:tc>
          <w:tcPr>
            <w:tcW w:w="102"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5000" w:type="pct"/>
        <w:jc w:val="left"/>
        <w:tblInd w:w="0" w:type="dxa"/>
        <w:tblCellMar>
          <w:top w:w="0" w:type="dxa"/>
          <w:left w:w="0" w:type="dxa"/>
          <w:bottom w:w="0" w:type="dxa"/>
          <w:right w:w="0" w:type="dxa"/>
        </w:tblCellMar>
      </w:tblPr>
      <w:tblGrid>
        <w:gridCol w:w="611"/>
        <w:gridCol w:w="306"/>
        <w:gridCol w:w="101"/>
        <w:gridCol w:w="9187"/>
      </w:tblGrid>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(c)</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11" w:type="dxa"/>
            <w:tcBorders/>
            <w:shd w:fill="auto" w:val="clear"/>
            <w:vAlign w:val="center"/>
          </w:tcPr>
          <w:p>
            <w:pPr>
              <w:pStyle w:val="TableContents"/>
              <w:spacing w:before="0" w:after="283"/>
              <w:rPr/>
            </w:pPr>
            <w:r>
              <w:rPr/>
              <w:t> </w:t>
            </w:r>
          </w:p>
        </w:tc>
        <w:tc>
          <w:tcPr>
            <w:tcW w:w="9594" w:type="dxa"/>
            <w:gridSpan w:val="3"/>
            <w:tcBorders/>
            <w:shd w:fill="auto" w:val="clear"/>
          </w:tcPr>
          <w:p>
            <w:pPr>
              <w:pStyle w:val="TableContents"/>
              <w:spacing w:before="0" w:after="283"/>
              <w:rPr>
                <w:sz w:val="4"/>
                <w:szCs w:val="4"/>
              </w:rPr>
            </w:pPr>
            <w:r>
              <w:rPr>
                <w:sz w:val="4"/>
                <w:szCs w:val="4"/>
              </w:rPr>
            </w:r>
          </w:p>
        </w:tc>
      </w:tr>
      <w:tr>
        <w:trPr/>
        <w:tc>
          <w:tcPr>
            <w:tcW w:w="611" w:type="dxa"/>
            <w:tcBorders/>
            <w:shd w:fill="auto" w:val="clear"/>
          </w:tcPr>
          <w:p>
            <w:pPr>
              <w:pStyle w:val="TableContents"/>
              <w:spacing w:before="0" w:after="283"/>
              <w:rPr/>
            </w:pPr>
            <w:r>
              <w:rPr/>
              <w:t> </w:t>
            </w:r>
          </w:p>
        </w:tc>
        <w:tc>
          <w:tcPr>
            <w:tcW w:w="306" w:type="dxa"/>
            <w:tcBorders/>
            <w:shd w:fill="auto" w:val="clear"/>
          </w:tcPr>
          <w:p>
            <w:pPr>
              <w:pStyle w:val="TableContents"/>
              <w:spacing w:before="0" w:after="283"/>
              <w:jc w:val="left"/>
              <w:rPr/>
            </w:pPr>
            <w:r>
              <w:rPr/>
              <w:t>(d)</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tbl>
      <w:tblPr>
        <w:tblW w:w="5000" w:type="pct"/>
        <w:jc w:val="left"/>
        <w:tblInd w:w="0" w:type="dxa"/>
        <w:tblCellMar>
          <w:top w:w="0" w:type="dxa"/>
          <w:left w:w="0" w:type="dxa"/>
          <w:bottom w:w="0" w:type="dxa"/>
          <w:right w:w="0" w:type="dxa"/>
        </w:tblCellMar>
      </w:tblPr>
      <w:tblGrid>
        <w:gridCol w:w="204"/>
        <w:gridCol w:w="305"/>
        <w:gridCol w:w="101"/>
        <w:gridCol w:w="9595"/>
      </w:tblGrid>
      <w:tr>
        <w:trPr/>
        <w:tc>
          <w:tcPr>
            <w:tcW w:w="204"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5.</w:t>
            </w:r>
          </w:p>
        </w:tc>
        <w:tc>
          <w:tcPr>
            <w:tcW w:w="101" w:type="dxa"/>
            <w:tcBorders/>
            <w:shd w:fill="auto" w:val="clear"/>
          </w:tcPr>
          <w:p>
            <w:pPr>
              <w:pStyle w:val="TableContents"/>
              <w:spacing w:before="0" w:after="283"/>
              <w:rPr/>
            </w:pPr>
            <w:r>
              <w:rPr/>
              <w:t> </w:t>
            </w:r>
          </w:p>
        </w:tc>
        <w:tc>
          <w:tcPr>
            <w:tcW w:w="9595" w:type="dxa"/>
            <w:tcBorders/>
            <w:shd w:fill="auto" w:val="clear"/>
          </w:tcPr>
          <w:p>
            <w:pPr>
              <w:pStyle w:val="TableContents"/>
              <w:spacing w:before="0" w:after="283"/>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5000" w:type="pct"/>
        <w:jc w:val="left"/>
        <w:tblInd w:w="0" w:type="dxa"/>
        <w:tblCellMar>
          <w:top w:w="0" w:type="dxa"/>
          <w:left w:w="0" w:type="dxa"/>
          <w:bottom w:w="0" w:type="dxa"/>
          <w:right w:w="0" w:type="dxa"/>
        </w:tblCellMar>
      </w:tblPr>
      <w:tblGrid>
        <w:gridCol w:w="612"/>
        <w:gridCol w:w="305"/>
        <w:gridCol w:w="101"/>
        <w:gridCol w:w="9187"/>
      </w:tblGrid>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(a)</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12" w:type="dxa"/>
            <w:tcBorders/>
            <w:shd w:fill="auto" w:val="clear"/>
            <w:vAlign w:val="center"/>
          </w:tcPr>
          <w:p>
            <w:pPr>
              <w:pStyle w:val="TableContents"/>
              <w:spacing w:before="0" w:after="283"/>
              <w:rPr/>
            </w:pPr>
            <w:r>
              <w:rPr/>
              <w:t> </w:t>
            </w:r>
          </w:p>
        </w:tc>
        <w:tc>
          <w:tcPr>
            <w:tcW w:w="9593" w:type="dxa"/>
            <w:gridSpan w:val="3"/>
            <w:tcBorders/>
            <w:shd w:fill="auto" w:val="clear"/>
          </w:tcPr>
          <w:p>
            <w:pPr>
              <w:pStyle w:val="TableContents"/>
              <w:spacing w:before="0" w:after="283"/>
              <w:rPr>
                <w:sz w:val="4"/>
                <w:szCs w:val="4"/>
              </w:rPr>
            </w:pPr>
            <w:r>
              <w:rPr>
                <w:sz w:val="4"/>
                <w:szCs w:val="4"/>
              </w:rPr>
            </w:r>
          </w:p>
        </w:tc>
      </w:tr>
      <w:tr>
        <w:trPr/>
        <w:tc>
          <w:tcPr>
            <w:tcW w:w="612"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(b)</w:t>
            </w:r>
          </w:p>
        </w:tc>
        <w:tc>
          <w:tcPr>
            <w:tcW w:w="101" w:type="dxa"/>
            <w:tcBorders/>
            <w:shd w:fill="auto" w:val="clear"/>
          </w:tcPr>
          <w:p>
            <w:pPr>
              <w:pStyle w:val="TableContents"/>
              <w:spacing w:before="0" w:after="283"/>
              <w:rPr/>
            </w:pPr>
            <w:r>
              <w:rPr/>
              <w:t> </w:t>
            </w:r>
          </w:p>
        </w:tc>
        <w:tc>
          <w:tcPr>
            <w:tcW w:w="9187" w:type="dxa"/>
            <w:tcBorders/>
            <w:shd w:fill="auto" w:val="clear"/>
          </w:tcPr>
          <w:p>
            <w:pPr>
              <w:pStyle w:val="TableContents"/>
              <w:spacing w:before="0" w:after="283"/>
              <w:rPr/>
            </w:pPr>
            <w:r>
              <w:rPr/>
              <w:t>Any fraud, whether or not material, that involves management or other employees who have a significant role in the registrants internal control over financial reporting.</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August 6, 2007 </w:t>
      </w:r>
    </w:p>
    <w:tbl>
      <w:tblPr>
        <w:tblW w:w="5000" w:type="pct"/>
        <w:jc w:val="left"/>
        <w:tblInd w:w="0" w:type="dxa"/>
        <w:tblCellMar>
          <w:top w:w="0" w:type="dxa"/>
          <w:left w:w="0" w:type="dxa"/>
          <w:bottom w:w="0" w:type="dxa"/>
          <w:right w:w="0" w:type="dxa"/>
        </w:tblCellMar>
      </w:tblPr>
      <w:tblGrid>
        <w:gridCol w:w="4450"/>
        <w:gridCol w:w="530"/>
        <w:gridCol w:w="338"/>
        <w:gridCol w:w="3457"/>
        <w:gridCol w:w="1430"/>
      </w:tblGrid>
      <w:tr>
        <w:trPr/>
        <w:tc>
          <w:tcPr>
            <w:tcW w:w="4450" w:type="dxa"/>
            <w:tcBorders/>
            <w:shd w:fill="auto" w:val="clear"/>
            <w:vAlign w:val="center"/>
          </w:tcPr>
          <w:p>
            <w:pPr>
              <w:pStyle w:val="TableContents"/>
              <w:spacing w:before="0" w:after="283"/>
              <w:rPr/>
            </w:pPr>
            <w:r>
              <w:rPr/>
              <w:t> </w:t>
            </w:r>
          </w:p>
        </w:tc>
        <w:tc>
          <w:tcPr>
            <w:tcW w:w="530" w:type="dxa"/>
            <w:tcBorders/>
            <w:shd w:fill="auto" w:val="clear"/>
            <w:vAlign w:val="center"/>
          </w:tcPr>
          <w:p>
            <w:pPr>
              <w:pStyle w:val="TableContents"/>
              <w:spacing w:before="0" w:after="283"/>
              <w:rPr/>
            </w:pPr>
            <w:r>
              <w:rPr/>
              <w:t> </w:t>
            </w:r>
          </w:p>
        </w:tc>
        <w:tc>
          <w:tcPr>
            <w:tcW w:w="338" w:type="dxa"/>
            <w:tcBorders/>
            <w:shd w:fill="auto" w:val="clear"/>
            <w:vAlign w:val="center"/>
          </w:tcPr>
          <w:p>
            <w:pPr>
              <w:pStyle w:val="TableContents"/>
              <w:spacing w:before="0" w:after="283"/>
              <w:rPr/>
            </w:pPr>
            <w:r>
              <w:rPr/>
              <w:t> </w:t>
            </w:r>
          </w:p>
        </w:tc>
        <w:tc>
          <w:tcPr>
            <w:tcW w:w="3457" w:type="dxa"/>
            <w:tcBorders/>
            <w:shd w:fill="auto" w:val="clear"/>
            <w:vAlign w:val="center"/>
          </w:tcPr>
          <w:p>
            <w:pPr>
              <w:pStyle w:val="TableContents"/>
              <w:spacing w:before="0" w:after="283"/>
              <w:rPr/>
            </w:pPr>
            <w:r>
              <w:rPr/>
              <w:t>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tcPr>
          <w:p>
            <w:pPr>
              <w:pStyle w:val="TableContents"/>
              <w:spacing w:before="0" w:after="283"/>
              <w:jc w:val="left"/>
              <w:rPr/>
            </w:pPr>
            <w:r>
              <w:rPr/>
              <w:t> </w:t>
            </w:r>
          </w:p>
        </w:tc>
        <w:tc>
          <w:tcPr>
            <w:tcW w:w="4325" w:type="dxa"/>
            <w:gridSpan w:val="3"/>
            <w:tcBorders/>
            <w:shd w:fill="auto" w:val="clear"/>
            <w:vAlign w:val="center"/>
          </w:tcPr>
          <w:p>
            <w:pPr>
              <w:pStyle w:val="TableContents"/>
              <w:spacing w:before="0" w:after="283"/>
              <w:jc w:val="left"/>
              <w:rPr/>
            </w:pPr>
            <w:r>
              <w:rPr/>
              <w:t>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5" w:type="dxa"/>
            <w:gridSpan w:val="3"/>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5" w:type="dxa"/>
            <w:gridSpan w:val="3"/>
            <w:tcBorders/>
            <w:shd w:fill="auto" w:val="clear"/>
            <w:vAlign w:val="center"/>
          </w:tcPr>
          <w:p>
            <w:pPr>
              <w:pStyle w:val="TableContents"/>
              <w:spacing w:before="0" w:after="283"/>
              <w:jc w:val="left"/>
              <w:rPr/>
            </w:pPr>
            <w:r>
              <w:rPr/>
              <w:t>Dan N. Tonissen </w:t>
            </w:r>
          </w:p>
        </w:tc>
        <w:tc>
          <w:tcPr>
            <w:tcW w:w="1430"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5" w:type="dxa"/>
            <w:gridSpan w:val="3"/>
            <w:tcBorders/>
            <w:shd w:fill="auto" w:val="clear"/>
            <w:vAlign w:val="center"/>
          </w:tcPr>
          <w:p>
            <w:pPr>
              <w:pStyle w:val="TableContents"/>
              <w:spacing w:before="0" w:after="283"/>
              <w:jc w:val="left"/>
              <w:rPr/>
            </w:pPr>
            <w:r>
              <w:rPr/>
              <w:t xml:space="preserve">Senior Vice President, Chief Financial Officer </w:t>
              <w:br/>
              <w:t>&amp; Director </w:t>
            </w:r>
          </w:p>
        </w:tc>
        <w:tc>
          <w:tcPr>
            <w:tcW w:w="14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Heading5"/>
        <w:jc w:val="left"/>
        <w:rPr/>
      </w:pPr>
      <w:r>
        <w:br w:type="page"/>
      </w:r>
      <w:bookmarkStart w:id="24" w:name="d48834exv32w1.htm"/>
      <w:bookmarkStart w:id="25" w:name="ksd48834exv32w1"/>
      <w:bookmarkEnd w:id="24"/>
      <w:bookmarkEnd w:id="25"/>
      <w:r>
        <w:rPr/>
        <w:t> </w:t>
      </w:r>
    </w:p>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32.1</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filing of the Quarterly Report on Form 10-Q for the quarter ended June 30, 2007 (the Report) by EZCORP, Inc. (Registrant), the undersigned hereby certifies that: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Report fully complies with the requirements of section 13(a) or 15(d) of the Securities Exchange Act of 1934, as amended,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information contained in the Report fairly presents, in all material respects, the financial condition and results of operations of Registrant.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August 6, 2007 </w:t>
      </w:r>
    </w:p>
    <w:tbl>
      <w:tblPr>
        <w:tblW w:w="5000" w:type="pct"/>
        <w:jc w:val="left"/>
        <w:tblInd w:w="0" w:type="dxa"/>
        <w:tblCellMar>
          <w:top w:w="0" w:type="dxa"/>
          <w:left w:w="0" w:type="dxa"/>
          <w:bottom w:w="0" w:type="dxa"/>
          <w:right w:w="0" w:type="dxa"/>
        </w:tblCellMar>
      </w:tblPr>
      <w:tblGrid>
        <w:gridCol w:w="4450"/>
        <w:gridCol w:w="555"/>
        <w:gridCol w:w="326"/>
        <w:gridCol w:w="3445"/>
        <w:gridCol w:w="1429"/>
      </w:tblGrid>
      <w:tr>
        <w:trPr/>
        <w:tc>
          <w:tcPr>
            <w:tcW w:w="4450" w:type="dxa"/>
            <w:tcBorders/>
            <w:shd w:fill="auto" w:val="clear"/>
            <w:vAlign w:val="center"/>
          </w:tcPr>
          <w:p>
            <w:pPr>
              <w:pStyle w:val="TableContents"/>
              <w:spacing w:before="0" w:after="283"/>
              <w:rPr/>
            </w:pPr>
            <w:r>
              <w:rPr/>
              <w:t> </w:t>
            </w:r>
          </w:p>
        </w:tc>
        <w:tc>
          <w:tcPr>
            <w:tcW w:w="555" w:type="dxa"/>
            <w:tcBorders/>
            <w:shd w:fill="auto" w:val="clear"/>
            <w:vAlign w:val="center"/>
          </w:tcPr>
          <w:p>
            <w:pPr>
              <w:pStyle w:val="TableContents"/>
              <w:spacing w:before="0" w:after="283"/>
              <w:rPr/>
            </w:pPr>
            <w:r>
              <w:rPr/>
              <w:t> </w:t>
            </w:r>
          </w:p>
        </w:tc>
        <w:tc>
          <w:tcPr>
            <w:tcW w:w="326" w:type="dxa"/>
            <w:tcBorders/>
            <w:shd w:fill="auto" w:val="clear"/>
            <w:vAlign w:val="center"/>
          </w:tcPr>
          <w:p>
            <w:pPr>
              <w:pStyle w:val="TableContents"/>
              <w:spacing w:before="0" w:after="283"/>
              <w:rPr/>
            </w:pPr>
            <w:r>
              <w:rPr/>
              <w:t> </w:t>
            </w:r>
          </w:p>
        </w:tc>
        <w:tc>
          <w:tcPr>
            <w:tcW w:w="3445" w:type="dxa"/>
            <w:tcBorders/>
            <w:shd w:fill="auto" w:val="clear"/>
            <w:vAlign w:val="center"/>
          </w:tcPr>
          <w:p>
            <w:pPr>
              <w:pStyle w:val="TableContents"/>
              <w:spacing w:before="0" w:after="283"/>
              <w:rPr/>
            </w:pPr>
            <w:r>
              <w:rPr/>
              <w:t>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bottom w:val="single" w:sz="2" w:space="0" w:color="000000"/>
            </w:tcBorders>
            <w:shd w:fill="auto" w:val="clear"/>
            <w:tcMar>
              <w:bottom w:w="28" w:type="dxa"/>
            </w:tcMar>
            <w:vAlign w:val="center"/>
          </w:tcPr>
          <w:p>
            <w:pPr>
              <w:pStyle w:val="TableContents"/>
              <w:spacing w:before="0" w:after="283"/>
              <w:jc w:val="left"/>
              <w:rPr/>
            </w:pPr>
            <w:r>
              <w:rPr/>
              <w:t>/s/ 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Joseph L. Rotunda </w:t>
            </w:r>
          </w:p>
        </w:tc>
        <w:tc>
          <w:tcPr>
            <w:tcW w:w="1429" w:type="dxa"/>
            <w:tcBorders/>
            <w:shd w:fill="auto" w:val="clear"/>
            <w:vAlign w:val="center"/>
          </w:tcPr>
          <w:p>
            <w:pPr>
              <w:pStyle w:val="TableContents"/>
              <w:spacing w:before="0" w:after="283"/>
              <w:rPr/>
            </w:pPr>
            <w:r>
              <w:rPr/>
              <w:t> </w:t>
            </w:r>
          </w:p>
        </w:tc>
      </w:tr>
      <w:tr>
        <w:trPr/>
        <w:tc>
          <w:tcPr>
            <w:tcW w:w="4450" w:type="dxa"/>
            <w:tcBorders/>
            <w:shd w:fill="auto" w:val="clear"/>
            <w:vAlign w:val="center"/>
          </w:tcPr>
          <w:p>
            <w:pPr>
              <w:pStyle w:val="TableContents"/>
              <w:spacing w:before="0" w:after="283"/>
              <w:jc w:val="left"/>
              <w:rPr/>
            </w:pPr>
            <w:r>
              <w:rPr/>
              <w:t> </w:t>
            </w:r>
          </w:p>
        </w:tc>
        <w:tc>
          <w:tcPr>
            <w:tcW w:w="4326" w:type="dxa"/>
            <w:gridSpan w:val="3"/>
            <w:tcBorders/>
            <w:shd w:fill="auto" w:val="clear"/>
            <w:vAlign w:val="center"/>
          </w:tcPr>
          <w:p>
            <w:pPr>
              <w:pStyle w:val="TableContents"/>
              <w:spacing w:before="0" w:after="283"/>
              <w:jc w:val="left"/>
              <w:rPr/>
            </w:pPr>
            <w:r>
              <w:rPr/>
              <w:t xml:space="preserve">President, Chief Executive Officer </w:t>
              <w:br/>
              <w:t>&amp; Director </w:t>
            </w:r>
          </w:p>
        </w:tc>
        <w:tc>
          <w:tcPr>
            <w:tcW w:w="1429" w:type="dxa"/>
            <w:tcBorders/>
            <w:shd w:fill="auto" w:val="clear"/>
            <w:vAlign w:val="center"/>
          </w:tcPr>
          <w:p>
            <w:pPr>
              <w:pStyle w:val="TableContents"/>
              <w:spacing w:before="0" w:after="283"/>
              <w:rPr/>
            </w:pPr>
            <w:r>
              <w:rPr/>
              <w:t> </w:t>
            </w:r>
          </w:p>
        </w:tc>
      </w:tr>
    </w:tbl>
    <w:p>
      <w:pPr>
        <w:pStyle w:val="TextBody"/>
        <w:jc w:val="center"/>
        <w:rPr/>
      </w:pPr>
      <w:r>
        <w:rPr/>
        <w:t xml:space="preserve">  </w:t>
      </w:r>
      <w:r>
        <w:br w:type="page"/>
      </w:r>
    </w:p>
    <w:p>
      <w:pPr>
        <w:pStyle w:val="Heading5"/>
        <w:jc w:val="left"/>
        <w:rPr/>
      </w:pPr>
      <w:bookmarkStart w:id="26" w:name="d48834exv32w2.htm"/>
      <w:bookmarkStart w:id="27" w:name="ksd48834exv32w2"/>
      <w:bookmarkEnd w:id="26"/>
      <w:bookmarkEnd w:id="27"/>
      <w:r>
        <w:rPr/>
        <w:t> </w:t>
      </w:r>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240" w:after="283"/>
        <w:jc w:val="right"/>
        <w:rPr>
          <w:rFonts w:ascii="Times New Roman;Times;serif" w:hAnsi="Times New Roman;Times;serif"/>
          <w:sz w:val="17"/>
        </w:rPr>
      </w:pPr>
      <w:r>
        <w:rPr>
          <w:rFonts w:ascii="Times New Roman;Times;serif" w:hAnsi="Times New Roman;Times;serif"/>
          <w:b/>
          <w:sz w:val="17"/>
        </w:rPr>
        <w:t>Exhibit 32.2</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Certification Pursuant to Section 906 of the Sarbanes-Oxley Act of 2002</w:t>
      </w:r>
      <w:r>
        <w:rPr>
          <w:rFonts w:ascii="Times New Roman;Times;serif" w:hAnsi="Times New Roman;Times;serif"/>
          <w:sz w:val="17"/>
        </w:rPr>
        <w:t xml:space="preserv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In connection with the filing of the Quarterly Report on Form 10-Q for the quarter ended June 30, 2007 (the Report) by EZCORP, Inc. (Registrant), the undersigned hereby certifies that: </w:t>
      </w:r>
    </w:p>
    <w:tbl>
      <w:tblPr>
        <w:tblW w:w="5000" w:type="pct"/>
        <w:jc w:val="left"/>
        <w:tblInd w:w="0" w:type="dxa"/>
        <w:tblCellMar>
          <w:top w:w="0" w:type="dxa"/>
          <w:left w:w="0" w:type="dxa"/>
          <w:bottom w:w="0" w:type="dxa"/>
          <w:right w:w="0" w:type="dxa"/>
        </w:tblCellMar>
      </w:tblPr>
      <w:tblGrid>
        <w:gridCol w:w="407"/>
        <w:gridCol w:w="305"/>
        <w:gridCol w:w="101"/>
        <w:gridCol w:w="9392"/>
      </w:tblGrid>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1.</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Report fully complies with the requirements of section 13(a) or 15(d) of the Securities Exchange Act of 1934, as amended, and</w:t>
            </w:r>
          </w:p>
        </w:tc>
      </w:tr>
      <w:tr>
        <w:trPr/>
        <w:tc>
          <w:tcPr>
            <w:tcW w:w="407" w:type="dxa"/>
            <w:tcBorders/>
            <w:shd w:fill="auto" w:val="clear"/>
            <w:vAlign w:val="center"/>
          </w:tcPr>
          <w:p>
            <w:pPr>
              <w:pStyle w:val="TableContents"/>
              <w:spacing w:before="0" w:after="283"/>
              <w:rPr/>
            </w:pPr>
            <w:r>
              <w:rPr/>
              <w:t> </w:t>
            </w:r>
          </w:p>
        </w:tc>
        <w:tc>
          <w:tcPr>
            <w:tcW w:w="9798" w:type="dxa"/>
            <w:gridSpan w:val="3"/>
            <w:tcBorders/>
            <w:shd w:fill="auto" w:val="clear"/>
          </w:tcPr>
          <w:p>
            <w:pPr>
              <w:pStyle w:val="TableContents"/>
              <w:spacing w:before="0" w:after="283"/>
              <w:rPr>
                <w:sz w:val="4"/>
                <w:szCs w:val="4"/>
              </w:rPr>
            </w:pPr>
            <w:r>
              <w:rPr>
                <w:sz w:val="4"/>
                <w:szCs w:val="4"/>
              </w:rPr>
            </w:r>
          </w:p>
        </w:tc>
      </w:tr>
      <w:tr>
        <w:trPr/>
        <w:tc>
          <w:tcPr>
            <w:tcW w:w="407" w:type="dxa"/>
            <w:tcBorders/>
            <w:shd w:fill="auto" w:val="clear"/>
          </w:tcPr>
          <w:p>
            <w:pPr>
              <w:pStyle w:val="TableContents"/>
              <w:spacing w:before="0" w:after="283"/>
              <w:rPr/>
            </w:pPr>
            <w:r>
              <w:rPr/>
              <w:t> </w:t>
            </w:r>
          </w:p>
        </w:tc>
        <w:tc>
          <w:tcPr>
            <w:tcW w:w="305" w:type="dxa"/>
            <w:tcBorders/>
            <w:shd w:fill="auto" w:val="clear"/>
          </w:tcPr>
          <w:p>
            <w:pPr>
              <w:pStyle w:val="TableContents"/>
              <w:spacing w:before="0" w:after="283"/>
              <w:jc w:val="left"/>
              <w:rPr/>
            </w:pPr>
            <w:r>
              <w:rPr/>
              <w:t>2.</w:t>
            </w:r>
          </w:p>
        </w:tc>
        <w:tc>
          <w:tcPr>
            <w:tcW w:w="101" w:type="dxa"/>
            <w:tcBorders/>
            <w:shd w:fill="auto" w:val="clear"/>
          </w:tcPr>
          <w:p>
            <w:pPr>
              <w:pStyle w:val="TableContents"/>
              <w:spacing w:before="0" w:after="283"/>
              <w:rPr/>
            </w:pPr>
            <w:r>
              <w:rPr/>
              <w:t> </w:t>
            </w:r>
          </w:p>
        </w:tc>
        <w:tc>
          <w:tcPr>
            <w:tcW w:w="9392" w:type="dxa"/>
            <w:tcBorders/>
            <w:shd w:fill="auto" w:val="clear"/>
          </w:tcPr>
          <w:p>
            <w:pPr>
              <w:pStyle w:val="TableContents"/>
              <w:spacing w:before="0" w:after="283"/>
              <w:rPr/>
            </w:pPr>
            <w:r>
              <w:rPr/>
              <w:t>The information contained in the Report fairly presents, in all material respects, the financial condition and results of operations of Registrant.</w:t>
            </w:r>
          </w:p>
        </w:tc>
      </w:tr>
    </w:tbl>
    <w:p>
      <w:pPr>
        <w:pStyle w:val="TextBody"/>
        <w:spacing w:before="240" w:after="283"/>
        <w:jc w:val="left"/>
        <w:rPr>
          <w:rFonts w:ascii="Times New Roman;Times;serif" w:hAnsi="Times New Roman;Times;serif"/>
          <w:sz w:val="17"/>
        </w:rPr>
      </w:pPr>
      <w:r>
        <w:rPr>
          <w:rFonts w:ascii="Times New Roman;Times;serif" w:hAnsi="Times New Roman;Times;serif"/>
          <w:sz w:val="17"/>
        </w:rPr>
        <w:t xml:space="preserve">Date: August 6, 2007 </w:t>
      </w:r>
    </w:p>
    <w:tbl>
      <w:tblPr>
        <w:tblW w:w="5000" w:type="pct"/>
        <w:jc w:val="left"/>
        <w:tblInd w:w="0" w:type="dxa"/>
        <w:tblCellMar>
          <w:top w:w="0" w:type="dxa"/>
          <w:left w:w="0" w:type="dxa"/>
          <w:bottom w:w="0" w:type="dxa"/>
          <w:right w:w="0" w:type="dxa"/>
        </w:tblCellMar>
      </w:tblPr>
      <w:tblGrid>
        <w:gridCol w:w="4522"/>
        <w:gridCol w:w="395"/>
        <w:gridCol w:w="333"/>
        <w:gridCol w:w="3504"/>
        <w:gridCol w:w="1451"/>
      </w:tblGrid>
      <w:tr>
        <w:trPr/>
        <w:tc>
          <w:tcPr>
            <w:tcW w:w="4522" w:type="dxa"/>
            <w:tcBorders/>
            <w:shd w:fill="auto" w:val="clear"/>
            <w:vAlign w:val="center"/>
          </w:tcPr>
          <w:p>
            <w:pPr>
              <w:pStyle w:val="TableContents"/>
              <w:spacing w:before="0" w:after="283"/>
              <w:rPr/>
            </w:pPr>
            <w:r>
              <w:rPr/>
              <w:t> </w:t>
            </w:r>
          </w:p>
        </w:tc>
        <w:tc>
          <w:tcPr>
            <w:tcW w:w="395" w:type="dxa"/>
            <w:tcBorders/>
            <w:shd w:fill="auto" w:val="clear"/>
            <w:vAlign w:val="center"/>
          </w:tcPr>
          <w:p>
            <w:pPr>
              <w:pStyle w:val="TableContents"/>
              <w:spacing w:before="0" w:after="283"/>
              <w:rPr/>
            </w:pPr>
            <w:r>
              <w:rPr/>
              <w:t> </w:t>
            </w:r>
          </w:p>
        </w:tc>
        <w:tc>
          <w:tcPr>
            <w:tcW w:w="333" w:type="dxa"/>
            <w:tcBorders/>
            <w:shd w:fill="auto" w:val="clear"/>
            <w:vAlign w:val="center"/>
          </w:tcPr>
          <w:p>
            <w:pPr>
              <w:pStyle w:val="TableContents"/>
              <w:spacing w:before="0" w:after="283"/>
              <w:rPr/>
            </w:pPr>
            <w:r>
              <w:rPr/>
              <w:t> </w:t>
            </w:r>
          </w:p>
        </w:tc>
        <w:tc>
          <w:tcPr>
            <w:tcW w:w="3504" w:type="dxa"/>
            <w:tcBorders/>
            <w:shd w:fill="auto" w:val="clear"/>
            <w:vAlign w:val="center"/>
          </w:tcPr>
          <w:p>
            <w:pPr>
              <w:pStyle w:val="TableContents"/>
              <w:spacing w:before="0" w:after="283"/>
              <w:rPr/>
            </w:pPr>
            <w:r>
              <w:rPr/>
              <w:t>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tcPr>
          <w:p>
            <w:pPr>
              <w:pStyle w:val="TableContents"/>
              <w:spacing w:before="0" w:after="283"/>
              <w:jc w:val="left"/>
              <w:rPr/>
            </w:pPr>
            <w:r>
              <w:rPr/>
              <w:t> </w:t>
            </w:r>
          </w:p>
        </w:tc>
        <w:tc>
          <w:tcPr>
            <w:tcW w:w="4232" w:type="dxa"/>
            <w:gridSpan w:val="3"/>
            <w:tcBorders/>
            <w:shd w:fill="auto" w:val="clear"/>
            <w:vAlign w:val="center"/>
          </w:tcPr>
          <w:p>
            <w:pPr>
              <w:pStyle w:val="TableContents"/>
              <w:spacing w:before="0" w:after="283"/>
              <w:jc w:val="left"/>
              <w:rPr/>
            </w:pPr>
            <w:r>
              <w:rPr/>
              <w:t>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vAlign w:val="center"/>
          </w:tcPr>
          <w:p>
            <w:pPr>
              <w:pStyle w:val="TableContents"/>
              <w:spacing w:before="0" w:after="283"/>
              <w:jc w:val="left"/>
              <w:rPr/>
            </w:pPr>
            <w:r>
              <w:rPr/>
              <w:t> </w:t>
            </w:r>
          </w:p>
        </w:tc>
        <w:tc>
          <w:tcPr>
            <w:tcW w:w="4232" w:type="dxa"/>
            <w:gridSpan w:val="3"/>
            <w:tcBorders>
              <w:bottom w:val="single" w:sz="2" w:space="0" w:color="000000"/>
            </w:tcBorders>
            <w:shd w:fill="auto" w:val="clear"/>
            <w:tcMar>
              <w:bottom w:w="28" w:type="dxa"/>
            </w:tcMar>
            <w:vAlign w:val="center"/>
          </w:tcPr>
          <w:p>
            <w:pPr>
              <w:pStyle w:val="TableContents"/>
              <w:spacing w:before="0" w:after="283"/>
              <w:jc w:val="left"/>
              <w:rPr/>
            </w:pPr>
            <w:r>
              <w:rPr/>
              <w:t>/s/ Dan N. Tonissen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vAlign w:val="center"/>
          </w:tcPr>
          <w:p>
            <w:pPr>
              <w:pStyle w:val="TableContents"/>
              <w:spacing w:before="0" w:after="283"/>
              <w:jc w:val="left"/>
              <w:rPr/>
            </w:pPr>
            <w:r>
              <w:rPr/>
              <w:t> </w:t>
            </w:r>
          </w:p>
        </w:tc>
        <w:tc>
          <w:tcPr>
            <w:tcW w:w="4232" w:type="dxa"/>
            <w:gridSpan w:val="3"/>
            <w:tcBorders/>
            <w:shd w:fill="auto" w:val="clear"/>
            <w:vAlign w:val="center"/>
          </w:tcPr>
          <w:p>
            <w:pPr>
              <w:pStyle w:val="TableContents"/>
              <w:spacing w:before="0" w:after="283"/>
              <w:jc w:val="left"/>
              <w:rPr/>
            </w:pPr>
            <w:r>
              <w:rPr/>
              <w:t>Dan N. Tonissen </w:t>
            </w:r>
          </w:p>
        </w:tc>
        <w:tc>
          <w:tcPr>
            <w:tcW w:w="1451" w:type="dxa"/>
            <w:tcBorders/>
            <w:shd w:fill="auto" w:val="clear"/>
            <w:vAlign w:val="center"/>
          </w:tcPr>
          <w:p>
            <w:pPr>
              <w:pStyle w:val="TableContents"/>
              <w:spacing w:before="0" w:after="283"/>
              <w:rPr/>
            </w:pPr>
            <w:r>
              <w:rPr/>
              <w:t> </w:t>
            </w:r>
          </w:p>
        </w:tc>
      </w:tr>
      <w:tr>
        <w:trPr/>
        <w:tc>
          <w:tcPr>
            <w:tcW w:w="4522" w:type="dxa"/>
            <w:tcBorders/>
            <w:shd w:fill="auto" w:val="clear"/>
            <w:vAlign w:val="center"/>
          </w:tcPr>
          <w:p>
            <w:pPr>
              <w:pStyle w:val="TableContents"/>
              <w:spacing w:before="0" w:after="283"/>
              <w:jc w:val="left"/>
              <w:rPr/>
            </w:pPr>
            <w:r>
              <w:rPr/>
              <w:t> </w:t>
            </w:r>
          </w:p>
        </w:tc>
        <w:tc>
          <w:tcPr>
            <w:tcW w:w="4232" w:type="dxa"/>
            <w:gridSpan w:val="3"/>
            <w:tcBorders/>
            <w:shd w:fill="auto" w:val="clear"/>
            <w:vAlign w:val="center"/>
          </w:tcPr>
          <w:p>
            <w:pPr>
              <w:pStyle w:val="TableContents"/>
              <w:spacing w:before="0" w:after="283"/>
              <w:jc w:val="left"/>
              <w:rPr/>
            </w:pPr>
            <w:r>
              <w:rPr/>
              <w:t>Senior Vice President,</w:t>
              <w:br/>
              <w:t>Chief Financial Officer &amp;</w:t>
              <w:br/>
              <w:t>Director </w:t>
            </w:r>
          </w:p>
        </w:tc>
        <w:tc>
          <w:tcPr>
            <w:tcW w:w="1451"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45</Pages>
  <Words>17461</Words>
  <CharactersWithSpaces>112393</CharactersWithSpaces>
  <Paragraphs>8771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exv32w2</dc:title>
</cp:coreProperties>
</file>