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 </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 </w:t>
      </w:r>
    </w:p>
    <w:p>
      <w:pPr>
        <w:pStyle w:val="TextBody"/>
        <w:bidi w:val="0"/>
        <w:spacing w:lineRule="auto" w:line="288" w:before="100" w:after="283"/>
        <w:jc w:val="center"/>
        <w:rPr>
          <w:rFonts w:ascii="Times New Roman;sans-serif" w:hAnsi="Times New Roman;sans-serif"/>
          <w:b/>
          <w:color w:val="000000"/>
          <w:sz w:val="28"/>
        </w:rPr>
      </w:pPr>
      <w:r>
        <w:rPr>
          <w:rFonts w:ascii="Times New Roman;sans-serif" w:hAnsi="Times New Roman;sans-serif"/>
          <w:b/>
          <w:color w:val="000000"/>
          <w:sz w:val="28"/>
        </w:rPr>
        <w:t>CURRENT REPORT</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March 14, 2025 (March 13, 2025) </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 </w:t>
      </w:r>
    </w:p>
    <w:p>
      <w:pPr>
        <w:pStyle w:val="TextBody"/>
        <w:bidi w:val="0"/>
        <w:spacing w:lineRule="auto" w:line="288" w:before="100" w:after="283"/>
        <w:jc w:val="center"/>
        <w:rPr>
          <w:rFonts w:ascii="Times New Roman;sans-serif" w:hAnsi="Times New Roman;sans-serif"/>
          <w:b/>
          <w:color w:val="000000"/>
          <w:sz w:val="48"/>
        </w:rPr>
      </w:pPr>
      <w:r>
        <w:rPr>
          <w:rFonts w:ascii="Times New Roman;sans-serif" w:hAnsi="Times New Roman;sans-serif"/>
          <w:b/>
          <w:color w:val="000000"/>
          <w:sz w:val="48"/>
        </w:rPr>
        <w:t>EZCORP,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80" w:after="283"/>
        <w:jc w:val="center"/>
        <w:rPr>
          <w:color w:val="000000"/>
        </w:rPr>
      </w:pPr>
      <w:r>
        <w:rPr>
          <w:color w:val="000000"/>
        </w:rPr>
        <w:t> </w:t>
      </w:r>
      <w:r>
        <w:rPr>
          <w:rFonts w:ascii="Times New Roman;sans-serif" w:hAnsi="Times New Roman;sans-serif"/>
          <w:b w:val="false"/>
          <w:color w:val="000000"/>
          <w:sz w:val="20"/>
        </w:rPr>
        <w:t>_______________________________________________________ </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0-19424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74-2540145</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2500 Bee Cave Road, Bldg One, Suite 200, Rollingwood, Texas 78746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(512) 314-3400 </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471"/>
        <w:gridCol w:w="1240"/>
        <w:gridCol w:w="1251"/>
        <w:gridCol w:w="109"/>
        <w:gridCol w:w="109"/>
        <w:gridCol w:w="109"/>
        <w:gridCol w:w="516"/>
        <w:gridCol w:w="516"/>
        <w:gridCol w:w="518"/>
        <w:gridCol w:w="109"/>
        <w:gridCol w:w="109"/>
        <w:gridCol w:w="109"/>
        <w:gridCol w:w="596"/>
        <w:gridCol w:w="540"/>
        <w:gridCol w:w="540"/>
        <w:gridCol w:w="733"/>
        <w:gridCol w:w="663"/>
        <w:gridCol w:w="967"/>
      </w:tblGrid>
      <w:tr>
        <w:trPr/>
        <w:tc>
          <w:tcPr>
            <w:tcW w:w="147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3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 A Non-voting 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EZPW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NASDAQ Stock Market</w:t>
            </w:r>
          </w:p>
        </w:tc>
        <w:tc>
          <w:tcPr>
            <w:tcW w:w="2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6"/>
              </w:rPr>
              <w:t>(NASDAQ Global Select Market)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35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5.07 — Submission of Matters to a Vote of Security Holders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13, 2025 the sole holder of the Company’s Class B Voting Common Stock (the “Voting Stockholder”) re-elected the following persons to serve on the Company’s Board of Directors, effective at the Annual Meeting of Stockholders held on March 13, 2025: Matthew W. Appel, Zena Srivatsa Arnold, Phillip E. Cohen, Lachlan P. Given, Jason A. Kulas, Pablo Lagos Espinosa, and Gary L. Tillett. Each of such persons shall serve a one-year term until the next annual meeting of stockholders (or, if earlier, until his or her death, removal or resignation).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13, 2025, there were 2,970,171 shares of the Company's Class B Voting Common Stock outstanding, all of which are held by MS Pawn Limited Partnership (the Voting Stockholder).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7.01 — Regulation FD Disclosure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held its 2025 Annual Meeting of Stockholders on March 13, 2025. The Company’s publicly-traded Class A Non-Voting Common Stock is not entitled to vote on any matters, and thus, no proposals or other matters were presented for voting at the 2025 Annual Meeting. Management discussed the Company’s strategic plans and initiatives and was available for stockholders’ questions. A copy of the presentation materials that management reviewed during the 2025 Annual Meeting has been posted in the Investor Relations section of the Company’s website at www.ezcorp.com.</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the Company under the Securities Act of 1933 or the Securities Exchange Act of 1934, unless such subsequent filing specifically references this Item 7.01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499"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09"/>
        <w:gridCol w:w="109"/>
        <w:gridCol w:w="109"/>
        <w:gridCol w:w="109"/>
        <w:gridCol w:w="109"/>
        <w:gridCol w:w="109"/>
        <w:gridCol w:w="109"/>
        <w:gridCol w:w="109"/>
        <w:gridCol w:w="109"/>
        <w:gridCol w:w="145"/>
        <w:gridCol w:w="145"/>
        <w:gridCol w:w="145"/>
        <w:gridCol w:w="145"/>
        <w:gridCol w:w="145"/>
        <w:gridCol w:w="145"/>
        <w:gridCol w:w="788"/>
        <w:gridCol w:w="788"/>
        <w:gridCol w:w="112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Ellen Bryant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Ellen Bryant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Legal Officer &amp;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3763</Characters>
  <CharactersWithSpaces>4390</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