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7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4"/>
                <w:szCs w:val="24"/>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34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May 6, 2026, EZCORP, Inc. (“EZCORP”) issued a press release announcing its results of operations and financial condition for the quarter ended March 31, 2026. A copy of that press release is attached as Exhibit 99.1.</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copy of the presentation materials that management will review during the Company’s earnings conference call (to be held on May 7, 2026) will be posted in the Investor Relations section of the company’s website at www.ezcorp.com.</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720" w:right="1240" w:hanging="525"/>
        <w:spacing w:after="0" w:line="245" w:lineRule="auto"/>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6, 2026, announcing EZCORP, Inc.’s results of operations and financial condition for the period ended March 31, 2026.</w:t>
      </w:r>
    </w:p>
    <w:p>
      <w:pPr>
        <w:spacing w:after="0" w:line="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3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38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3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49" w:right="359" w:bottom="1440" w:gutter="0" w:footer="0" w:header="0"/>
        </w:sectPr>
      </w:pPr>
    </w:p>
    <w:bookmarkStart w:id="2" w:name="page3"/>
    <w:bookmarkEnd w:id="2"/>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577215</wp:posOffset>
            </wp:positionV>
            <wp:extent cx="2005965"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EZCORP Reports Second Quarter Fiscal 2026 Results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Record Operating Results; PLO and Revenue reach all-time highs</w:t>
      </w:r>
    </w:p>
    <w:p>
      <w:pPr>
        <w:spacing w:after="0" w:line="19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 xml:space="preserve">Austin, Texas (May 6, 2026) — </w:t>
      </w:r>
      <w:r>
        <w:rPr>
          <w:rFonts w:ascii="Arial" w:cs="Arial" w:eastAsia="Arial" w:hAnsi="Arial"/>
          <w:sz w:val="18"/>
          <w:szCs w:val="18"/>
          <w:color w:val="auto"/>
        </w:rPr>
        <w:t>EZCORP, Inc. (NASDAQ: EZPW), a leading provider of pawn transactions in the United States, Latin</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and the Caribbean, today announced results for its second quarter ended March 31, 2026.</w:t>
      </w:r>
    </w:p>
    <w:p>
      <w:pPr>
        <w:spacing w:after="0" w:line="10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i w:val="1"/>
          <w:iCs w:val="1"/>
          <w:color w:val="auto"/>
        </w:rPr>
        <w:t>Unless otherwise noted, all amounts in this release are in conformity with U.S. generally accepted accounting principles (“GAAP”) and comparisons shown are to the same period in the prior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1" w:lineRule="exact"/>
        <w:rPr>
          <w:sz w:val="20"/>
          <w:szCs w:val="20"/>
          <w:color w:val="auto"/>
        </w:rPr>
      </w:pPr>
    </w:p>
    <w:p>
      <w:pPr>
        <w:ind w:left="660" w:right="420" w:hanging="328"/>
        <w:spacing w:after="0" w:line="23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attributable to EZCORP increased 93% to $49.1 million.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net income attributable to EZCORP increased 84% to $46.5 million.</w:t>
      </w:r>
    </w:p>
    <w:p>
      <w:pPr>
        <w:spacing w:after="0" w:line="140" w:lineRule="exact"/>
        <w:rPr>
          <w:rFonts w:ascii="Arial" w:cs="Arial" w:eastAsia="Arial" w:hAnsi="Arial"/>
          <w:sz w:val="18"/>
          <w:szCs w:val="18"/>
          <w:color w:val="auto"/>
        </w:rPr>
      </w:pPr>
    </w:p>
    <w:p>
      <w:pPr>
        <w:ind w:left="660" w:right="500" w:hanging="328"/>
        <w:spacing w:after="0" w:line="23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(EPS) increased 85% to $0.61.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diluted earnings per share increased 76% to $0.58.</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76% to $76.9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increased 46% to $446.9 million, while gross profit increased 46% to $260.0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Pawn loans outstanding (PLO) increased 33% to $349.4 million.</w:t>
      </w:r>
    </w:p>
    <w:p>
      <w:pPr>
        <w:spacing w:after="0" w:line="171" w:lineRule="exact"/>
        <w:rPr>
          <w:rFonts w:ascii="Arial" w:cs="Arial" w:eastAsia="Arial" w:hAnsi="Arial"/>
          <w:sz w:val="18"/>
          <w:szCs w:val="18"/>
          <w:color w:val="auto"/>
        </w:rPr>
      </w:pPr>
    </w:p>
    <w:p>
      <w:pPr>
        <w:ind w:left="660" w:right="60" w:hanging="328"/>
        <w:spacing w:after="0" w:line="287"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acquisition of Founders One, LLC ("Founders") and its subsidiary, Simple Management Group, Inc. ("SMG") effective January 2, 2026.</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Grew our footprint by 123 stores, including 117 acquired stores (105 from SMG) and 6 de novo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Lachie Given, Chief Executive Officer, stated, "The second quarter was another exceptional period for EZCORP, delivering record revenue, record PLO, and a 76% increase in adjusted EBITDA. This growth was driven by disciplined execution across all segments, sustained customer demand for immediate cash solutions and high-quality, affordable secondhand goods, together with favorable gold prices and the contribution from SMG.</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expanded our footprint by 123 stores during the quarter, including the SMG and El Bufalo acquisitions completed in early January, and ended the period with 1,506 stores across 16 countries. We are focused on driving operational improvements across SMG while capitalizing on the advantages of our scaled global platform and the significant runway ahead in existing and new pawn markets. In April, we acquired 32 stores in Guatemala strengthening our market leading position there.</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"Backed by a highly liquid balance sheet, we remain disciplined in capital allocation and active in pursuing attractive organic and inorganic growth opportunities. I thank our team members across every geography for their dedication to exceptional customer service. Guided by our core values of People, Pawn and Passion, we continue our focus on strengthening our core and scaling our operations, while delivering sustainable, long-term value for our shareholders."</w:t>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CONSOLIDATED RESULTS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720" w:type="dxa"/>
            <w:vAlign w:val="bottom"/>
          </w:tcPr>
          <w:p>
            <w:pPr>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21"/>
                <w:szCs w:val="21"/>
                <w:color w:val="auto"/>
              </w:rPr>
            </w:pPr>
          </w:p>
        </w:tc>
        <w:tc>
          <w:tcPr>
            <w:tcW w:w="2700" w:type="dxa"/>
            <w:vAlign w:val="bottom"/>
            <w:gridSpan w:val="5"/>
          </w:tcPr>
          <w:p>
            <w:pPr>
              <w:ind w:left="520"/>
              <w:spacing w:after="0"/>
              <w:rPr>
                <w:sz w:val="20"/>
                <w:szCs w:val="20"/>
                <w:color w:val="auto"/>
              </w:rPr>
            </w:pPr>
            <w:r>
              <w:rPr>
                <w:rFonts w:ascii="Arial" w:cs="Arial" w:eastAsia="Arial" w:hAnsi="Arial"/>
                <w:sz w:val="16"/>
                <w:szCs w:val="16"/>
                <w:b w:val="1"/>
                <w:bCs w:val="1"/>
                <w:color w:val="auto"/>
              </w:rPr>
              <w:t>As Reported</w:t>
            </w:r>
          </w:p>
        </w:tc>
        <w:tc>
          <w:tcPr>
            <w:tcW w:w="26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1</w:t>
            </w:r>
          </w:p>
        </w:tc>
        <w:tc>
          <w:tcPr>
            <w:tcW w:w="840" w:type="dxa"/>
            <w:vAlign w:val="bottom"/>
          </w:tcPr>
          <w:p>
            <w:pPr>
              <w:spacing w:after="0"/>
              <w:rPr>
                <w:sz w:val="21"/>
                <w:szCs w:val="2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i w:val="1"/>
                <w:iCs w:val="1"/>
                <w:color w:val="auto"/>
              </w:rPr>
              <w:t>in millions, except per share amounts</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r>
      <w:tr>
        <w:trPr>
          <w:trHeight w:val="248"/>
        </w:trPr>
        <w:tc>
          <w:tcPr>
            <w:tcW w:w="572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446.9</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306.3</w:t>
            </w:r>
          </w:p>
        </w:tc>
        <w:tc>
          <w:tcPr>
            <w:tcW w:w="44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434.9</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306.3</w:t>
            </w: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178.5</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34.4</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Consolidated net income attributable to EZCORP</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25.4</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Diluted earnings per share attributable to EZCORP</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0.33</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0.33</w:t>
            </w: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EBITDA (non-GAAP measure)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43.8</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43.8</w:t>
            </w:r>
          </w:p>
        </w:tc>
      </w:tr>
    </w:tbl>
    <w:p>
      <w:pPr>
        <w:spacing w:after="0" w:line="318" w:lineRule="exact"/>
        <w:rPr>
          <w:sz w:val="20"/>
          <w:szCs w:val="20"/>
          <w:color w:val="auto"/>
        </w:rPr>
      </w:pPr>
    </w:p>
    <w:p>
      <w:pPr>
        <w:ind w:left="660" w:right="420" w:hanging="328"/>
        <w:spacing w:after="0" w:line="232"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PLO increased 33% to $349.4 million (16% on a same-store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basis), primarily due to higher average loan size, continued strong pawn demand and improved operational performance.</w:t>
      </w:r>
    </w:p>
    <w:p>
      <w:pPr>
        <w:spacing w:after="0" w:line="140" w:lineRule="exact"/>
        <w:rPr>
          <w:rFonts w:ascii="Arial" w:cs="Arial" w:eastAsia="Arial" w:hAnsi="Arial"/>
          <w:sz w:val="18"/>
          <w:szCs w:val="18"/>
          <w:color w:val="auto"/>
        </w:rPr>
      </w:pPr>
    </w:p>
    <w:p>
      <w:pPr>
        <w:ind w:left="660" w:right="44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increased 46% and gross profit increased 46%, reflecting improved merchandise sales, jewelry scrap sales, and pawn service charges (PSC). Excluding SMG, total revenues increased 29% and gross profit increased 31%.</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increased 30% as a result of higher average PLO and additional stores.</w:t>
      </w:r>
    </w:p>
    <w:p>
      <w:pPr>
        <w:spacing w:after="0" w:line="171" w:lineRule="exact"/>
        <w:rPr>
          <w:rFonts w:ascii="Arial" w:cs="Arial" w:eastAsia="Arial" w:hAnsi="Arial"/>
          <w:sz w:val="18"/>
          <w:szCs w:val="18"/>
          <w:color w:val="auto"/>
        </w:rPr>
      </w:pPr>
    </w:p>
    <w:p>
      <w:pPr>
        <w:ind w:left="660" w:right="14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Merchandise sales gross margin increased to 36% from 34%, while aged general merchandise decreased 128 basis points (bps) to 1.5% of total general merchandise inventory.</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Jewelry scrap sales increased 288%, and jewelry scrap sales gross margin increased from 22% to 38% due to increase in gold price and jewelry purchases.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inventory increased 33% (15% on a same-store basis) due to an increase in PLO, layaways and purchases, partially offset by an increase in inventory turnover to 2.7x, from 2.5x.</w:t>
      </w:r>
    </w:p>
    <w:p>
      <w:pPr>
        <w:spacing w:after="0" w:line="98" w:lineRule="exact"/>
        <w:rPr>
          <w:rFonts w:ascii="Arial" w:cs="Arial" w:eastAsia="Arial" w:hAnsi="Arial"/>
          <w:sz w:val="18"/>
          <w:szCs w:val="18"/>
          <w:color w:val="auto"/>
        </w:rPr>
      </w:pPr>
    </w:p>
    <w:p>
      <w:pPr>
        <w:ind w:left="660" w:right="40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expenses increased 33% (13% on a same-store basis), primarily due to labor costs, including minimum wage increases in Latin America.</w:t>
      </w:r>
    </w:p>
    <w:p>
      <w:pPr>
        <w:spacing w:after="0" w:line="98" w:lineRule="exact"/>
        <w:rPr>
          <w:rFonts w:ascii="Arial" w:cs="Arial" w:eastAsia="Arial" w:hAnsi="Arial"/>
          <w:sz w:val="18"/>
          <w:szCs w:val="18"/>
          <w:color w:val="auto"/>
        </w:rPr>
      </w:pPr>
    </w:p>
    <w:p>
      <w:pPr>
        <w:ind w:left="660" w:right="40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increased 37%, primarily due to labor costs (including higher incentive compensation) and expenses associated with SMG.</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before taxes increased to $65.5 million, up 90% from $34.4 million, and adjusted EBITDA increased 76% to $76.9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increased 85% to $0.61. On an adjusted basis, diluted earnings per share increased 76% to $0.58.</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decreased to $354.2 million from $505.2 million as of March 31, 2025. The decrease was primarily driven by the retirement of SMG’s existing third-party indebtedness of $134.2 million and cash used for acquisitions.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4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increased 16% to $230.5 million (13% on a same-store basis) due to an increase in average loan size, strong loan demand and improved operational performance.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and gross profit increased 27%, driven by increased jewelry scrap sales, PSC and merchandise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increased 13% as a result of higher average PLO.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increased 9% (7% on a same-store basis). Sales gross margin increased by 170 bps to 38%.</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Jewelry scrap sales increased 228%, and jewelry scrap sales gross margin increased to 41% from 22% due to increase in gold price and jewelry purchases.</w:t>
      </w:r>
    </w:p>
    <w:p>
      <w:pPr>
        <w:sectPr>
          <w:pgSz w:w="11900" w:h="16838" w:orient="portrait"/>
          <w:cols w:equalWidth="0" w:num="1">
            <w:col w:w="11240"/>
          </w:cols>
          <w:pgMar w:left="320" w:top="1093" w:right="339" w:bottom="1440" w:gutter="0" w:footer="0" w:header="0"/>
        </w:sectPr>
      </w:pPr>
    </w:p>
    <w:bookmarkStart w:id="4" w:name="page5"/>
    <w:bookmarkEnd w:id="4"/>
    <w:p>
      <w:pPr>
        <w:ind w:left="660" w:right="160" w:hanging="328"/>
        <w:spacing w:after="0" w:line="268"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inventory increased 20% (16% on a same-store basis) due to increase in PLO, layaways and purchases; inventory turnover remained consistent at 2.3x. Aged general merchandise decreased by 95 bps to 2.3%, or $0.9 million of total general merchandise inventory.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expenses increased 9% on a total and 6% on a same-store basis, primarily due to increased labor, in line with store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increased 59% to $78.1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store count increased to 559 due to the acquisition of 12 stores in Texas during the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12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PLO increased 38% to $86.3 million (27% on constant currency basis). On a same-store basis, PLO increased 25% (15% increase on a constant currency basis) due to strong loan demand and improved operational performance.</w:t>
      </w:r>
    </w:p>
    <w:p>
      <w:pPr>
        <w:spacing w:after="0" w:line="98" w:lineRule="exact"/>
        <w:rPr>
          <w:rFonts w:ascii="Arial" w:cs="Arial" w:eastAsia="Arial" w:hAnsi="Arial"/>
          <w:sz w:val="18"/>
          <w:szCs w:val="18"/>
          <w:color w:val="auto"/>
        </w:rPr>
      </w:pPr>
    </w:p>
    <w:p>
      <w:pPr>
        <w:ind w:left="660" w:right="46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revenues increased 34% (19% on constant currency basis), and gross profit increased 42% (27% on a constant currency basis), primarily due to increased jewelry scrap sales, PSC and merchandise sales.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PSC increased to $38.0 million, an increase of 34% (21% on a constant currency basis) as a result of higher average PLO.</w:t>
      </w:r>
    </w:p>
    <w:p>
      <w:pPr>
        <w:spacing w:after="0" w:line="171" w:lineRule="exact"/>
        <w:rPr>
          <w:rFonts w:ascii="Arial" w:cs="Arial" w:eastAsia="Arial" w:hAnsi="Arial"/>
          <w:sz w:val="18"/>
          <w:szCs w:val="18"/>
          <w:color w:val="auto"/>
        </w:rPr>
      </w:pPr>
    </w:p>
    <w:p>
      <w:pPr>
        <w:ind w:left="660" w:right="24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increased 31% (17% on constant currency basis) and 21% on a same-store basis (8% increase on a constant currency basis). Merchandise sales gross margin increased to 34% from 30%.</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Jewelry scrap sales increased 64%, and jewelry scrap sales gross margin increased to 38% from 24% due to increase in gold price.</w:t>
      </w:r>
    </w:p>
    <w:p>
      <w:pPr>
        <w:spacing w:after="0" w:line="171" w:lineRule="exact"/>
        <w:rPr>
          <w:rFonts w:ascii="Arial" w:cs="Arial" w:eastAsia="Arial" w:hAnsi="Arial"/>
          <w:sz w:val="18"/>
          <w:szCs w:val="18"/>
          <w:color w:val="auto"/>
        </w:rPr>
      </w:pPr>
    </w:p>
    <w:p>
      <w:pPr>
        <w:ind w:left="660" w:hanging="328"/>
        <w:spacing w:after="0" w:line="268"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inventory increased 21% (10% on a constant currency basis) due to an increase in PLO. Inventory turnover remained consistent at 3.2x. On a same-store basis, net inventory increased by 11% (consistent on a constant currency basis). Aged general merchandise decreased below 1% of total general merchandise inventory.</w:t>
      </w:r>
    </w:p>
    <w:p>
      <w:pPr>
        <w:spacing w:after="0" w:line="116" w:lineRule="exact"/>
        <w:rPr>
          <w:rFonts w:ascii="Arial" w:cs="Arial" w:eastAsia="Arial" w:hAnsi="Arial"/>
          <w:sz w:val="18"/>
          <w:szCs w:val="18"/>
          <w:color w:val="auto"/>
        </w:rPr>
      </w:pPr>
    </w:p>
    <w:p>
      <w:pPr>
        <w:ind w:left="660" w:right="14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Store expenses increased 45% (29% on a constant currency basis) and increased 33% on a same-store basis (19% on a constant currency basis) due to increased labor, in line with store activity and minimum wage increases.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contribution increased 38% to $19.1 million (24% on a constant currency basis to $17.1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store count increased by 4 de novo stores to 840 during the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SMG</w:t>
      </w:r>
    </w:p>
    <w:p>
      <w:pPr>
        <w:spacing w:after="0" w:line="171" w:lineRule="exact"/>
        <w:rPr>
          <w:sz w:val="20"/>
          <w:szCs w:val="20"/>
          <w:color w:val="auto"/>
        </w:rPr>
      </w:pPr>
    </w:p>
    <w:p>
      <w:pPr>
        <w:ind w:left="660" w:right="20" w:hanging="328"/>
        <w:spacing w:after="0" w:line="268"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January 2, 2026, EZCORP acquired a controlling 87.7% interest in Founders, which owns 85.1% of SMG. The second quarter of fiscal 2026 represents the first quarter of SMG consolidation. As SMG was not owned during the comparable prior-year period, results are presented on an absolute basis without year-over-year comparisons.</w:t>
      </w:r>
    </w:p>
    <w:p>
      <w:pPr>
        <w:spacing w:after="0" w:line="116" w:lineRule="exact"/>
        <w:rPr>
          <w:rFonts w:ascii="Arial" w:cs="Arial" w:eastAsia="Arial" w:hAnsi="Arial"/>
          <w:sz w:val="18"/>
          <w:szCs w:val="18"/>
          <w:color w:val="auto"/>
        </w:rPr>
      </w:pPr>
    </w:p>
    <w:p>
      <w:pPr>
        <w:ind w:left="660" w:right="460" w:hanging="328"/>
        <w:spacing w:after="0" w:line="287"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PLO of $32.6 million and net inventory of $26.1 million, with aged general merchandise below 1% of total general merchandise inventory.</w:t>
      </w:r>
    </w:p>
    <w:p>
      <w:pPr>
        <w:spacing w:after="0" w:line="98" w:lineRule="exact"/>
        <w:rPr>
          <w:rFonts w:ascii="Arial" w:cs="Arial" w:eastAsia="Arial" w:hAnsi="Arial"/>
          <w:sz w:val="18"/>
          <w:szCs w:val="18"/>
          <w:color w:val="auto"/>
        </w:rPr>
      </w:pPr>
    </w:p>
    <w:p>
      <w:pPr>
        <w:ind w:left="660" w:right="80" w:hanging="328"/>
        <w:spacing w:after="0" w:line="287"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revenues were $51.3 million, comprised of jewelry scrap sales of $19.1 million (with a margin of 30.6%), merchandise sales of $17.8 million (with a margin of 33.1%) and PSC of $14.4 million.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Store expenses totaled $16.6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contribution was $8.8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store count increased by 2 to 107 due to the addition of de novo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EZCORP’s Quarterly Report on Form 10-Q for the quarter ended March 31, 2026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The underlying numbers are in thousands and, as a result, may not agree to the percentages calculated from numbers in millions and tables may not foot.</w:t>
      </w:r>
    </w:p>
    <w:p>
      <w:pPr>
        <w:spacing w:after="0" w:line="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4"/>
          <w:szCs w:val="14"/>
          <w:i w:val="1"/>
          <w:iCs w:val="1"/>
          <w:color w:val="auto"/>
        </w:rPr>
        <w:t>“Adjusted” basis, which is a non-GAAP measure, excludes certain items. “Constant currency” basis, which is a non-GAAP measure, excludes the impact of foreign currency exchange rate</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fluctuations. 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180"/>
          </w:cols>
          <w:pgMar w:left="320" w:top="1093" w:right="39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“Same Store” basis, which is a financial measure, includes stores open the entirety of the comparable periods.</w:t>
      </w:r>
    </w:p>
    <w:p>
      <w:pPr>
        <w:sectPr>
          <w:pgSz w:w="11900" w:h="16838" w:orient="portrait"/>
          <w:cols w:equalWidth="0" w:num="1">
            <w:col w:w="11180"/>
          </w:cols>
          <w:pgMar w:left="320" w:top="1093" w:right="3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17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EZCORP will host a conference call on Thursday, May 7, 2026, at 8:00 am Central Time to discuss Second Quarter Fiscal 2026 results. Analysts and institutional investors may participate on the conference call by registering online at https://register-conf.media-server.com/register/BI28c4fe4baaf941ed813a0581b4f93ab1. Once registered you will receive the dial-in details with a unique PIN to join the call. The conference call will be webcast simultaneously to the public through this link: https://edge.media-server.com/mmc/p/dbus7ezd/. A replay of the conference call will be available online at http://investors.ezcorp.com shortly after the end of the call.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Formed in 1989, EZCORP is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LinkedIn https://www.linkedin.com/company/ezcorp/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pandemics.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0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4"/>
          <w:szCs w:val="14"/>
          <w:i w:val="1"/>
          <w:iCs w:val="1"/>
          <w:color w:val="auto"/>
        </w:rPr>
        <w:t>Note: Percentages are calculated from the underlying numbers in thousands and, as a result, may not agree to the percentages calculated from numbers in millions. Numbers may not foot or cross foot due to rounding.</w:t>
      </w:r>
    </w:p>
    <w:p>
      <w:pPr>
        <w:ind w:right="200"/>
        <w:spacing w:after="0" w:line="236" w:lineRule="auto"/>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i w:val="1"/>
          <w:iCs w:val="1"/>
          <w:color w:val="auto"/>
        </w:rPr>
        <w:t>2</w:t>
      </w:r>
      <w:r>
        <w:rPr>
          <w:rFonts w:ascii="Times New Roman" w:cs="Times New Roman" w:eastAsia="Times New Roman" w:hAnsi="Times New Roman"/>
          <w:sz w:val="14"/>
          <w:szCs w:val="14"/>
          <w:i w:val="1"/>
          <w:iCs w:val="1"/>
          <w:color w:val="auto"/>
        </w:rPr>
        <w:t>“Same-store” basis, which is a financial measure, includes stores open the entirety of the comparable periods.</w:t>
      </w:r>
    </w:p>
    <w:p>
      <w:pPr>
        <w:sectPr>
          <w:pgSz w:w="11900" w:h="16838" w:orient="portrait"/>
          <w:cols w:equalWidth="0" w:num="1">
            <w:col w:w="11240"/>
          </w:cols>
          <w:pgMar w:left="320" w:top="1093"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5"/>
        </w:trPr>
        <w:tc>
          <w:tcPr>
            <w:tcW w:w="5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94"/>
        </w:trPr>
        <w:tc>
          <w:tcPr>
            <w:tcW w:w="5100" w:type="dxa"/>
            <w:vAlign w:val="bottom"/>
          </w:tcPr>
          <w:p>
            <w:pPr>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6"/>
              </w:rPr>
              <w:t>2025</w:t>
            </w:r>
          </w:p>
        </w:tc>
      </w:tr>
      <w:tr>
        <w:trPr>
          <w:trHeight w:val="196"/>
        </w:trPr>
        <w:tc>
          <w:tcPr>
            <w:tcW w:w="5100" w:type="dxa"/>
            <w:vAlign w:val="bottom"/>
          </w:tcPr>
          <w:p>
            <w:pPr>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100" w:type="dxa"/>
            <w:vAlign w:val="bottom"/>
          </w:tcPr>
          <w:p>
            <w:pPr>
              <w:ind w:left="20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214,465</w:t>
            </w:r>
          </w:p>
        </w:tc>
        <w:tc>
          <w:tcPr>
            <w:tcW w:w="1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169,467</w:t>
            </w:r>
          </w:p>
        </w:tc>
        <w:tc>
          <w:tcPr>
            <w:tcW w:w="1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424,612</w:t>
            </w:r>
          </w:p>
        </w:tc>
        <w:tc>
          <w:tcPr>
            <w:tcW w:w="120" w:type="dxa"/>
            <w:vAlign w:val="bottom"/>
          </w:tcPr>
          <w:p>
            <w:pPr>
              <w:spacing w:after="0"/>
              <w:rPr>
                <w:sz w:val="18"/>
                <w:szCs w:val="18"/>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355,810</w:t>
            </w:r>
          </w:p>
        </w:tc>
      </w:tr>
      <w:tr>
        <w:trPr>
          <w:trHeight w:val="216"/>
        </w:trPr>
        <w:tc>
          <w:tcPr>
            <w:tcW w:w="5100" w:type="dxa"/>
            <w:vAlign w:val="bottom"/>
          </w:tcPr>
          <w:p>
            <w:pPr>
              <w:ind w:left="200"/>
              <w:spacing w:after="0"/>
              <w:rPr>
                <w:sz w:val="20"/>
                <w:szCs w:val="20"/>
                <w:color w:val="auto"/>
              </w:rPr>
            </w:pPr>
            <w:r>
              <w:rPr>
                <w:rFonts w:ascii="Arial" w:cs="Arial" w:eastAsia="Arial" w:hAnsi="Arial"/>
                <w:sz w:val="16"/>
                <w:szCs w:val="16"/>
                <w:color w:val="auto"/>
              </w:rPr>
              <w:t>Jewelry scrap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81,240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20,938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121,149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37,670</w:t>
            </w:r>
          </w:p>
        </w:tc>
      </w:tr>
      <w:tr>
        <w:trPr>
          <w:trHeight w:val="216"/>
        </w:trPr>
        <w:tc>
          <w:tcPr>
            <w:tcW w:w="5100" w:type="dxa"/>
            <w:vAlign w:val="bottom"/>
          </w:tcPr>
          <w:p>
            <w:pPr>
              <w:ind w:left="20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151,128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115,871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283,045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232,923</w:t>
            </w:r>
          </w:p>
        </w:tc>
      </w:tr>
      <w:tr>
        <w:trPr>
          <w:trHeight w:val="216"/>
        </w:trPr>
        <w:tc>
          <w:tcPr>
            <w:tcW w:w="510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10"/>
        </w:trPr>
        <w:tc>
          <w:tcPr>
            <w:tcW w:w="510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446,881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306,316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828,900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626,486</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136,788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111,555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269,544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233,379</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Jewelry scrap cost of goods sold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50,055</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16,309</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76,352</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29,251</w:t>
            </w:r>
          </w:p>
        </w:tc>
      </w:tr>
      <w:tr>
        <w:trPr>
          <w:trHeight w:val="210"/>
        </w:trPr>
        <w:tc>
          <w:tcPr>
            <w:tcW w:w="510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260,038</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178,452</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483,004</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363,856</w:t>
            </w:r>
          </w:p>
        </w:tc>
      </w:tr>
      <w:tr>
        <w:trPr>
          <w:trHeight w:val="195"/>
        </w:trPr>
        <w:tc>
          <w:tcPr>
            <w:tcW w:w="510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5100" w:type="dxa"/>
            <w:vAlign w:val="bottom"/>
          </w:tcPr>
          <w:p>
            <w:pPr>
              <w:ind w:left="20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148,119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111,067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274,891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222,003</w:t>
            </w:r>
          </w:p>
        </w:tc>
      </w:tr>
      <w:tr>
        <w:trPr>
          <w:trHeight w:val="216"/>
        </w:trPr>
        <w:tc>
          <w:tcPr>
            <w:tcW w:w="510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34,488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49,284</w:t>
            </w:r>
          </w:p>
        </w:tc>
      </w:tr>
      <w:tr>
        <w:trPr>
          <w:trHeight w:val="216"/>
        </w:trPr>
        <w:tc>
          <w:tcPr>
            <w:tcW w:w="51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9,588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8,020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18,344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16,355</w:t>
            </w:r>
          </w:p>
        </w:tc>
      </w:tr>
      <w:tr>
        <w:trPr>
          <w:trHeight w:val="216"/>
        </w:trPr>
        <w:tc>
          <w:tcPr>
            <w:tcW w:w="5100" w:type="dxa"/>
            <w:vAlign w:val="bottom"/>
          </w:tcPr>
          <w:p>
            <w:pPr>
              <w:ind w:left="200"/>
              <w:spacing w:after="0"/>
              <w:rPr>
                <w:sz w:val="20"/>
                <w:szCs w:val="20"/>
                <w:color w:val="auto"/>
              </w:rPr>
            </w:pPr>
            <w:r>
              <w:rPr>
                <w:rFonts w:ascii="Arial" w:cs="Arial" w:eastAsia="Arial" w:hAnsi="Arial"/>
                <w:sz w:val="16"/>
                <w:szCs w:val="16"/>
                <w:color w:val="auto"/>
              </w:rPr>
              <w:t>Loss on sale or disposal of assets and other</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510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192,195</w:t>
            </w: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144,204</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354,553</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287,667</w:t>
            </w:r>
          </w:p>
        </w:tc>
      </w:tr>
      <w:tr>
        <w:trPr>
          <w:trHeight w:val="209"/>
        </w:trPr>
        <w:tc>
          <w:tcPr>
            <w:tcW w:w="5100" w:type="dxa"/>
            <w:vAlign w:val="bottom"/>
          </w:tcPr>
          <w:p>
            <w:pPr>
              <w:ind w:left="66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67,843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34,248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128,451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76,189</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8,354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6,428</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(2,587)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(7,401)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(3,968)</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(2,980)</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65,486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34,412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124,657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75,796</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15,902</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9,022</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30,769</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19,390</w:t>
            </w: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49,584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25,390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93,888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56,406</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Consolidated net (income) attributable to non-controlling interest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Consolidated net income attributable to EZCORP</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49,103</w:t>
            </w: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25,390</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93,407</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56,406</w:t>
            </w:r>
          </w:p>
        </w:tc>
      </w:tr>
      <w:tr>
        <w:trPr>
          <w:trHeight w:val="411"/>
        </w:trPr>
        <w:tc>
          <w:tcPr>
            <w:tcW w:w="5100" w:type="dxa"/>
            <w:vAlign w:val="bottom"/>
          </w:tcPr>
          <w:p>
            <w:pPr>
              <w:spacing w:after="0"/>
              <w:rPr>
                <w:sz w:val="20"/>
                <w:szCs w:val="20"/>
                <w:color w:val="auto"/>
              </w:rPr>
            </w:pPr>
            <w:r>
              <w:rPr>
                <w:rFonts w:ascii="Arial" w:cs="Arial" w:eastAsia="Arial" w:hAnsi="Arial"/>
                <w:sz w:val="16"/>
                <w:szCs w:val="16"/>
                <w:color w:val="auto"/>
              </w:rPr>
              <w:t>Basic earnings per share attributable to EZCORP</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0.80</w:t>
            </w:r>
          </w:p>
        </w:tc>
        <w:tc>
          <w:tcPr>
            <w:tcW w:w="14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0.46</w:t>
            </w:r>
          </w:p>
        </w:tc>
        <w:tc>
          <w:tcPr>
            <w:tcW w:w="14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4"/>
                <w:szCs w:val="24"/>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Diluted earnings per share attributable to EZCORP</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0.61</w:t>
            </w:r>
          </w:p>
        </w:tc>
        <w:tc>
          <w:tcPr>
            <w:tcW w:w="1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0.33</w:t>
            </w:r>
          </w:p>
        </w:tc>
        <w:tc>
          <w:tcPr>
            <w:tcW w:w="1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0.74</w:t>
            </w:r>
          </w:p>
        </w:tc>
      </w:tr>
      <w:tr>
        <w:trPr>
          <w:trHeight w:val="432"/>
        </w:trPr>
        <w:tc>
          <w:tcPr>
            <w:tcW w:w="510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61,653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54,965</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61,446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54,895</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83,410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83,140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83,354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83,247</w:t>
            </w:r>
          </w:p>
        </w:tc>
      </w:tr>
    </w:tbl>
    <w:p>
      <w:pPr>
        <w:sectPr>
          <w:pgSz w:w="11900" w:h="16838" w:orient="portrait"/>
          <w:cols w:equalWidth="0" w:num="1">
            <w:col w:w="11220"/>
          </w:cols>
          <w:pgMar w:left="340" w:top="93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20"/>
                <w:szCs w:val="20"/>
                <w:color w:val="auto"/>
              </w:rPr>
            </w:pPr>
            <w:r>
              <w:rPr>
                <w:rFonts w:ascii="Arial" w:cs="Arial" w:eastAsia="Arial" w:hAnsi="Arial"/>
                <w:sz w:val="16"/>
                <w:szCs w:val="16"/>
                <w:color w:val="auto"/>
              </w:rPr>
              <w:t>(in thousands, except per share amount)</w:t>
            </w:r>
          </w:p>
        </w:tc>
        <w:tc>
          <w:tcPr>
            <w:tcW w:w="18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2025</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195"/>
        </w:trPr>
        <w:tc>
          <w:tcPr>
            <w:tcW w:w="6000" w:type="dxa"/>
            <w:vAlign w:val="bottom"/>
          </w:tcPr>
          <w:p>
            <w:pPr>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0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354,175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505,239</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469,524</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Short-term restricted cash</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9,499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Pawn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349,368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261,830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307,496</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Pawn service charges receivable,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53,031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42,323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48,733</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Inventory,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275,963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207,783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248,457</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58,551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40,283</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51,221</w:t>
            </w:r>
          </w:p>
        </w:tc>
        <w:tc>
          <w:tcPr>
            <w:tcW w:w="0" w:type="dxa"/>
            <w:vAlign w:val="bottom"/>
          </w:tcPr>
          <w:p>
            <w:pPr>
              <w:spacing w:after="0"/>
              <w:rPr>
                <w:sz w:val="1"/>
                <w:szCs w:val="1"/>
                <w:color w:val="auto"/>
              </w:rPr>
            </w:pPr>
          </w:p>
        </w:tc>
      </w:tr>
      <w:tr>
        <w:trPr>
          <w:trHeight w:val="210"/>
        </w:trPr>
        <w:tc>
          <w:tcPr>
            <w:tcW w:w="600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1,092,046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1,066,957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1,125,956</w:t>
            </w:r>
          </w:p>
        </w:tc>
        <w:tc>
          <w:tcPr>
            <w:tcW w:w="0" w:type="dxa"/>
            <w:vAlign w:val="bottom"/>
          </w:tcPr>
          <w:p>
            <w:pPr>
              <w:spacing w:after="0"/>
              <w:rPr>
                <w:sz w:val="1"/>
                <w:szCs w:val="1"/>
                <w:color w:val="auto"/>
              </w:rPr>
            </w:pPr>
          </w:p>
        </w:tc>
      </w:tr>
      <w:tr>
        <w:trPr>
          <w:trHeight w:val="215"/>
        </w:trPr>
        <w:tc>
          <w:tcPr>
            <w:tcW w:w="6000" w:type="dxa"/>
            <w:vAlign w:val="bottom"/>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26,093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13,967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18,123</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Other investments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51,903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51,903</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86,894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64,150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75,331</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Right-of-use assets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269,742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229,878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236,462</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Long-term restricted cash</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14,664</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473,513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305,239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324,889</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124,657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57,079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58,832</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Deferred tax asset,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13,454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25,090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29,455</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18,546</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15,365</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15,594</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2,126,757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1,829,628</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1,951,209</w:t>
            </w:r>
          </w:p>
        </w:tc>
        <w:tc>
          <w:tcPr>
            <w:tcW w:w="0" w:type="dxa"/>
            <w:vAlign w:val="bottom"/>
          </w:tcPr>
          <w:p>
            <w:pPr>
              <w:spacing w:after="0"/>
              <w:rPr>
                <w:sz w:val="1"/>
                <w:szCs w:val="1"/>
                <w:color w:val="auto"/>
              </w:rPr>
            </w:pPr>
          </w:p>
        </w:tc>
      </w:tr>
      <w:tr>
        <w:trPr>
          <w:trHeight w:val="411"/>
        </w:trPr>
        <w:tc>
          <w:tcPr>
            <w:tcW w:w="6000" w:type="dxa"/>
            <w:vAlign w:val="bottom"/>
          </w:tcPr>
          <w:p>
            <w:pPr>
              <w:spacing w:after="0"/>
              <w:rPr>
                <w:sz w:val="20"/>
                <w:szCs w:val="20"/>
                <w:color w:val="auto"/>
              </w:rPr>
            </w:pPr>
            <w:r>
              <w:rPr>
                <w:rFonts w:ascii="Arial" w:cs="Arial" w:eastAsia="Arial" w:hAnsi="Arial"/>
                <w:sz w:val="16"/>
                <w:szCs w:val="16"/>
                <w:color w:val="auto"/>
              </w:rPr>
              <w:t>Liabilities and equity:</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Current maturities of long-term debt,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103,325</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current liabilities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124,185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70,843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105,443</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39,522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31,016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33,901</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68,041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58,855</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61,228</w:t>
            </w:r>
          </w:p>
        </w:tc>
        <w:tc>
          <w:tcPr>
            <w:tcW w:w="0" w:type="dxa"/>
            <w:vAlign w:val="bottom"/>
          </w:tcPr>
          <w:p>
            <w:pPr>
              <w:spacing w:after="0"/>
              <w:rPr>
                <w:sz w:val="1"/>
                <w:szCs w:val="1"/>
                <w:color w:val="auto"/>
              </w:rPr>
            </w:pPr>
          </w:p>
        </w:tc>
      </w:tr>
      <w:tr>
        <w:trPr>
          <w:trHeight w:val="210"/>
        </w:trPr>
        <w:tc>
          <w:tcPr>
            <w:tcW w:w="600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231,748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264,039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200,572</w:t>
            </w:r>
          </w:p>
        </w:tc>
        <w:tc>
          <w:tcPr>
            <w:tcW w:w="0" w:type="dxa"/>
            <w:vAlign w:val="bottom"/>
          </w:tcPr>
          <w:p>
            <w:pPr>
              <w:spacing w:after="0"/>
              <w:rPr>
                <w:sz w:val="1"/>
                <w:szCs w:val="1"/>
                <w:color w:val="auto"/>
              </w:rPr>
            </w:pPr>
          </w:p>
        </w:tc>
      </w:tr>
      <w:tr>
        <w:trPr>
          <w:trHeight w:val="215"/>
        </w:trPr>
        <w:tc>
          <w:tcPr>
            <w:tcW w:w="600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519,001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517,188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518,076</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Deferred tax liability,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1,818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2,571</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211,956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182,873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184,736</w:t>
            </w: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19,556</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12,135</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19,769</w:t>
            </w:r>
          </w:p>
        </w:tc>
        <w:tc>
          <w:tcPr>
            <w:tcW w:w="0" w:type="dxa"/>
            <w:vAlign w:val="bottom"/>
          </w:tcPr>
          <w:p>
            <w:pPr>
              <w:spacing w:after="0"/>
              <w:rPr>
                <w:sz w:val="1"/>
                <w:szCs w:val="1"/>
                <w:color w:val="auto"/>
              </w:rPr>
            </w:pPr>
          </w:p>
        </w:tc>
      </w:tr>
      <w:tr>
        <w:trPr>
          <w:trHeight w:val="210"/>
        </w:trPr>
        <w:tc>
          <w:tcPr>
            <w:tcW w:w="600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984,832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978,053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925,724</w:t>
            </w:r>
          </w:p>
        </w:tc>
        <w:tc>
          <w:tcPr>
            <w:tcW w:w="0" w:type="dxa"/>
            <w:vAlign w:val="bottom"/>
          </w:tcPr>
          <w:p>
            <w:pPr>
              <w:spacing w:after="0"/>
              <w:rPr>
                <w:sz w:val="1"/>
                <w:szCs w:val="1"/>
                <w:color w:val="auto"/>
              </w:rPr>
            </w:pPr>
          </w:p>
        </w:tc>
      </w:tr>
      <w:tr>
        <w:trPr>
          <w:trHeight w:val="215"/>
        </w:trPr>
        <w:tc>
          <w:tcPr>
            <w:tcW w:w="6000" w:type="dxa"/>
            <w:vAlign w:val="bottom"/>
          </w:tcPr>
          <w:p>
            <w:pPr>
              <w:ind w:left="20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000" w:type="dxa"/>
            <w:vAlign w:val="bottom"/>
          </w:tcPr>
          <w:p>
            <w:pPr>
              <w:ind w:left="440"/>
              <w:spacing w:after="0" w:line="164" w:lineRule="exact"/>
              <w:rPr>
                <w:sz w:val="20"/>
                <w:szCs w:val="20"/>
                <w:color w:val="auto"/>
              </w:rPr>
            </w:pPr>
            <w:r>
              <w:rPr>
                <w:rFonts w:ascii="Arial" w:cs="Arial" w:eastAsia="Arial" w:hAnsi="Arial"/>
                <w:sz w:val="16"/>
                <w:szCs w:val="16"/>
                <w:color w:val="auto"/>
              </w:rPr>
              <w:t>Class A Non-Voting Common Stock, par value $0.01 per share; shares</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440"/>
              <w:spacing w:after="0" w:line="162" w:lineRule="exact"/>
              <w:rPr>
                <w:sz w:val="20"/>
                <w:szCs w:val="20"/>
                <w:color w:val="auto"/>
              </w:rPr>
            </w:pPr>
            <w:r>
              <w:rPr>
                <w:rFonts w:ascii="Arial" w:cs="Arial" w:eastAsia="Arial" w:hAnsi="Arial"/>
                <w:sz w:val="16"/>
                <w:szCs w:val="16"/>
                <w:color w:val="auto"/>
              </w:rPr>
              <w:t>authorized: 100,000,000; issued and outstanding: 58,622,115 as of March</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440"/>
              <w:spacing w:after="0" w:line="162" w:lineRule="exact"/>
              <w:rPr>
                <w:sz w:val="20"/>
                <w:szCs w:val="20"/>
                <w:color w:val="auto"/>
              </w:rPr>
            </w:pPr>
            <w:r>
              <w:rPr>
                <w:rFonts w:ascii="Arial" w:cs="Arial" w:eastAsia="Arial" w:hAnsi="Arial"/>
                <w:sz w:val="16"/>
                <w:szCs w:val="16"/>
                <w:color w:val="auto"/>
              </w:rPr>
              <w:t>31, 2026; 52,043,599 as of March 31, 2025; 57,921,451 as of September</w:t>
            </w: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586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5"/>
        </w:trPr>
        <w:tc>
          <w:tcPr>
            <w:tcW w:w="6000" w:type="dxa"/>
            <w:vAlign w:val="bottom"/>
          </w:tcPr>
          <w:p>
            <w:pPr>
              <w:ind w:left="440"/>
              <w:spacing w:after="0"/>
              <w:rPr>
                <w:sz w:val="20"/>
                <w:szCs w:val="20"/>
                <w:color w:val="auto"/>
              </w:rPr>
            </w:pPr>
            <w:r>
              <w:rPr>
                <w:rFonts w:ascii="Arial" w:cs="Arial" w:eastAsia="Arial" w:hAnsi="Arial"/>
                <w:sz w:val="16"/>
                <w:szCs w:val="16"/>
                <w:color w:val="auto"/>
              </w:rPr>
              <w:t>30, 2025</w:t>
            </w: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00" w:type="dxa"/>
            <w:vAlign w:val="bottom"/>
          </w:tcPr>
          <w:p>
            <w:pPr>
              <w:ind w:left="440"/>
              <w:spacing w:after="0" w:line="164" w:lineRule="exact"/>
              <w:rPr>
                <w:sz w:val="20"/>
                <w:szCs w:val="20"/>
                <w:color w:val="auto"/>
              </w:rPr>
            </w:pPr>
            <w:r>
              <w:rPr>
                <w:rFonts w:ascii="Arial" w:cs="Arial" w:eastAsia="Arial" w:hAnsi="Arial"/>
                <w:sz w:val="16"/>
                <w:szCs w:val="16"/>
                <w:color w:val="auto"/>
              </w:rPr>
              <w:t>Class B Voting Common Stock, convertible, par value $0.01 per share;</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440"/>
              <w:spacing w:after="0" w:line="162" w:lineRule="exact"/>
              <w:rPr>
                <w:sz w:val="20"/>
                <w:szCs w:val="20"/>
                <w:color w:val="auto"/>
              </w:rPr>
            </w:pPr>
            <w:r>
              <w:rPr>
                <w:rFonts w:ascii="Arial" w:cs="Arial" w:eastAsia="Arial" w:hAnsi="Arial"/>
                <w:sz w:val="16"/>
                <w:szCs w:val="16"/>
                <w:color w:val="auto"/>
              </w:rPr>
              <w:t>shares authorized: 3,000,000; issued and outstanding: 2,970,171 as of</w:t>
            </w: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000" w:type="dxa"/>
            <w:vAlign w:val="bottom"/>
          </w:tcPr>
          <w:p>
            <w:pPr>
              <w:ind w:left="440"/>
              <w:spacing w:after="0"/>
              <w:rPr>
                <w:sz w:val="20"/>
                <w:szCs w:val="20"/>
                <w:color w:val="auto"/>
              </w:rPr>
            </w:pPr>
            <w:r>
              <w:rPr>
                <w:rFonts w:ascii="Arial" w:cs="Arial" w:eastAsia="Arial" w:hAnsi="Arial"/>
                <w:sz w:val="16"/>
                <w:szCs w:val="16"/>
                <w:color w:val="auto"/>
              </w:rPr>
              <w:t>March 31, 2026, March 31, 2025 and September 30, 2025</w:t>
            </w: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451,471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347,796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450,892</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703,687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561,211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612,687</w:t>
            </w: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(57,982)</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(38,703)</w:t>
            </w:r>
          </w:p>
        </w:tc>
        <w:tc>
          <w:tcPr>
            <w:tcW w:w="0" w:type="dxa"/>
            <w:vAlign w:val="bottom"/>
          </w:tcPr>
          <w:p>
            <w:pPr>
              <w:spacing w:after="0"/>
              <w:rPr>
                <w:sz w:val="1"/>
                <w:szCs w:val="1"/>
                <w:color w:val="auto"/>
              </w:rPr>
            </w:pPr>
          </w:p>
        </w:tc>
      </w:tr>
      <w:tr>
        <w:trPr>
          <w:trHeight w:val="210"/>
        </w:trPr>
        <w:tc>
          <w:tcPr>
            <w:tcW w:w="6000" w:type="dxa"/>
            <w:vAlign w:val="bottom"/>
          </w:tcPr>
          <w:p>
            <w:pPr>
              <w:ind w:left="660"/>
              <w:spacing w:after="0"/>
              <w:rPr>
                <w:sz w:val="20"/>
                <w:szCs w:val="20"/>
                <w:color w:val="auto"/>
              </w:rPr>
            </w:pPr>
            <w:r>
              <w:rPr>
                <w:rFonts w:ascii="Arial" w:cs="Arial" w:eastAsia="Arial" w:hAnsi="Arial"/>
                <w:sz w:val="16"/>
                <w:szCs w:val="16"/>
                <w:color w:val="auto"/>
              </w:rPr>
              <w:t>Total EZCORP equity</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1,120,009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851,575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1,025,485</w:t>
            </w:r>
          </w:p>
        </w:tc>
        <w:tc>
          <w:tcPr>
            <w:tcW w:w="0" w:type="dxa"/>
            <w:vAlign w:val="bottom"/>
          </w:tcPr>
          <w:p>
            <w:pPr>
              <w:spacing w:after="0"/>
              <w:rPr>
                <w:sz w:val="1"/>
                <w:szCs w:val="1"/>
                <w:color w:val="auto"/>
              </w:rPr>
            </w:pPr>
          </w:p>
        </w:tc>
      </w:tr>
      <w:tr>
        <w:trPr>
          <w:trHeight w:val="215"/>
        </w:trPr>
        <w:tc>
          <w:tcPr>
            <w:tcW w:w="6000" w:type="dxa"/>
            <w:vAlign w:val="bottom"/>
          </w:tcPr>
          <w:p>
            <w:pPr>
              <w:ind w:left="46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21,916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00" w:type="dxa"/>
            <w:vAlign w:val="bottom"/>
          </w:tcPr>
          <w:p>
            <w:pPr>
              <w:ind w:left="660"/>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1,141,925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851,575</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1,025,485</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2,126,757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1,829,628</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1,951,209</w:t>
            </w:r>
          </w:p>
        </w:tc>
        <w:tc>
          <w:tcPr>
            <w:tcW w:w="0" w:type="dxa"/>
            <w:vAlign w:val="bottom"/>
          </w:tcPr>
          <w:p>
            <w:pPr>
              <w:spacing w:after="0"/>
              <w:rPr>
                <w:sz w:val="1"/>
                <w:szCs w:val="1"/>
                <w:color w:val="auto"/>
              </w:rPr>
            </w:pPr>
          </w:p>
        </w:tc>
      </w:tr>
    </w:tbl>
    <w:p>
      <w:pPr>
        <w:sectPr>
          <w:pgSz w:w="11900" w:h="16838" w:orient="portrait"/>
          <w:cols w:equalWidth="0" w:num="1">
            <w:col w:w="11220"/>
          </w:cols>
          <w:pgMar w:left="340" w:top="1214"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20" w:type="dxa"/>
            <w:vAlign w:val="bottom"/>
          </w:tcPr>
          <w:p>
            <w:pPr>
              <w:spacing w:after="0"/>
              <w:rPr>
                <w:sz w:val="16"/>
                <w:szCs w:val="16"/>
                <w:color w:val="auto"/>
              </w:rPr>
            </w:pPr>
          </w:p>
        </w:tc>
      </w:tr>
      <w:tr>
        <w:trPr>
          <w:trHeight w:val="216"/>
        </w:trPr>
        <w:tc>
          <w:tcPr>
            <w:tcW w:w="77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95"/>
              </w:rPr>
              <w:t>2025</w:t>
            </w:r>
          </w:p>
        </w:tc>
      </w:tr>
      <w:tr>
        <w:trPr>
          <w:trHeight w:val="302"/>
        </w:trPr>
        <w:tc>
          <w:tcPr>
            <w:tcW w:w="7760" w:type="dxa"/>
            <w:vAlign w:val="bottom"/>
          </w:tcPr>
          <w:p>
            <w:pPr>
              <w:spacing w:after="0"/>
              <w:rPr>
                <w:sz w:val="20"/>
                <w:szCs w:val="20"/>
                <w:color w:val="auto"/>
              </w:rPr>
            </w:pPr>
            <w:r>
              <w:rPr>
                <w:rFonts w:ascii="Arial" w:cs="Arial" w:eastAsia="Arial" w:hAnsi="Arial"/>
                <w:sz w:val="16"/>
                <w:szCs w:val="16"/>
                <w:color w:val="auto"/>
              </w:rPr>
              <w:t>Operating activities: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93,888</w:t>
            </w:r>
          </w:p>
        </w:tc>
        <w:tc>
          <w:tcPr>
            <w:tcW w:w="14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56,406</w:t>
            </w:r>
          </w:p>
        </w:tc>
      </w:tr>
      <w:tr>
        <w:trPr>
          <w:trHeight w:val="216"/>
        </w:trPr>
        <w:tc>
          <w:tcPr>
            <w:tcW w:w="776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18,344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16,355</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Amortization of deferred financing costs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Non-cash lease expense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33,267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28,943</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Other adjustments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Provision for inventory reserve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Stock compensation expense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8,534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5,001</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Equity in net income from investment in unconsolidated affiliates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(2,980)</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Gain from remeasurement of previously held equity interest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(1,596)</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Pawn service charges receivable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1,547</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(5,390)</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Prepaid expenses, other current assets and other assets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(19,114)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Accounts payable, accrued expenses and other liabilities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(47,443)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(45,490)</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Customer layaway deposits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3,537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9,640</w:t>
            </w:r>
          </w:p>
        </w:tc>
      </w:tr>
      <w:tr>
        <w:trPr>
          <w:trHeight w:val="216"/>
        </w:trPr>
        <w:tc>
          <w:tcPr>
            <w:tcW w:w="776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r>
      <w:tr>
        <w:trPr>
          <w:trHeight w:val="210"/>
        </w:trPr>
        <w:tc>
          <w:tcPr>
            <w:tcW w:w="776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87,609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62,928</w:t>
            </w: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Loans made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(591,148)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(484,611)</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Loans repaid</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351,519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284,095</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240,010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198,387</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(17,910)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(13,966)</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(25,640)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Issuance of notes receivable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(9,000)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Investment in unconsolidated affiliate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(7,231)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Dividends from unconsolidated affiliates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r>
      <w:tr>
        <w:trPr>
          <w:trHeight w:val="210"/>
        </w:trPr>
        <w:tc>
          <w:tcPr>
            <w:tcW w:w="7760" w:type="dxa"/>
            <w:vAlign w:val="bottom"/>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(57,590)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(14,781)</w:t>
            </w: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Financing activities: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(6,347)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(3,971)</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Proceeds from issuance of debt</w:t>
            </w:r>
          </w:p>
        </w:tc>
        <w:tc>
          <w:tcPr>
            <w:tcW w:w="3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Debt issuance cost</w:t>
            </w:r>
          </w:p>
        </w:tc>
        <w:tc>
          <w:tcPr>
            <w:tcW w:w="3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(5,310)</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Payments on debt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(134,151)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Purchase and retirement of treasury stock</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(3,997)</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Payments of finance leases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r>
        <w:trPr>
          <w:trHeight w:val="210"/>
        </w:trPr>
        <w:tc>
          <w:tcPr>
            <w:tcW w:w="7760" w:type="dxa"/>
            <w:vAlign w:val="bottom"/>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(145,049)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286,456</w:t>
            </w: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r>
      <w:tr>
        <w:trPr>
          <w:trHeight w:val="210"/>
        </w:trPr>
        <w:tc>
          <w:tcPr>
            <w:tcW w:w="7760" w:type="dxa"/>
            <w:vAlign w:val="bottom"/>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(114,651)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334,931</w:t>
            </w:r>
          </w:p>
        </w:tc>
      </w:tr>
      <w:tr>
        <w:trPr>
          <w:trHeight w:val="216"/>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484,713</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179,807</w:t>
            </w:r>
          </w:p>
        </w:tc>
      </w:tr>
      <w:tr>
        <w:trPr>
          <w:trHeight w:val="218"/>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and restricted cash at end of period</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370,062</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514,738</w:t>
            </w:r>
          </w:p>
        </w:tc>
      </w:tr>
    </w:tbl>
    <w:p>
      <w:pPr>
        <w:sectPr>
          <w:pgSz w:w="11900" w:h="16838" w:orient="portrait"/>
          <w:cols w:equalWidth="0" w:num="1">
            <w:col w:w="11220"/>
          </w:cols>
          <w:pgMar w:left="340" w:top="1255" w:right="339" w:bottom="1440" w:gutter="0" w:footer="0" w:header="0"/>
        </w:sectPr>
      </w:pPr>
    </w:p>
    <w:bookmarkStart w:id="9" w:name="page10"/>
    <w:bookmarkEnd w:id="9"/>
    <w:p>
      <w:pPr>
        <w:jc w:val="center"/>
        <w:ind w:right="-43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OPERATING SEGMENT RESULTS</w:t>
      </w:r>
    </w:p>
    <w:p>
      <w:pPr>
        <w:spacing w:after="0" w:line="12"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(Unaudited)</w:t>
      </w: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acquisition of Founders One, LLC and its subsidiary Simple Management Group, Inc. effective January 2, 2026, the composition of our reportable segments changed beginning in the second quarter of fiscal 2026. SMG is now reported as a standalone reportable segment. Our equity interest in Cash Converters International Limited is now included within Corporate. Prior period segment information has been recast to reclassify Cash Converters equity income and interest income from notes receivable from Founders from the 'Other Investments' segment to Corporate. Because SMG was not a consolidated subsidiary in any prior period presented, no prior period SMG segment results exist.</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March 31, 2026</w:t>
            </w: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Latin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Total</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Corporate</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vMerge w:val="restart"/>
          </w:tcPr>
          <w:p>
            <w:pPr>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Pawn</w:t>
            </w:r>
          </w:p>
        </w:tc>
        <w:tc>
          <w:tcPr>
            <w:tcW w:w="160" w:type="dxa"/>
            <w:vAlign w:val="bottom"/>
          </w:tcPr>
          <w:p>
            <w:pPr>
              <w:spacing w:after="0"/>
              <w:rPr>
                <w:sz w:val="14"/>
                <w:szCs w:val="14"/>
                <w:color w:val="auto"/>
              </w:rPr>
            </w:pPr>
          </w:p>
        </w:tc>
        <w:tc>
          <w:tcPr>
            <w:tcW w:w="8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America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SMG</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Pawn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Segments</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180" w:type="dxa"/>
            <w:vAlign w:val="bottom"/>
          </w:tcPr>
          <w:p>
            <w:pPr>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127,884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68,762</w:t>
            </w:r>
          </w:p>
        </w:tc>
        <w:tc>
          <w:tcPr>
            <w:tcW w:w="44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17,819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214,465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214,465</w:t>
            </w: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Jewelry scrap sales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81,240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81,240</w:t>
            </w: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98,770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37,976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151,128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151,128</w:t>
            </w: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31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282,176</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113,394</w:t>
            </w: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51,311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446,881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446,881</w:t>
            </w:r>
          </w:p>
        </w:tc>
        <w:tc>
          <w:tcPr>
            <w:tcW w:w="0" w:type="dxa"/>
            <w:vAlign w:val="bottom"/>
          </w:tcPr>
          <w:p>
            <w:pPr>
              <w:spacing w:after="0"/>
              <w:rPr>
                <w:sz w:val="1"/>
                <w:szCs w:val="1"/>
                <w:color w:val="auto"/>
              </w:rPr>
            </w:pPr>
          </w:p>
        </w:tc>
      </w:tr>
      <w:tr>
        <w:trPr>
          <w:trHeight w:val="215"/>
        </w:trPr>
        <w:tc>
          <w:tcPr>
            <w:tcW w:w="3180" w:type="dxa"/>
            <w:vAlign w:val="bottom"/>
          </w:tcPr>
          <w:p>
            <w:pPr>
              <w:ind w:left="20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79,647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45,227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136,788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136,788</w:t>
            </w: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Jewelry scrap cost of goods sold</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50,055</w:t>
            </w:r>
          </w:p>
        </w:tc>
        <w:tc>
          <w:tcPr>
            <w:tcW w:w="0" w:type="dxa"/>
            <w:vAlign w:val="bottom"/>
          </w:tcPr>
          <w:p>
            <w:pPr>
              <w:spacing w:after="0"/>
              <w:rPr>
                <w:sz w:val="1"/>
                <w:szCs w:val="1"/>
                <w:color w:val="auto"/>
              </w:rPr>
            </w:pPr>
          </w:p>
        </w:tc>
      </w:tr>
      <w:tr>
        <w:trPr>
          <w:trHeight w:val="210"/>
        </w:trPr>
        <w:tc>
          <w:tcPr>
            <w:tcW w:w="318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169,871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64,030</w:t>
            </w: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26,137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260,038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260,038</w:t>
            </w:r>
          </w:p>
        </w:tc>
        <w:tc>
          <w:tcPr>
            <w:tcW w:w="0" w:type="dxa"/>
            <w:vAlign w:val="bottom"/>
          </w:tcPr>
          <w:p>
            <w:pPr>
              <w:spacing w:after="0"/>
              <w:rPr>
                <w:sz w:val="1"/>
                <w:szCs w:val="1"/>
                <w:color w:val="auto"/>
              </w:rPr>
            </w:pPr>
          </w:p>
        </w:tc>
      </w:tr>
      <w:tr>
        <w:trPr>
          <w:trHeight w:val="163"/>
        </w:trPr>
        <w:tc>
          <w:tcPr>
            <w:tcW w:w="3180" w:type="dxa"/>
            <w:vAlign w:val="bottom"/>
          </w:tcPr>
          <w:p>
            <w:pPr>
              <w:spacing w:after="0" w:line="164" w:lineRule="exact"/>
              <w:rPr>
                <w:sz w:val="20"/>
                <w:szCs w:val="20"/>
                <w:color w:val="auto"/>
              </w:rPr>
            </w:pPr>
            <w:r>
              <w:rPr>
                <w:rFonts w:ascii="Arial" w:cs="Arial" w:eastAsia="Arial" w:hAnsi="Arial"/>
                <w:sz w:val="16"/>
                <w:szCs w:val="16"/>
                <w:color w:val="auto"/>
              </w:rPr>
              <w:t>Segment and corporate expenses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20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88,982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148,119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148,119</w:t>
            </w: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34,488</w:t>
            </w: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9,588</w:t>
            </w: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8,354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8,354</w:t>
            </w: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164"/>
        </w:trPr>
        <w:tc>
          <w:tcPr>
            <w:tcW w:w="3180" w:type="dxa"/>
            <w:vAlign w:val="bottom"/>
          </w:tcPr>
          <w:p>
            <w:pPr>
              <w:ind w:left="200"/>
              <w:spacing w:after="0" w:line="164"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(1,166)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15"/>
        </w:trPr>
        <w:tc>
          <w:tcPr>
            <w:tcW w:w="3180" w:type="dxa"/>
            <w:vAlign w:val="bottom"/>
          </w:tcPr>
          <w:p>
            <w:pPr>
              <w:ind w:left="20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20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211"/>
        </w:trPr>
        <w:tc>
          <w:tcPr>
            <w:tcW w:w="3180" w:type="dxa"/>
            <w:vAlign w:val="bottom"/>
          </w:tcPr>
          <w:p>
            <w:pPr>
              <w:spacing w:after="0"/>
              <w:rPr>
                <w:sz w:val="20"/>
                <w:szCs w:val="20"/>
                <w:color w:val="auto"/>
              </w:rPr>
            </w:pPr>
            <w:r>
              <w:rPr>
                <w:rFonts w:ascii="Arial" w:cs="Arial" w:eastAsia="Arial" w:hAnsi="Arial"/>
                <w:sz w:val="16"/>
                <w:szCs w:val="16"/>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78,080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19,117</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8,811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106,008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106,008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65,486</w:t>
            </w:r>
          </w:p>
        </w:tc>
        <w:tc>
          <w:tcPr>
            <w:tcW w:w="0" w:type="dxa"/>
            <w:vAlign w:val="bottom"/>
          </w:tcPr>
          <w:p>
            <w:pPr>
              <w:spacing w:after="0"/>
              <w:rPr>
                <w:sz w:val="1"/>
                <w:szCs w:val="1"/>
                <w:color w:val="auto"/>
              </w:rPr>
            </w:pPr>
          </w:p>
        </w:tc>
      </w:tr>
    </w:tbl>
    <w:p>
      <w:pPr>
        <w:sectPr>
          <w:pgSz w:w="11900" w:h="16838" w:orient="portrait"/>
          <w:cols w:equalWidth="0" w:num="1">
            <w:col w:w="10800"/>
          </w:cols>
          <w:pgMar w:left="320" w:top="1147" w:right="77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6"/>
                <w:szCs w:val="16"/>
                <w:b w:val="1"/>
                <w:bCs w:val="1"/>
                <w:color w:val="auto"/>
              </w:rPr>
              <w:t>Three Months Ended March 31, 2025</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20" w:type="dxa"/>
            <w:vAlign w:val="bottom"/>
            <w:vMerge w:val="restart"/>
          </w:tcPr>
          <w:p>
            <w:pPr>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Pawn</w:t>
            </w:r>
          </w:p>
        </w:tc>
        <w:tc>
          <w:tcPr>
            <w:tcW w:w="1280" w:type="dxa"/>
            <w:vAlign w:val="bottom"/>
            <w:gridSpan w:val="3"/>
          </w:tcPr>
          <w:p>
            <w:pPr>
              <w:ind w:left="4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Total</w:t>
            </w: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Segments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4220" w:type="dxa"/>
            <w:vAlign w:val="bottom"/>
          </w:tcPr>
          <w:p>
            <w:pPr>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116,915</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52,552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169,467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169,467</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Jewelry scrap sales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20,938</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87,548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115,871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115,871</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422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221,385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84,931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306,316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306,316</w:t>
            </w:r>
          </w:p>
        </w:tc>
        <w:tc>
          <w:tcPr>
            <w:tcW w:w="0" w:type="dxa"/>
            <w:vAlign w:val="bottom"/>
          </w:tcPr>
          <w:p>
            <w:pPr>
              <w:spacing w:after="0"/>
              <w:rPr>
                <w:sz w:val="1"/>
                <w:szCs w:val="1"/>
                <w:color w:val="auto"/>
              </w:rPr>
            </w:pPr>
          </w:p>
        </w:tc>
      </w:tr>
      <w:tr>
        <w:trPr>
          <w:trHeight w:val="215"/>
        </w:trPr>
        <w:tc>
          <w:tcPr>
            <w:tcW w:w="4220" w:type="dxa"/>
            <w:vAlign w:val="bottom"/>
          </w:tcPr>
          <w:p>
            <w:pPr>
              <w:ind w:left="20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74,772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111,555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111,555</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Jewelry scrap cost of goods sold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16,309</w:t>
            </w:r>
          </w:p>
        </w:tc>
        <w:tc>
          <w:tcPr>
            <w:tcW w:w="0" w:type="dxa"/>
            <w:vAlign w:val="bottom"/>
          </w:tcPr>
          <w:p>
            <w:pPr>
              <w:spacing w:after="0"/>
              <w:rPr>
                <w:sz w:val="1"/>
                <w:szCs w:val="1"/>
                <w:color w:val="auto"/>
              </w:rPr>
            </w:pPr>
          </w:p>
        </w:tc>
      </w:tr>
      <w:tr>
        <w:trPr>
          <w:trHeight w:val="210"/>
        </w:trPr>
        <w:tc>
          <w:tcPr>
            <w:tcW w:w="422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133,378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45,074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178,452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178,452</w:t>
            </w: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auto"/>
              </w:rPr>
              <w:t>Segment and corporate expenses (income):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81,718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111,067</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25,100</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8,020</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Loss on sale or disposal of assets and 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422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3,281</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26"/>
        </w:trPr>
        <w:tc>
          <w:tcPr>
            <w:tcW w:w="4220" w:type="dxa"/>
            <w:vAlign w:val="bottom"/>
          </w:tcPr>
          <w:p>
            <w:pPr>
              <w:ind w:left="200"/>
              <w:spacing w:after="0" w:line="226" w:lineRule="exact"/>
              <w:rPr>
                <w:sz w:val="20"/>
                <w:szCs w:val="20"/>
                <w:color w:val="auto"/>
              </w:rPr>
            </w:pPr>
            <w:r>
              <w:rPr>
                <w:rFonts w:ascii="Arial" w:cs="Arial" w:eastAsia="Arial" w:hAnsi="Arial"/>
                <w:sz w:val="16"/>
                <w:szCs w:val="16"/>
                <w:color w:val="auto"/>
              </w:rPr>
              <w:t xml:space="preserve">Equity in net income of unconsolidated affiliates </w:t>
            </w:r>
            <w:r>
              <w:rPr>
                <w:rFonts w:ascii="Arial" w:cs="Arial" w:eastAsia="Arial" w:hAnsi="Arial"/>
                <w:sz w:val="21"/>
                <w:szCs w:val="21"/>
                <w:color w:val="auto"/>
                <w:vertAlign w:val="superscript"/>
              </w:rPr>
              <w:t>(b)</w:t>
            </w: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15"/>
        </w:trPr>
        <w:tc>
          <w:tcPr>
            <w:tcW w:w="4220" w:type="dxa"/>
            <w:vAlign w:val="bottom"/>
          </w:tcPr>
          <w:p>
            <w:pPr>
              <w:ind w:left="20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48,957</w:t>
            </w:r>
          </w:p>
        </w:tc>
        <w:tc>
          <w:tcPr>
            <w:tcW w:w="1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(28,418)</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34,412</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340" w:right="220" w:hanging="334"/>
        <w:spacing w:after="0" w:line="252"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includes $0.6 million of interest income from notes receivable from Founders, which has been recast from the "Other Investments" segment to Corporate to conform to the current period presentation.</w:t>
      </w:r>
    </w:p>
    <w:p>
      <w:pPr>
        <w:ind w:left="340" w:hanging="334"/>
        <w:spacing w:after="0" w:line="26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Equity in net income of unconsolidated affiliates includes $1.9 million of equity income from CCV, which has been recast from the "Other Investments" segment to Corporate to conform to the current period presentation.</w:t>
      </w:r>
    </w:p>
    <w:p>
      <w:pPr>
        <w:sectPr>
          <w:pgSz w:w="11900" w:h="16838" w:orient="portrait"/>
          <w:cols w:equalWidth="0" w:num="1">
            <w:col w:w="10580"/>
          </w:cols>
          <w:pgMar w:left="340" w:top="1192" w:right="9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b w:val="1"/>
                <w:bCs w:val="1"/>
                <w:color w:val="auto"/>
              </w:rPr>
              <w:t>Six Months Ended March 31, 2026</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80" w:type="dxa"/>
            <w:vAlign w:val="bottom"/>
            <w:vMerge w:val="restart"/>
          </w:tcPr>
          <w:p>
            <w:pPr>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SMG</w:t>
            </w:r>
          </w:p>
        </w:tc>
        <w:tc>
          <w:tcPr>
            <w:tcW w:w="16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Segments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3280" w:type="dxa"/>
            <w:vAlign w:val="bottom"/>
          </w:tcPr>
          <w:p>
            <w:pPr>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266,926</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139,867</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17,819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424,612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424,612</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6"/>
                <w:szCs w:val="16"/>
                <w:color w:val="auto"/>
              </w:rPr>
              <w:t>Jewelry scrap sales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91,005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121,149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121,149</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193,944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74,719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283,045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283,045</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0"/>
        </w:trPr>
        <w:tc>
          <w:tcPr>
            <w:tcW w:w="32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551,936</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225,653</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51,311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828,900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828,900</w:t>
            </w:r>
          </w:p>
        </w:tc>
        <w:tc>
          <w:tcPr>
            <w:tcW w:w="0" w:type="dxa"/>
            <w:vAlign w:val="bottom"/>
          </w:tcPr>
          <w:p>
            <w:pPr>
              <w:spacing w:after="0"/>
              <w:rPr>
                <w:sz w:val="1"/>
                <w:szCs w:val="1"/>
                <w:color w:val="auto"/>
              </w:rPr>
            </w:pPr>
          </w:p>
        </w:tc>
      </w:tr>
      <w:tr>
        <w:trPr>
          <w:trHeight w:val="215"/>
        </w:trPr>
        <w:tc>
          <w:tcPr>
            <w:tcW w:w="3280" w:type="dxa"/>
            <w:vAlign w:val="bottom"/>
          </w:tcPr>
          <w:p>
            <w:pPr>
              <w:ind w:left="20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165,334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92,296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269,544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269,544</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6"/>
                <w:szCs w:val="16"/>
                <w:color w:val="auto"/>
              </w:rPr>
              <w:t>Jewelry scrap cost of goods sold</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76,352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76,352</w:t>
            </w:r>
          </w:p>
        </w:tc>
        <w:tc>
          <w:tcPr>
            <w:tcW w:w="0" w:type="dxa"/>
            <w:vAlign w:val="bottom"/>
          </w:tcPr>
          <w:p>
            <w:pPr>
              <w:spacing w:after="0"/>
              <w:rPr>
                <w:sz w:val="1"/>
                <w:szCs w:val="1"/>
                <w:color w:val="auto"/>
              </w:rPr>
            </w:pPr>
          </w:p>
        </w:tc>
      </w:tr>
      <w:tr>
        <w:trPr>
          <w:trHeight w:val="210"/>
        </w:trPr>
        <w:tc>
          <w:tcPr>
            <w:tcW w:w="328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330,580</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126,287</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26,137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483,004</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483,004</w:t>
            </w:r>
          </w:p>
        </w:tc>
        <w:tc>
          <w:tcPr>
            <w:tcW w:w="0" w:type="dxa"/>
            <w:vAlign w:val="bottom"/>
          </w:tcPr>
          <w:p>
            <w:pPr>
              <w:spacing w:after="0"/>
              <w:rPr>
                <w:sz w:val="1"/>
                <w:szCs w:val="1"/>
                <w:color w:val="auto"/>
              </w:rPr>
            </w:pPr>
          </w:p>
        </w:tc>
      </w:tr>
      <w:tr>
        <w:trPr>
          <w:trHeight w:val="163"/>
        </w:trPr>
        <w:tc>
          <w:tcPr>
            <w:tcW w:w="3280" w:type="dxa"/>
            <w:vAlign w:val="bottom"/>
          </w:tcPr>
          <w:p>
            <w:pPr>
              <w:spacing w:after="0" w:line="164"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20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176,148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82,129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274,891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274,891</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61,231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61,231</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6,870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18,344</w:t>
            </w:r>
          </w:p>
        </w:tc>
        <w:tc>
          <w:tcPr>
            <w:tcW w:w="0" w:type="dxa"/>
            <w:vAlign w:val="bottom"/>
          </w:tcPr>
          <w:p>
            <w:pPr>
              <w:spacing w:after="0"/>
              <w:rPr>
                <w:sz w:val="1"/>
                <w:szCs w:val="1"/>
                <w:color w:val="auto"/>
              </w:rPr>
            </w:pPr>
          </w:p>
        </w:tc>
      </w:tr>
      <w:tr>
        <w:trPr>
          <w:trHeight w:val="164"/>
        </w:trPr>
        <w:tc>
          <w:tcPr>
            <w:tcW w:w="3280" w:type="dxa"/>
            <w:vAlign w:val="bottom"/>
          </w:tcPr>
          <w:p>
            <w:pPr>
              <w:ind w:left="200"/>
              <w:spacing w:after="0" w:line="164" w:lineRule="exact"/>
              <w:rPr>
                <w:sz w:val="20"/>
                <w:szCs w:val="20"/>
                <w:color w:val="auto"/>
              </w:rPr>
            </w:pPr>
            <w:r>
              <w:rPr>
                <w:rFonts w:ascii="Arial" w:cs="Arial" w:eastAsia="Arial" w:hAnsi="Arial"/>
                <w:sz w:val="16"/>
                <w:szCs w:val="16"/>
                <w:color w:val="auto"/>
              </w:rPr>
              <w:t>Loss on sale or disposal of assets and</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5"/>
        </w:trPr>
        <w:tc>
          <w:tcPr>
            <w:tcW w:w="3280" w:type="dxa"/>
            <w:vAlign w:val="bottom"/>
          </w:tcPr>
          <w:p>
            <w:pPr>
              <w:ind w:left="20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16,520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16,520</w:t>
            </w:r>
          </w:p>
        </w:tc>
        <w:tc>
          <w:tcPr>
            <w:tcW w:w="0" w:type="dxa"/>
            <w:vAlign w:val="bottom"/>
          </w:tcPr>
          <w:p>
            <w:pPr>
              <w:spacing w:after="0"/>
              <w:rPr>
                <w:sz w:val="1"/>
                <w:szCs w:val="1"/>
                <w:color w:val="auto"/>
              </w:rPr>
            </w:pPr>
          </w:p>
        </w:tc>
      </w:tr>
      <w:tr>
        <w:trPr>
          <w:trHeight w:val="226"/>
        </w:trPr>
        <w:tc>
          <w:tcPr>
            <w:tcW w:w="3280" w:type="dxa"/>
            <w:vAlign w:val="bottom"/>
          </w:tcPr>
          <w:p>
            <w:pPr>
              <w:ind w:left="200"/>
              <w:spacing w:after="0" w:line="22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(c)</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(7,401)</w:t>
            </w:r>
          </w:p>
        </w:tc>
        <w:tc>
          <w:tcPr>
            <w:tcW w:w="0" w:type="dxa"/>
            <w:vAlign w:val="bottom"/>
          </w:tcPr>
          <w:p>
            <w:pPr>
              <w:spacing w:after="0"/>
              <w:rPr>
                <w:sz w:val="1"/>
                <w:szCs w:val="1"/>
                <w:color w:val="auto"/>
              </w:rPr>
            </w:pPr>
          </w:p>
        </w:tc>
      </w:tr>
      <w:tr>
        <w:trPr>
          <w:trHeight w:val="163"/>
        </w:trPr>
        <w:tc>
          <w:tcPr>
            <w:tcW w:w="3280" w:type="dxa"/>
            <w:vAlign w:val="bottom"/>
          </w:tcPr>
          <w:p>
            <w:pPr>
              <w:ind w:left="200"/>
              <w:spacing w:after="0" w:line="163" w:lineRule="exact"/>
              <w:rPr>
                <w:sz w:val="20"/>
                <w:szCs w:val="20"/>
                <w:color w:val="auto"/>
              </w:rPr>
            </w:pPr>
            <w:r>
              <w:rPr>
                <w:rFonts w:ascii="Arial" w:cs="Arial" w:eastAsia="Arial" w:hAnsi="Arial"/>
                <w:sz w:val="16"/>
                <w:szCs w:val="16"/>
                <w:color w:val="auto"/>
              </w:rPr>
              <w:t>Equity in net income of unconsolidated</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(2,989)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(2,989)</w:t>
            </w:r>
          </w:p>
        </w:tc>
        <w:tc>
          <w:tcPr>
            <w:tcW w:w="0" w:type="dxa"/>
            <w:vAlign w:val="bottom"/>
          </w:tcPr>
          <w:p>
            <w:pPr>
              <w:spacing w:after="0"/>
              <w:rPr>
                <w:sz w:val="1"/>
                <w:szCs w:val="1"/>
                <w:color w:val="auto"/>
              </w:rPr>
            </w:pPr>
          </w:p>
        </w:tc>
      </w:tr>
      <w:tr>
        <w:trPr>
          <w:trHeight w:val="215"/>
        </w:trPr>
        <w:tc>
          <w:tcPr>
            <w:tcW w:w="32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affiliates </w:t>
            </w:r>
            <w:r>
              <w:rPr>
                <w:rFonts w:ascii="Arial" w:cs="Arial" w:eastAsia="Arial" w:hAnsi="Arial"/>
                <w:sz w:val="21"/>
                <w:szCs w:val="21"/>
                <w:color w:val="auto"/>
                <w:vertAlign w:val="superscript"/>
              </w:rPr>
              <w:t>(d)</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20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Arial" w:cs="Arial" w:eastAsia="Arial" w:hAnsi="Arial"/>
                <w:sz w:val="16"/>
                <w:szCs w:val="16"/>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148,813</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39,256</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8,811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196,880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196,880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(72,223)</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124,657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right="240" w:hanging="334"/>
        <w:spacing w:after="0" w:line="252"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includes $1.0 million of interest income from notes receivable from Founders recorded in the first quarter of fiscal 2026, which has been recast from the "Other Investments" segment to Corporate to conform to the current period presentation.</w:t>
      </w:r>
    </w:p>
    <w:p>
      <w:pPr>
        <w:ind w:left="360" w:right="240" w:hanging="334"/>
        <w:spacing w:after="0" w:line="263"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Equity in net income of unconsolidated affiliates includes $1.8 million of equity income from CCV recorded in the first quarter of fiscal 2026, which has been recast from the "Other Investments" segment to Corporate to conform to the current period presentation.</w:t>
      </w:r>
    </w:p>
    <w:p>
      <w:pPr>
        <w:sectPr>
          <w:pgSz w:w="11900" w:h="16838" w:orient="portrait"/>
          <w:cols w:equalWidth="0" w:num="1">
            <w:col w:w="11220"/>
          </w:cols>
          <w:pgMar w:left="340" w:top="131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Six Months Ended March 31, 2025</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Pawn</w:t>
            </w:r>
          </w:p>
        </w:tc>
        <w:tc>
          <w:tcPr>
            <w:tcW w:w="126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1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3"/>
                <w:szCs w:val="13"/>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Segments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4900" w:type="dxa"/>
            <w:vAlign w:val="bottom"/>
          </w:tcPr>
          <w:p>
            <w:pPr>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245,715</w:t>
            </w:r>
          </w:p>
        </w:tc>
        <w:tc>
          <w:tcPr>
            <w:tcW w:w="14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110,095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355,810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355,810</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Jewelry scrap sales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37,670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37,670</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175,424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232,923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232,923</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0"/>
        </w:trPr>
        <w:tc>
          <w:tcPr>
            <w:tcW w:w="490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453,586</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172,900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626,486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626,486</w:t>
            </w:r>
          </w:p>
        </w:tc>
        <w:tc>
          <w:tcPr>
            <w:tcW w:w="0" w:type="dxa"/>
            <w:vAlign w:val="bottom"/>
          </w:tcPr>
          <w:p>
            <w:pPr>
              <w:spacing w:after="0"/>
              <w:rPr>
                <w:sz w:val="1"/>
                <w:szCs w:val="1"/>
                <w:color w:val="auto"/>
              </w:rPr>
            </w:pPr>
          </w:p>
        </w:tc>
      </w:tr>
      <w:tr>
        <w:trPr>
          <w:trHeight w:val="215"/>
        </w:trPr>
        <w:tc>
          <w:tcPr>
            <w:tcW w:w="4900" w:type="dxa"/>
            <w:vAlign w:val="bottom"/>
          </w:tcPr>
          <w:p>
            <w:pPr>
              <w:ind w:left="20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156,328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77,051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233,379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233,379</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Jewelry scrap cost of goods sold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29,251</w:t>
            </w:r>
          </w:p>
        </w:tc>
        <w:tc>
          <w:tcPr>
            <w:tcW w:w="0" w:type="dxa"/>
            <w:vAlign w:val="bottom"/>
          </w:tcPr>
          <w:p>
            <w:pPr>
              <w:spacing w:after="0"/>
              <w:rPr>
                <w:sz w:val="1"/>
                <w:szCs w:val="1"/>
                <w:color w:val="auto"/>
              </w:rPr>
            </w:pPr>
          </w:p>
        </w:tc>
      </w:tr>
      <w:tr>
        <w:trPr>
          <w:trHeight w:val="210"/>
        </w:trPr>
        <w:tc>
          <w:tcPr>
            <w:tcW w:w="490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272,055</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91,801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363,856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363,856</w:t>
            </w:r>
          </w:p>
        </w:tc>
        <w:tc>
          <w:tcPr>
            <w:tcW w:w="0" w:type="dxa"/>
            <w:vAlign w:val="bottom"/>
          </w:tcPr>
          <w:p>
            <w:pPr>
              <w:spacing w:after="0"/>
              <w:rPr>
                <w:sz w:val="1"/>
                <w:szCs w:val="1"/>
                <w:color w:val="auto"/>
              </w:rPr>
            </w:pPr>
          </w:p>
        </w:tc>
      </w:t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163,199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58,804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222,003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222,003</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49,284</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16,355</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7"/>
        </w:trPr>
        <w:tc>
          <w:tcPr>
            <w:tcW w:w="49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6,428</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(e)</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(3,968)</w:t>
            </w:r>
          </w:p>
        </w:tc>
        <w:tc>
          <w:tcPr>
            <w:tcW w:w="0" w:type="dxa"/>
            <w:vAlign w:val="bottom"/>
          </w:tcPr>
          <w:p>
            <w:pPr>
              <w:spacing w:after="0"/>
              <w:rPr>
                <w:sz w:val="1"/>
                <w:szCs w:val="1"/>
                <w:color w:val="auto"/>
              </w:rPr>
            </w:pPr>
          </w:p>
        </w:tc>
      </w:tr>
      <w:tr>
        <w:trPr>
          <w:trHeight w:val="226"/>
        </w:trPr>
        <w:tc>
          <w:tcPr>
            <w:tcW w:w="4900" w:type="dxa"/>
            <w:vAlign w:val="bottom"/>
          </w:tcPr>
          <w:p>
            <w:pPr>
              <w:ind w:left="200"/>
              <w:spacing w:after="0" w:line="226" w:lineRule="exact"/>
              <w:rPr>
                <w:sz w:val="20"/>
                <w:szCs w:val="20"/>
                <w:color w:val="auto"/>
              </w:rPr>
            </w:pPr>
            <w:r>
              <w:rPr>
                <w:rFonts w:ascii="Arial" w:cs="Arial" w:eastAsia="Arial" w:hAnsi="Arial"/>
                <w:sz w:val="16"/>
                <w:szCs w:val="16"/>
                <w:color w:val="auto"/>
              </w:rPr>
              <w:t xml:space="preserve">Equity in net income of unconsolidated affiliates </w:t>
            </w:r>
            <w:r>
              <w:rPr>
                <w:rFonts w:ascii="Arial" w:cs="Arial" w:eastAsia="Arial" w:hAnsi="Arial"/>
                <w:sz w:val="21"/>
                <w:szCs w:val="21"/>
                <w:color w:val="auto"/>
                <w:vertAlign w:val="superscript"/>
              </w:rPr>
              <w:t>(f)</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15"/>
        </w:trPr>
        <w:tc>
          <w:tcPr>
            <w:tcW w:w="4900" w:type="dxa"/>
            <w:vAlign w:val="bottom"/>
          </w:tcPr>
          <w:p>
            <w:pPr>
              <w:ind w:left="20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11"/>
        </w:trPr>
        <w:tc>
          <w:tcPr>
            <w:tcW w:w="4900" w:type="dxa"/>
            <w:vAlign w:val="bottom"/>
          </w:tcPr>
          <w:p>
            <w:pPr>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103,447</w:t>
            </w:r>
          </w:p>
        </w:tc>
        <w:tc>
          <w:tcPr>
            <w:tcW w:w="14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132,609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132,609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75,796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160" w:hanging="334"/>
        <w:spacing w:after="0" w:line="252"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Interest income includes $1.2 million of interest income from notes receivable from Founders, which has been recast from the "Other Investments" segment to Corporate to conform to the current period presentation.</w:t>
      </w:r>
    </w:p>
    <w:p>
      <w:pPr>
        <w:ind w:left="340" w:right="620" w:hanging="334"/>
        <w:spacing w:after="0" w:line="26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Equity in net income of unconsolidated affiliates includes $3.5 million of equity income from CCV, which has been recast from the "Other Investments" segment to Corporate to conform to the current period presentation.</w:t>
      </w:r>
    </w:p>
    <w:p>
      <w:pPr>
        <w:sectPr>
          <w:pgSz w:w="11900" w:h="16838" w:orient="portrait"/>
          <w:cols w:equalWidth="0" w:num="1">
            <w:col w:w="11220"/>
          </w:cols>
          <w:pgMar w:left="340" w:top="1070" w:right="3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6"/>
          <w:szCs w:val="16"/>
          <w:b w:val="1"/>
          <w:bCs w:val="1"/>
          <w:color w:val="auto"/>
        </w:rPr>
        <w:t>EZCORP,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STORE COUNT ACTIVITY</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73"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40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Six Months Ended March 31, 2026</w:t>
            </w: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09"/>
        </w:trPr>
        <w:tc>
          <w:tcPr>
            <w:tcW w:w="4060" w:type="dxa"/>
            <w:vAlign w:val="bottom"/>
          </w:tcPr>
          <w:p>
            <w:pPr>
              <w:spacing w:after="0"/>
              <w:rPr>
                <w:sz w:val="18"/>
                <w:szCs w:val="18"/>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U.S. Pawn</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Latin America Pawn</w:t>
            </w:r>
          </w:p>
        </w:tc>
        <w:tc>
          <w:tcPr>
            <w:tcW w:w="120" w:type="dxa"/>
            <w:vAlign w:val="bottom"/>
          </w:tcPr>
          <w:p>
            <w:pPr>
              <w:spacing w:after="0"/>
              <w:rPr>
                <w:sz w:val="18"/>
                <w:szCs w:val="18"/>
                <w:color w:val="auto"/>
              </w:rPr>
            </w:pPr>
          </w:p>
        </w:tc>
        <w:tc>
          <w:tcPr>
            <w:tcW w:w="128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SMG</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Consolidated</w:t>
            </w:r>
          </w:p>
        </w:tc>
      </w:tr>
      <w:tr>
        <w:trPr>
          <w:trHeight w:val="302"/>
        </w:trPr>
        <w:tc>
          <w:tcPr>
            <w:tcW w:w="5300" w:type="dxa"/>
            <w:vAlign w:val="bottom"/>
            <w:gridSpan w:val="2"/>
          </w:tcPr>
          <w:p>
            <w:pPr>
              <w:spacing w:after="0"/>
              <w:rPr>
                <w:sz w:val="20"/>
                <w:szCs w:val="20"/>
                <w:color w:val="auto"/>
              </w:rPr>
            </w:pPr>
            <w:r>
              <w:rPr>
                <w:rFonts w:ascii="Arial" w:cs="Arial" w:eastAsia="Arial" w:hAnsi="Arial"/>
                <w:sz w:val="16"/>
                <w:szCs w:val="16"/>
                <w:color w:val="auto"/>
              </w:rPr>
              <w:t>As of September 30, 2025</w:t>
            </w:r>
          </w:p>
        </w:tc>
        <w:tc>
          <w:tcPr>
            <w:tcW w:w="40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1,360</w:t>
            </w:r>
          </w:p>
        </w:tc>
      </w:tr>
      <w:tr>
        <w:trPr>
          <w:trHeight w:val="216"/>
        </w:trPr>
        <w:tc>
          <w:tcPr>
            <w:tcW w:w="5300" w:type="dxa"/>
            <w:vAlign w:val="bottom"/>
            <w:gridSpan w:val="2"/>
          </w:tcPr>
          <w:p>
            <w:pPr>
              <w:ind w:left="200"/>
              <w:spacing w:after="0"/>
              <w:rPr>
                <w:sz w:val="20"/>
                <w:szCs w:val="20"/>
                <w:color w:val="auto"/>
              </w:rPr>
            </w:pPr>
            <w:r>
              <w:rPr>
                <w:rFonts w:ascii="Arial" w:cs="Arial" w:eastAsia="Arial" w:hAnsi="Arial"/>
                <w:sz w:val="16"/>
                <w:szCs w:val="16"/>
                <w:color w:val="auto"/>
              </w:rPr>
              <w:t>New locations opened</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300" w:type="dxa"/>
            <w:vAlign w:val="bottom"/>
            <w:gridSpan w:val="2"/>
          </w:tcPr>
          <w:p>
            <w:pPr>
              <w:ind w:left="200"/>
              <w:spacing w:after="0"/>
              <w:rPr>
                <w:sz w:val="20"/>
                <w:szCs w:val="20"/>
                <w:color w:val="auto"/>
              </w:rPr>
            </w:pPr>
            <w:r>
              <w:rPr>
                <w:rFonts w:ascii="Arial" w:cs="Arial" w:eastAsia="Arial" w:hAnsi="Arial"/>
                <w:sz w:val="16"/>
                <w:szCs w:val="16"/>
                <w:color w:val="auto"/>
              </w:rPr>
              <w:t>Locations acquired</w:t>
            </w: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5300" w:type="dxa"/>
            <w:vAlign w:val="bottom"/>
            <w:gridSpan w:val="2"/>
          </w:tcPr>
          <w:p>
            <w:pPr>
              <w:ind w:left="200"/>
              <w:spacing w:after="0"/>
              <w:rPr>
                <w:sz w:val="20"/>
                <w:szCs w:val="20"/>
                <w:color w:val="auto"/>
              </w:rPr>
            </w:pPr>
            <w:r>
              <w:rPr>
                <w:rFonts w:ascii="Arial" w:cs="Arial" w:eastAsia="Arial" w:hAnsi="Arial"/>
                <w:sz w:val="16"/>
                <w:szCs w:val="16"/>
                <w:color w:val="auto"/>
              </w:rPr>
              <w:t>Locations combined or closed</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4060" w:type="dxa"/>
            <w:vAlign w:val="bottom"/>
          </w:tcPr>
          <w:p>
            <w:pPr>
              <w:spacing w:after="0"/>
              <w:rPr>
                <w:sz w:val="20"/>
                <w:szCs w:val="20"/>
                <w:color w:val="auto"/>
              </w:rPr>
            </w:pPr>
            <w:r>
              <w:rPr>
                <w:rFonts w:ascii="Arial" w:cs="Arial" w:eastAsia="Arial" w:hAnsi="Arial"/>
                <w:sz w:val="16"/>
                <w:szCs w:val="16"/>
                <w:color w:val="auto"/>
              </w:rPr>
              <w:t>As of December 31, 2025</w:t>
            </w:r>
          </w:p>
        </w:tc>
        <w:tc>
          <w:tcPr>
            <w:tcW w:w="1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1,383</w:t>
            </w:r>
          </w:p>
        </w:tc>
      </w:tr>
      <w:tr>
        <w:trPr>
          <w:trHeight w:val="215"/>
        </w:trPr>
        <w:tc>
          <w:tcPr>
            <w:tcW w:w="5300" w:type="dxa"/>
            <w:vAlign w:val="bottom"/>
            <w:gridSpan w:val="2"/>
          </w:tcPr>
          <w:p>
            <w:pPr>
              <w:ind w:left="200"/>
              <w:spacing w:after="0"/>
              <w:rPr>
                <w:sz w:val="20"/>
                <w:szCs w:val="20"/>
                <w:color w:val="auto"/>
              </w:rPr>
            </w:pPr>
            <w:r>
              <w:rPr>
                <w:rFonts w:ascii="Arial" w:cs="Arial" w:eastAsia="Arial" w:hAnsi="Arial"/>
                <w:sz w:val="16"/>
                <w:szCs w:val="16"/>
                <w:color w:val="auto"/>
              </w:rPr>
              <w:t>New locations opened</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300" w:type="dxa"/>
            <w:vAlign w:val="bottom"/>
            <w:gridSpan w:val="2"/>
          </w:tcPr>
          <w:p>
            <w:pPr>
              <w:ind w:left="200"/>
              <w:spacing w:after="0"/>
              <w:rPr>
                <w:sz w:val="20"/>
                <w:szCs w:val="20"/>
                <w:color w:val="auto"/>
              </w:rPr>
            </w:pPr>
            <w:r>
              <w:rPr>
                <w:rFonts w:ascii="Arial" w:cs="Arial" w:eastAsia="Arial" w:hAnsi="Arial"/>
                <w:sz w:val="16"/>
                <w:szCs w:val="16"/>
                <w:color w:val="auto"/>
              </w:rPr>
              <w:t>Locations acquired</w:t>
            </w: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0"/>
        </w:trPr>
        <w:tc>
          <w:tcPr>
            <w:tcW w:w="4060" w:type="dxa"/>
            <w:vAlign w:val="bottom"/>
          </w:tcPr>
          <w:p>
            <w:pPr>
              <w:spacing w:after="0"/>
              <w:rPr>
                <w:sz w:val="20"/>
                <w:szCs w:val="20"/>
                <w:color w:val="auto"/>
              </w:rPr>
            </w:pPr>
            <w:r>
              <w:rPr>
                <w:rFonts w:ascii="Arial" w:cs="Arial" w:eastAsia="Arial" w:hAnsi="Arial"/>
                <w:sz w:val="16"/>
                <w:szCs w:val="16"/>
                <w:color w:val="auto"/>
              </w:rPr>
              <w:t>As of March 31, 2026</w:t>
            </w:r>
          </w:p>
        </w:tc>
        <w:tc>
          <w:tcPr>
            <w:tcW w:w="1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w:t>
            </w: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5"/>
          </w:tcPr>
          <w:p>
            <w:pPr>
              <w:jc w:val="right"/>
              <w:ind w:right="1219"/>
              <w:spacing w:after="0"/>
              <w:rPr>
                <w:sz w:val="20"/>
                <w:szCs w:val="20"/>
                <w:color w:val="auto"/>
              </w:rPr>
            </w:pPr>
            <w:r>
              <w:rPr>
                <w:rFonts w:ascii="Arial" w:cs="Arial" w:eastAsia="Arial" w:hAnsi="Arial"/>
                <w:sz w:val="16"/>
                <w:szCs w:val="16"/>
                <w:b w:val="1"/>
                <w:bCs w:val="1"/>
                <w:color w:val="auto"/>
              </w:rPr>
              <w:t>Six Months Ended March 31, 2025</w:t>
            </w:r>
          </w:p>
        </w:tc>
      </w:tr>
      <w:tr>
        <w:trPr>
          <w:trHeight w:val="210"/>
        </w:trPr>
        <w:tc>
          <w:tcPr>
            <w:tcW w:w="4460" w:type="dxa"/>
            <w:vAlign w:val="bottom"/>
          </w:tcPr>
          <w:p>
            <w:pPr>
              <w:spacing w:after="0"/>
              <w:rPr>
                <w:sz w:val="18"/>
                <w:szCs w:val="18"/>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U.S. Pawn</w:t>
            </w: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Latin America Pawn</w:t>
            </w:r>
          </w:p>
        </w:tc>
        <w:tc>
          <w:tcPr>
            <w:tcW w:w="160" w:type="dxa"/>
            <w:vAlign w:val="bottom"/>
          </w:tcPr>
          <w:p>
            <w:pPr>
              <w:spacing w:after="0"/>
              <w:rPr>
                <w:sz w:val="18"/>
                <w:szCs w:val="18"/>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Consolidated</w:t>
            </w:r>
          </w:p>
        </w:tc>
      </w:tr>
      <w:tr>
        <w:trPr>
          <w:trHeight w:val="248"/>
        </w:trPr>
        <w:tc>
          <w:tcPr>
            <w:tcW w:w="5720" w:type="dxa"/>
            <w:vAlign w:val="bottom"/>
            <w:gridSpan w:val="2"/>
          </w:tcPr>
          <w:p>
            <w:pPr>
              <w:spacing w:after="0"/>
              <w:rPr>
                <w:sz w:val="20"/>
                <w:szCs w:val="20"/>
                <w:color w:val="auto"/>
              </w:rPr>
            </w:pPr>
            <w:r>
              <w:rPr>
                <w:rFonts w:ascii="Arial" w:cs="Arial" w:eastAsia="Arial" w:hAnsi="Arial"/>
                <w:sz w:val="16"/>
                <w:szCs w:val="16"/>
                <w:color w:val="auto"/>
              </w:rPr>
              <w:t>As of September 30, 2024</w:t>
            </w:r>
          </w:p>
        </w:tc>
        <w:tc>
          <w:tcPr>
            <w:tcW w:w="380" w:type="dxa"/>
            <w:vAlign w:val="bottom"/>
          </w:tcPr>
          <w:p>
            <w:pPr>
              <w:jc w:val="right"/>
              <w:spacing w:after="0"/>
              <w:rPr>
                <w:sz w:val="20"/>
                <w:szCs w:val="20"/>
                <w:color w:val="auto"/>
              </w:rPr>
            </w:pPr>
            <w:r>
              <w:rPr>
                <w:rFonts w:ascii="Arial" w:cs="Arial" w:eastAsia="Arial" w:hAnsi="Arial"/>
                <w:sz w:val="16"/>
                <w:szCs w:val="16"/>
                <w:color w:val="auto"/>
              </w:rPr>
              <w:t>542</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737</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1,279</w:t>
            </w:r>
          </w:p>
        </w:tc>
      </w:tr>
      <w:tr>
        <w:trPr>
          <w:trHeight w:val="216"/>
        </w:trPr>
        <w:tc>
          <w:tcPr>
            <w:tcW w:w="5720" w:type="dxa"/>
            <w:vAlign w:val="bottom"/>
            <w:gridSpan w:val="2"/>
          </w:tcPr>
          <w:p>
            <w:pPr>
              <w:ind w:left="200"/>
              <w:spacing w:after="0"/>
              <w:rPr>
                <w:sz w:val="20"/>
                <w:szCs w:val="20"/>
                <w:color w:val="auto"/>
              </w:rPr>
            </w:pPr>
            <w:r>
              <w:rPr>
                <w:rFonts w:ascii="Arial" w:cs="Arial" w:eastAsia="Arial" w:hAnsi="Arial"/>
                <w:sz w:val="16"/>
                <w:szCs w:val="16"/>
                <w:color w:val="auto"/>
              </w:rPr>
              <w:t>New locations opened</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4460" w:type="dxa"/>
            <w:vAlign w:val="bottom"/>
          </w:tcPr>
          <w:p>
            <w:pPr>
              <w:spacing w:after="0"/>
              <w:rPr>
                <w:sz w:val="20"/>
                <w:szCs w:val="20"/>
                <w:color w:val="auto"/>
              </w:rPr>
            </w:pPr>
            <w:r>
              <w:rPr>
                <w:rFonts w:ascii="Arial" w:cs="Arial" w:eastAsia="Arial" w:hAnsi="Arial"/>
                <w:sz w:val="16"/>
                <w:szCs w:val="16"/>
                <w:color w:val="auto"/>
              </w:rPr>
              <w:t>As of December 31, 2024</w:t>
            </w:r>
          </w:p>
        </w:tc>
        <w:tc>
          <w:tcPr>
            <w:tcW w:w="1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6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16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1,283</w:t>
            </w:r>
          </w:p>
        </w:tc>
      </w:tr>
      <w:tr>
        <w:trPr>
          <w:trHeight w:val="215"/>
        </w:trPr>
        <w:tc>
          <w:tcPr>
            <w:tcW w:w="5720" w:type="dxa"/>
            <w:vAlign w:val="bottom"/>
            <w:gridSpan w:val="2"/>
          </w:tcPr>
          <w:p>
            <w:pPr>
              <w:ind w:left="200"/>
              <w:spacing w:after="0"/>
              <w:rPr>
                <w:sz w:val="20"/>
                <w:szCs w:val="20"/>
                <w:color w:val="auto"/>
              </w:rPr>
            </w:pPr>
            <w:r>
              <w:rPr>
                <w:rFonts w:ascii="Arial" w:cs="Arial" w:eastAsia="Arial" w:hAnsi="Arial"/>
                <w:sz w:val="16"/>
                <w:szCs w:val="16"/>
                <w:color w:val="auto"/>
              </w:rPr>
              <w:t>New locations opened</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720" w:type="dxa"/>
            <w:vAlign w:val="bottom"/>
            <w:gridSpan w:val="2"/>
          </w:tcPr>
          <w:p>
            <w:pPr>
              <w:ind w:left="200"/>
              <w:spacing w:after="0"/>
              <w:rPr>
                <w:sz w:val="20"/>
                <w:szCs w:val="20"/>
                <w:color w:val="auto"/>
              </w:rPr>
            </w:pPr>
            <w:r>
              <w:rPr>
                <w:rFonts w:ascii="Arial" w:cs="Arial" w:eastAsia="Arial" w:hAnsi="Arial"/>
                <w:sz w:val="16"/>
                <w:szCs w:val="16"/>
                <w:color w:val="auto"/>
              </w:rPr>
              <w:t>Locations acquired</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720" w:type="dxa"/>
            <w:vAlign w:val="bottom"/>
            <w:gridSpan w:val="2"/>
          </w:tcPr>
          <w:p>
            <w:pPr>
              <w:ind w:left="200"/>
              <w:spacing w:after="0"/>
              <w:rPr>
                <w:sz w:val="20"/>
                <w:szCs w:val="20"/>
                <w:color w:val="auto"/>
              </w:rPr>
            </w:pPr>
            <w:r>
              <w:rPr>
                <w:rFonts w:ascii="Arial" w:cs="Arial" w:eastAsia="Arial" w:hAnsi="Arial"/>
                <w:sz w:val="16"/>
                <w:szCs w:val="16"/>
                <w:color w:val="auto"/>
              </w:rPr>
              <w:t>Locations combined or closed</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4460" w:type="dxa"/>
            <w:vAlign w:val="bottom"/>
          </w:tcPr>
          <w:p>
            <w:pPr>
              <w:spacing w:after="0"/>
              <w:rPr>
                <w:sz w:val="20"/>
                <w:szCs w:val="20"/>
                <w:color w:val="auto"/>
              </w:rPr>
            </w:pPr>
            <w:r>
              <w:rPr>
                <w:rFonts w:ascii="Arial" w:cs="Arial" w:eastAsia="Arial" w:hAnsi="Arial"/>
                <w:sz w:val="16"/>
                <w:szCs w:val="16"/>
                <w:color w:val="auto"/>
              </w:rPr>
              <w:t>As of March 31, 2025</w:t>
            </w:r>
          </w:p>
        </w:tc>
        <w:tc>
          <w:tcPr>
            <w:tcW w:w="1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6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6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1,284</w:t>
            </w:r>
          </w:p>
        </w:tc>
      </w:tr>
    </w:tbl>
    <w:p>
      <w:pPr>
        <w:sectPr>
          <w:pgSz w:w="11900" w:h="16838" w:orient="portrait"/>
          <w:cols w:equalWidth="0" w:num="1">
            <w:col w:w="11120"/>
          </w:cols>
          <w:pgMar w:left="340" w:top="935"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reflects an additional way of viewing aspects of our business that, when viewed with GAAP results, provides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six months ended March 31, 2026 and 2025 were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560" w:type="dxa"/>
            <w:vAlign w:val="bottom"/>
            <w:gridSpan w:val="3"/>
            <w:vMerge w:val="restart"/>
          </w:tcPr>
          <w:p>
            <w:pPr>
              <w:ind w:left="78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302"/>
        </w:trPr>
        <w:tc>
          <w:tcPr>
            <w:tcW w:w="396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6"/>
                <w:szCs w:val="16"/>
                <w:color w:val="auto"/>
              </w:rPr>
              <w:t>Australian dollar</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38"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2025</w:t>
            </w:r>
          </w:p>
        </w:tc>
      </w:tr>
      <w:tr>
        <w:trPr>
          <w:trHeight w:val="302"/>
        </w:trPr>
        <w:tc>
          <w:tcPr>
            <w:tcW w:w="7660" w:type="dxa"/>
            <w:vAlign w:val="bottom"/>
          </w:tcPr>
          <w:p>
            <w:pPr>
              <w:ind w:left="20"/>
              <w:spacing w:after="0"/>
              <w:rPr>
                <w:sz w:val="20"/>
                <w:szCs w:val="20"/>
                <w:color w:val="auto"/>
              </w:rPr>
            </w:pPr>
            <w:r>
              <w:rPr>
                <w:rFonts w:ascii="Arial" w:cs="Arial" w:eastAsia="Arial" w:hAnsi="Arial"/>
                <w:sz w:val="16"/>
                <w:szCs w:val="16"/>
                <w:color w:val="auto"/>
              </w:rPr>
              <w:t>Consolidated net income</w:t>
            </w:r>
          </w:p>
        </w:tc>
        <w:tc>
          <w:tcPr>
            <w:tcW w:w="1140" w:type="dxa"/>
            <w:vAlign w:val="bottom"/>
          </w:tcPr>
          <w:p>
            <w:pPr>
              <w:jc w:val="right"/>
              <w:ind w:right="94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49.6</w:t>
            </w:r>
          </w:p>
        </w:tc>
        <w:tc>
          <w:tcPr>
            <w:tcW w:w="14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1"/>
        </w:trPr>
        <w:tc>
          <w:tcPr>
            <w:tcW w:w="7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114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r>
    </w:tbl>
    <w:p>
      <w:pPr>
        <w:sectPr>
          <w:pgSz w:w="11900" w:h="16838" w:orient="portrait"/>
          <w:cols w:equalWidth="0" w:num="1">
            <w:col w:w="11240"/>
          </w:cols>
          <w:pgMar w:left="320" w:top="109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Tax Effect</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Consolidated Net</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2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Income</w:t>
            </w: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tcPr>
          <w:p>
            <w:pPr>
              <w:spacing w:after="0"/>
              <w:rPr>
                <w:sz w:val="20"/>
                <w:szCs w:val="20"/>
                <w:color w:val="auto"/>
              </w:rPr>
            </w:pPr>
            <w:r>
              <w:rPr>
                <w:rFonts w:ascii="Arial" w:cs="Arial" w:eastAsia="Arial" w:hAnsi="Arial"/>
                <w:sz w:val="16"/>
                <w:szCs w:val="16"/>
                <w:color w:val="auto"/>
              </w:rPr>
              <w:t>2026 Q2 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446.9</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Founders fair value adjustment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Corporate lease termination</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Non-recurring foreign tax expense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FX impact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Constant Currency</w:t>
            </w:r>
          </w:p>
        </w:tc>
        <w:tc>
          <w:tcPr>
            <w:tcW w:w="140" w:type="dxa"/>
            <w:vAlign w:val="bottom"/>
            <w:tcBorders>
              <w:bottom w:val="single" w:sz="8" w:color="242424"/>
            </w:tcBorders>
          </w:tcPr>
          <w:p>
            <w:pPr>
              <w:spacing w:after="0"/>
              <w:rPr>
                <w:sz w:val="18"/>
                <w:szCs w:val="18"/>
                <w:color w:val="auto"/>
              </w:rPr>
            </w:pPr>
          </w:p>
        </w:tc>
        <w:tc>
          <w:tcPr>
            <w:tcW w:w="90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242424"/>
            </w:tcBorders>
          </w:tcPr>
          <w:p>
            <w:pPr>
              <w:spacing w:after="0"/>
              <w:rPr>
                <w:sz w:val="18"/>
                <w:szCs w:val="18"/>
                <w:color w:val="auto"/>
              </w:rPr>
            </w:pPr>
          </w:p>
        </w:tc>
        <w:tc>
          <w:tcPr>
            <w:tcW w:w="320" w:type="dxa"/>
            <w:vAlign w:val="bottom"/>
            <w:tcBorders>
              <w:bottom w:val="single" w:sz="8" w:color="242424"/>
            </w:tcBorders>
          </w:tcPr>
          <w:p>
            <w:pPr>
              <w:spacing w:after="0"/>
              <w:rPr>
                <w:sz w:val="18"/>
                <w:szCs w:val="18"/>
                <w:color w:val="auto"/>
              </w:rPr>
            </w:pPr>
          </w:p>
        </w:tc>
        <w:tc>
          <w:tcPr>
            <w:tcW w:w="70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242424"/>
            </w:tcBorders>
          </w:tcPr>
          <w:p>
            <w:pPr>
              <w:spacing w:after="0"/>
              <w:rPr>
                <w:sz w:val="18"/>
                <w:szCs w:val="18"/>
                <w:color w:val="auto"/>
              </w:rPr>
            </w:pPr>
          </w:p>
        </w:tc>
        <w:tc>
          <w:tcPr>
            <w:tcW w:w="320" w:type="dxa"/>
            <w:vAlign w:val="bottom"/>
            <w:tcBorders>
              <w:bottom w:val="single" w:sz="8" w:color="242424"/>
            </w:tcBorders>
          </w:tcPr>
          <w:p>
            <w:pPr>
              <w:spacing w:after="0"/>
              <w:rPr>
                <w:sz w:val="18"/>
                <w:szCs w:val="18"/>
                <w:color w:val="auto"/>
              </w:rPr>
            </w:pPr>
          </w:p>
        </w:tc>
        <w:tc>
          <w:tcPr>
            <w:tcW w:w="100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242424"/>
            </w:tcBorders>
          </w:tcPr>
          <w:p>
            <w:pPr>
              <w:spacing w:after="0"/>
              <w:rPr>
                <w:sz w:val="18"/>
                <w:szCs w:val="18"/>
                <w:color w:val="auto"/>
              </w:rPr>
            </w:pPr>
          </w:p>
        </w:tc>
        <w:tc>
          <w:tcPr>
            <w:tcW w:w="120" w:type="dxa"/>
            <w:vAlign w:val="bottom"/>
            <w:tcBorders>
              <w:bottom w:val="single" w:sz="8" w:color="242424"/>
            </w:tcBorders>
          </w:tcPr>
          <w:p>
            <w:pPr>
              <w:spacing w:after="0"/>
              <w:rPr>
                <w:sz w:val="18"/>
                <w:szCs w:val="18"/>
                <w:color w:val="auto"/>
              </w:rPr>
            </w:pPr>
          </w:p>
        </w:tc>
        <w:tc>
          <w:tcPr>
            <w:tcW w:w="92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242424"/>
            </w:tcBorders>
          </w:tcPr>
          <w:p>
            <w:pPr>
              <w:spacing w:after="0"/>
              <w:rPr>
                <w:sz w:val="18"/>
                <w:szCs w:val="18"/>
                <w:color w:val="auto"/>
              </w:rPr>
            </w:pPr>
          </w:p>
        </w:tc>
        <w:tc>
          <w:tcPr>
            <w:tcW w:w="260" w:type="dxa"/>
            <w:vAlign w:val="bottom"/>
            <w:tcBorders>
              <w:bottom w:val="single" w:sz="8" w:color="242424"/>
            </w:tcBorders>
          </w:tcPr>
          <w:p>
            <w:pPr>
              <w:spacing w:after="0"/>
              <w:rPr>
                <w:sz w:val="18"/>
                <w:szCs w:val="18"/>
                <w:color w:val="auto"/>
              </w:rPr>
            </w:pPr>
          </w:p>
        </w:tc>
        <w:tc>
          <w:tcPr>
            <w:tcW w:w="114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242424"/>
            </w:tcBorders>
          </w:tcPr>
          <w:p>
            <w:pPr>
              <w:spacing w:after="0"/>
              <w:rPr>
                <w:sz w:val="18"/>
                <w:szCs w:val="18"/>
                <w:color w:val="auto"/>
              </w:rPr>
            </w:pPr>
          </w:p>
        </w:tc>
        <w:tc>
          <w:tcPr>
            <w:tcW w:w="340" w:type="dxa"/>
            <w:vAlign w:val="bottom"/>
            <w:tcBorders>
              <w:bottom w:val="single" w:sz="8" w:color="242424"/>
            </w:tcBorders>
          </w:tcPr>
          <w:p>
            <w:pPr>
              <w:spacing w:after="0"/>
              <w:rPr>
                <w:sz w:val="18"/>
                <w:szCs w:val="18"/>
                <w:color w:val="auto"/>
              </w:rPr>
            </w:pPr>
          </w:p>
        </w:tc>
        <w:tc>
          <w:tcPr>
            <w:tcW w:w="70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242424"/>
            </w:tcBorders>
          </w:tcPr>
          <w:p>
            <w:pPr>
              <w:spacing w:after="0"/>
              <w:rPr>
                <w:sz w:val="18"/>
                <w:szCs w:val="18"/>
                <w:color w:val="auto"/>
              </w:rPr>
            </w:pPr>
          </w:p>
        </w:tc>
        <w:tc>
          <w:tcPr>
            <w:tcW w:w="180" w:type="dxa"/>
            <w:vAlign w:val="bottom"/>
            <w:tcBorders>
              <w:bottom w:val="single" w:sz="8" w:color="242424"/>
            </w:tcBorders>
          </w:tcPr>
          <w:p>
            <w:pPr>
              <w:spacing w:after="0"/>
              <w:rPr>
                <w:sz w:val="18"/>
                <w:szCs w:val="18"/>
                <w:color w:val="auto"/>
              </w:rPr>
            </w:pPr>
          </w:p>
        </w:tc>
        <w:tc>
          <w:tcPr>
            <w:tcW w:w="86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1"/>
        </w:trPr>
        <w:tc>
          <w:tcPr>
            <w:tcW w:w="2680" w:type="dxa"/>
            <w:vAlign w:val="bottom"/>
          </w:tcPr>
          <w:p>
            <w:pPr>
              <w:spacing w:after="0"/>
              <w:rPr>
                <w:sz w:val="20"/>
                <w:szCs w:val="20"/>
                <w:color w:val="auto"/>
              </w:rPr>
            </w:pPr>
            <w:r>
              <w:rPr>
                <w:rFonts w:ascii="Arial" w:cs="Arial" w:eastAsia="Arial" w:hAnsi="Arial"/>
                <w:sz w:val="16"/>
                <w:szCs w:val="16"/>
                <w:color w:val="auto"/>
              </w:rPr>
              <w:t>2026 Q2 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Consolidated</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0"/>
                <w:szCs w:val="20"/>
                <w:color w:val="auto"/>
              </w:rPr>
            </w:pPr>
            <w:r>
              <w:rPr>
                <w:rFonts w:ascii="Arial" w:cs="Arial" w:eastAsia="Arial" w:hAnsi="Arial"/>
                <w:sz w:val="16"/>
                <w:szCs w:val="16"/>
                <w:color w:val="auto"/>
              </w:rPr>
              <w:t>2025</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Q2</w:t>
            </w:r>
          </w:p>
        </w:tc>
        <w:tc>
          <w:tcPr>
            <w:tcW w:w="2040" w:type="dxa"/>
            <w:vAlign w:val="bottom"/>
          </w:tcPr>
          <w:p>
            <w:pPr>
              <w:ind w:left="40"/>
              <w:spacing w:after="0"/>
              <w:rPr>
                <w:sz w:val="20"/>
                <w:szCs w:val="20"/>
                <w:color w:val="auto"/>
              </w:rPr>
            </w:pPr>
            <w:r>
              <w:rPr>
                <w:rFonts w:ascii="Arial" w:cs="Arial" w:eastAsia="Arial" w:hAnsi="Arial"/>
                <w:sz w:val="16"/>
                <w:szCs w:val="16"/>
                <w:color w:val="auto"/>
              </w:rPr>
              <w:t>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6"/>
                <w:szCs w:val="16"/>
                <w:color w:val="auto"/>
              </w:rPr>
              <w:t>FX impact</w:t>
            </w:r>
          </w:p>
        </w:tc>
        <w:tc>
          <w:tcPr>
            <w:tcW w:w="120" w:type="dxa"/>
            <w:vAlign w:val="bottom"/>
            <w:tcBorders>
              <w:bottom w:val="single" w:sz="8" w:color="242424"/>
            </w:tcBorders>
          </w:tcPr>
          <w:p>
            <w:pPr>
              <w:spacing w:after="0"/>
              <w:rPr>
                <w:sz w:val="18"/>
                <w:szCs w:val="18"/>
                <w:color w:val="auto"/>
              </w:rPr>
            </w:pPr>
          </w:p>
        </w:tc>
        <w:tc>
          <w:tcPr>
            <w:tcW w:w="1020" w:type="dxa"/>
            <w:vAlign w:val="bottom"/>
            <w:tcBorders>
              <w:bottom w:val="single" w:sz="8" w:color="242424"/>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242424"/>
            </w:tcBorders>
          </w:tcPr>
          <w:p>
            <w:pPr>
              <w:spacing w:after="0"/>
              <w:rPr>
                <w:sz w:val="18"/>
                <w:szCs w:val="18"/>
                <w:color w:val="auto"/>
              </w:rPr>
            </w:pPr>
          </w:p>
        </w:tc>
        <w:tc>
          <w:tcPr>
            <w:tcW w:w="800" w:type="dxa"/>
            <w:vAlign w:val="bottom"/>
            <w:tcBorders>
              <w:bottom w:val="single" w:sz="8" w:color="242424"/>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242424"/>
            </w:tcBorders>
          </w:tcPr>
          <w:p>
            <w:pPr>
              <w:spacing w:after="0"/>
              <w:rPr>
                <w:sz w:val="18"/>
                <w:szCs w:val="18"/>
                <w:color w:val="auto"/>
              </w:rPr>
            </w:pPr>
          </w:p>
        </w:tc>
        <w:tc>
          <w:tcPr>
            <w:tcW w:w="98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242424"/>
            </w:tcBorders>
          </w:tcPr>
          <w:p>
            <w:pPr>
              <w:spacing w:after="0"/>
              <w:rPr>
                <w:sz w:val="18"/>
                <w:szCs w:val="18"/>
                <w:color w:val="auto"/>
              </w:rPr>
            </w:pPr>
          </w:p>
        </w:tc>
        <w:tc>
          <w:tcPr>
            <w:tcW w:w="120" w:type="dxa"/>
            <w:vAlign w:val="bottom"/>
            <w:tcBorders>
              <w:bottom w:val="single" w:sz="8" w:color="242424"/>
            </w:tcBorders>
          </w:tcPr>
          <w:p>
            <w:pPr>
              <w:spacing w:after="0"/>
              <w:rPr>
                <w:sz w:val="18"/>
                <w:szCs w:val="18"/>
                <w:color w:val="auto"/>
              </w:rPr>
            </w:pPr>
          </w:p>
        </w:tc>
        <w:tc>
          <w:tcPr>
            <w:tcW w:w="1000" w:type="dxa"/>
            <w:vAlign w:val="bottom"/>
            <w:tcBorders>
              <w:bottom w:val="single" w:sz="8" w:color="242424"/>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242424"/>
            </w:tcBorders>
          </w:tcPr>
          <w:p>
            <w:pPr>
              <w:spacing w:after="0"/>
              <w:rPr>
                <w:sz w:val="18"/>
                <w:szCs w:val="18"/>
                <w:color w:val="auto"/>
              </w:rPr>
            </w:pPr>
          </w:p>
        </w:tc>
        <w:tc>
          <w:tcPr>
            <w:tcW w:w="108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242424"/>
            </w:tcBorders>
          </w:tcPr>
          <w:p>
            <w:pPr>
              <w:spacing w:after="0"/>
              <w:rPr>
                <w:sz w:val="18"/>
                <w:szCs w:val="18"/>
                <w:color w:val="auto"/>
              </w:rPr>
            </w:pPr>
          </w:p>
        </w:tc>
        <w:tc>
          <w:tcPr>
            <w:tcW w:w="380" w:type="dxa"/>
            <w:vAlign w:val="bottom"/>
            <w:tcBorders>
              <w:bottom w:val="single" w:sz="8" w:color="242424"/>
            </w:tcBorders>
          </w:tcPr>
          <w:p>
            <w:pPr>
              <w:spacing w:after="0"/>
              <w:rPr>
                <w:sz w:val="18"/>
                <w:szCs w:val="18"/>
                <w:color w:val="auto"/>
              </w:rPr>
            </w:pPr>
          </w:p>
        </w:tc>
        <w:tc>
          <w:tcPr>
            <w:tcW w:w="760" w:type="dxa"/>
            <w:vAlign w:val="bottom"/>
            <w:tcBorders>
              <w:bottom w:val="single" w:sz="8" w:color="242424"/>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242424"/>
            </w:tcBorders>
          </w:tcPr>
          <w:p>
            <w:pPr>
              <w:spacing w:after="0"/>
              <w:rPr>
                <w:sz w:val="18"/>
                <w:szCs w:val="18"/>
                <w:color w:val="auto"/>
              </w:rPr>
            </w:pPr>
          </w:p>
        </w:tc>
        <w:tc>
          <w:tcPr>
            <w:tcW w:w="86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20"/>
                <w:szCs w:val="20"/>
                <w:color w:val="auto"/>
              </w:rPr>
            </w:pPr>
            <w:r>
              <w:rPr>
                <w:rFonts w:ascii="Arial" w:cs="Arial" w:eastAsia="Arial" w:hAnsi="Arial"/>
                <w:sz w:val="16"/>
                <w:szCs w:val="16"/>
                <w:color w:val="auto"/>
              </w:rPr>
              <w:t>2025</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Q2</w:t>
            </w:r>
          </w:p>
        </w:tc>
        <w:tc>
          <w:tcPr>
            <w:tcW w:w="2040" w:type="dxa"/>
            <w:vAlign w:val="bottom"/>
          </w:tcPr>
          <w:p>
            <w:pPr>
              <w:ind w:left="40"/>
              <w:spacing w:after="0"/>
              <w:rPr>
                <w:sz w:val="20"/>
                <w:szCs w:val="20"/>
                <w:color w:val="auto"/>
              </w:rPr>
            </w:pPr>
            <w:r>
              <w:rPr>
                <w:rFonts w:ascii="Arial" w:cs="Arial" w:eastAsia="Arial" w:hAnsi="Arial"/>
                <w:sz w:val="16"/>
                <w:szCs w:val="16"/>
                <w:color w:val="auto"/>
              </w:rPr>
              <w:t>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bl>
    <w:p>
      <w:pPr>
        <w:sectPr>
          <w:pgSz w:w="11900" w:h="16838" w:orient="portrait"/>
          <w:cols w:equalWidth="0" w:num="1">
            <w:col w:w="11220"/>
          </w:cols>
          <w:pgMar w:left="340" w:top="104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rPr>
              <w:t>March 31, 2026</w:t>
            </w:r>
          </w:p>
        </w:tc>
        <w:tc>
          <w:tcPr>
            <w:tcW w:w="120" w:type="dxa"/>
            <w:vAlign w:val="bottom"/>
          </w:tcPr>
          <w:p>
            <w:pPr>
              <w:spacing w:after="0"/>
              <w:rPr>
                <w:sz w:val="18"/>
                <w:szCs w:val="18"/>
                <w:color w:val="auto"/>
              </w:rPr>
            </w:pPr>
          </w:p>
        </w:tc>
        <w:tc>
          <w:tcPr>
            <w:tcW w:w="23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March 31, 2026</w:t>
            </w:r>
          </w:p>
        </w:tc>
        <w:tc>
          <w:tcPr>
            <w:tcW w:w="0" w:type="dxa"/>
            <w:vAlign w:val="bottom"/>
          </w:tcPr>
          <w:p>
            <w:pPr>
              <w:spacing w:after="0"/>
              <w:rPr>
                <w:sz w:val="1"/>
                <w:szCs w:val="1"/>
                <w:color w:val="auto"/>
              </w:rPr>
            </w:pPr>
          </w:p>
        </w:tc>
      </w:tr>
      <w:tr>
        <w:trPr>
          <w:trHeight w:val="155"/>
        </w:trPr>
        <w:tc>
          <w:tcPr>
            <w:tcW w:w="6220" w:type="dxa"/>
            <w:vAlign w:val="bottom"/>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6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Change YOY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0"/>
                <w:szCs w:val="20"/>
                <w:color w:val="auto"/>
              </w:rPr>
            </w:pPr>
            <w:r>
              <w:rPr>
                <w:rFonts w:ascii="Arial" w:cs="Arial" w:eastAsia="Arial" w:hAnsi="Arial"/>
                <w:sz w:val="16"/>
                <w:szCs w:val="16"/>
                <w:color w:val="auto"/>
              </w:rPr>
              <w:t>Consolidated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446.9</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828.9</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200"/>
              <w:spacing w:after="0"/>
              <w:rPr>
                <w:sz w:val="20"/>
                <w:szCs w:val="20"/>
                <w:color w:val="auto"/>
              </w:rPr>
            </w:pPr>
            <w:r>
              <w:rPr>
                <w:rFonts w:ascii="Arial" w:cs="Arial" w:eastAsia="Arial" w:hAnsi="Arial"/>
                <w:sz w:val="16"/>
                <w:szCs w:val="16"/>
                <w:color w:val="auto"/>
              </w:rPr>
              <w:t>Constant currency consolidated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434.9</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809.4</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49"/>
        </w:trPr>
        <w:tc>
          <w:tcPr>
            <w:tcW w:w="6220" w:type="dxa"/>
            <w:vAlign w:val="bottom"/>
          </w:tcPr>
          <w:p>
            <w:pPr>
              <w:spacing w:after="0"/>
              <w:rPr>
                <w:sz w:val="20"/>
                <w:szCs w:val="20"/>
                <w:color w:val="auto"/>
              </w:rPr>
            </w:pPr>
            <w:r>
              <w:rPr>
                <w:rFonts w:ascii="Arial" w:cs="Arial" w:eastAsia="Arial" w:hAnsi="Arial"/>
                <w:sz w:val="16"/>
                <w:szCs w:val="16"/>
                <w:color w:val="auto"/>
              </w:rPr>
              <w:t>Consolidated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200"/>
              <w:spacing w:after="0"/>
              <w:rPr>
                <w:sz w:val="20"/>
                <w:szCs w:val="20"/>
                <w:color w:val="auto"/>
              </w:rPr>
            </w:pPr>
            <w:r>
              <w:rPr>
                <w:rFonts w:ascii="Arial" w:cs="Arial" w:eastAsia="Arial" w:hAnsi="Arial"/>
                <w:sz w:val="16"/>
                <w:szCs w:val="16"/>
                <w:color w:val="auto"/>
              </w:rPr>
              <w:t>Constant currency consolidated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472.3</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49"/>
        </w:trPr>
        <w:tc>
          <w:tcPr>
            <w:tcW w:w="6220" w:type="dxa"/>
            <w:vAlign w:val="bottom"/>
          </w:tcPr>
          <w:p>
            <w:pPr>
              <w:spacing w:after="0"/>
              <w:rPr>
                <w:sz w:val="20"/>
                <w:szCs w:val="20"/>
                <w:color w:val="auto"/>
              </w:rPr>
            </w:pPr>
            <w:r>
              <w:rPr>
                <w:rFonts w:ascii="Arial" w:cs="Arial" w:eastAsia="Arial" w:hAnsi="Arial"/>
                <w:sz w:val="16"/>
                <w:szCs w:val="16"/>
                <w:color w:val="auto"/>
              </w:rPr>
              <w:t>Consolidated net inventory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276.0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276.0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200"/>
              <w:spacing w:after="0"/>
              <w:rPr>
                <w:sz w:val="20"/>
                <w:szCs w:val="20"/>
                <w:color w:val="auto"/>
              </w:rPr>
            </w:pPr>
            <w:r>
              <w:rPr>
                <w:rFonts w:ascii="Arial" w:cs="Arial" w:eastAsia="Arial" w:hAnsi="Arial"/>
                <w:sz w:val="16"/>
                <w:szCs w:val="16"/>
                <w:color w:val="auto"/>
              </w:rPr>
              <w:t>Constant currency consolidated net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89"/>
        </w:trPr>
        <w:tc>
          <w:tcPr>
            <w:tcW w:w="6220" w:type="dxa"/>
            <w:vAlign w:val="bottom"/>
          </w:tcPr>
          <w:p>
            <w:pPr>
              <w:spacing w:after="0"/>
              <w:rPr>
                <w:sz w:val="20"/>
                <w:szCs w:val="20"/>
                <w:color w:val="auto"/>
              </w:rPr>
            </w:pPr>
            <w:r>
              <w:rPr>
                <w:rFonts w:ascii="Arial" w:cs="Arial" w:eastAsia="Arial" w:hAnsi="Arial"/>
                <w:sz w:val="16"/>
                <w:szCs w:val="16"/>
                <w:color w:val="auto"/>
              </w:rPr>
              <w:t>Latin America Pawn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200"/>
              <w:spacing w:after="0"/>
              <w:rPr>
                <w:sz w:val="20"/>
                <w:szCs w:val="20"/>
                <w:color w:val="auto"/>
              </w:rPr>
            </w:pPr>
            <w:r>
              <w:rPr>
                <w:rFonts w:ascii="Arial" w:cs="Arial" w:eastAsia="Arial" w:hAnsi="Arial"/>
                <w:sz w:val="16"/>
                <w:szCs w:val="16"/>
                <w:color w:val="auto"/>
              </w:rPr>
              <w:t>Constant currency Latin America Pawn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49"/>
        </w:trPr>
        <w:tc>
          <w:tcPr>
            <w:tcW w:w="6220" w:type="dxa"/>
            <w:vAlign w:val="bottom"/>
          </w:tcPr>
          <w:p>
            <w:pPr>
              <w:spacing w:after="0"/>
              <w:rPr>
                <w:sz w:val="20"/>
                <w:szCs w:val="20"/>
                <w:color w:val="auto"/>
              </w:rPr>
            </w:pPr>
            <w:r>
              <w:rPr>
                <w:rFonts w:ascii="Arial" w:cs="Arial" w:eastAsia="Arial" w:hAnsi="Arial"/>
                <w:sz w:val="16"/>
                <w:szCs w:val="16"/>
                <w:color w:val="auto"/>
              </w:rPr>
              <w:t>Latin America Pawn PLO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200"/>
              <w:spacing w:after="0"/>
              <w:rPr>
                <w:sz w:val="20"/>
                <w:szCs w:val="20"/>
                <w:color w:val="auto"/>
              </w:rPr>
            </w:pPr>
            <w:r>
              <w:rPr>
                <w:rFonts w:ascii="Arial" w:cs="Arial" w:eastAsia="Arial" w:hAnsi="Arial"/>
                <w:sz w:val="16"/>
                <w:szCs w:val="16"/>
                <w:color w:val="auto"/>
              </w:rPr>
              <w:t>Constant currency Latin America Pawn PLO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49"/>
        </w:trPr>
        <w:tc>
          <w:tcPr>
            <w:tcW w:w="6220" w:type="dxa"/>
            <w:vAlign w:val="bottom"/>
          </w:tcPr>
          <w:p>
            <w:pPr>
              <w:spacing w:after="0"/>
              <w:rPr>
                <w:sz w:val="20"/>
                <w:szCs w:val="20"/>
                <w:color w:val="auto"/>
              </w:rPr>
            </w:pPr>
            <w:r>
              <w:rPr>
                <w:rFonts w:ascii="Arial" w:cs="Arial" w:eastAsia="Arial" w:hAnsi="Arial"/>
                <w:sz w:val="16"/>
                <w:szCs w:val="16"/>
                <w:color w:val="auto"/>
              </w:rPr>
              <w:t>Latin America Pawn PSC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200"/>
              <w:spacing w:after="0"/>
              <w:rPr>
                <w:sz w:val="20"/>
                <w:szCs w:val="20"/>
                <w:color w:val="auto"/>
              </w:rPr>
            </w:pPr>
            <w:r>
              <w:rPr>
                <w:rFonts w:ascii="Arial" w:cs="Arial" w:eastAsia="Arial" w:hAnsi="Arial"/>
                <w:sz w:val="16"/>
                <w:szCs w:val="16"/>
                <w:color w:val="auto"/>
              </w:rPr>
              <w:t>Constant currency Latin America Pawn PSC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49"/>
        </w:trPr>
        <w:tc>
          <w:tcPr>
            <w:tcW w:w="6220" w:type="dxa"/>
            <w:vAlign w:val="bottom"/>
          </w:tcPr>
          <w:p>
            <w:pPr>
              <w:spacing w:after="0"/>
              <w:rPr>
                <w:sz w:val="20"/>
                <w:szCs w:val="20"/>
                <w:color w:val="auto"/>
              </w:rPr>
            </w:pPr>
            <w:r>
              <w:rPr>
                <w:rFonts w:ascii="Arial" w:cs="Arial" w:eastAsia="Arial" w:hAnsi="Arial"/>
                <w:sz w:val="16"/>
                <w:szCs w:val="16"/>
                <w:color w:val="auto"/>
              </w:rPr>
              <w:t>Latin America Pawn 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200"/>
              <w:spacing w:after="0"/>
              <w:rPr>
                <w:sz w:val="20"/>
                <w:szCs w:val="20"/>
                <w:color w:val="auto"/>
              </w:rPr>
            </w:pPr>
            <w:r>
              <w:rPr>
                <w:rFonts w:ascii="Arial" w:cs="Arial" w:eastAsia="Arial" w:hAnsi="Arial"/>
                <w:sz w:val="16"/>
                <w:szCs w:val="16"/>
                <w:color w:val="auto"/>
              </w:rPr>
              <w:t>Constant currency Latin America Pawn merchandise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49"/>
        </w:trPr>
        <w:tc>
          <w:tcPr>
            <w:tcW w:w="6220" w:type="dxa"/>
            <w:vAlign w:val="bottom"/>
          </w:tcPr>
          <w:p>
            <w:pPr>
              <w:spacing w:after="0"/>
              <w:rPr>
                <w:sz w:val="20"/>
                <w:szCs w:val="20"/>
                <w:color w:val="auto"/>
              </w:rPr>
            </w:pPr>
            <w:r>
              <w:rPr>
                <w:rFonts w:ascii="Arial" w:cs="Arial" w:eastAsia="Arial" w:hAnsi="Arial"/>
                <w:sz w:val="16"/>
                <w:szCs w:val="16"/>
                <w:color w:val="auto"/>
              </w:rPr>
              <w:t>Latin America Pawn segment profit before tax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200"/>
              <w:spacing w:after="0"/>
              <w:rPr>
                <w:sz w:val="20"/>
                <w:szCs w:val="20"/>
                <w:color w:val="auto"/>
              </w:rPr>
            </w:pPr>
            <w:r>
              <w:rPr>
                <w:rFonts w:ascii="Arial" w:cs="Arial" w:eastAsia="Arial" w:hAnsi="Arial"/>
                <w:sz w:val="16"/>
                <w:szCs w:val="16"/>
                <w:color w:val="auto"/>
              </w:rPr>
              <w:t>Constant currency Latin America Pawn segment profit before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2026-05-06T15:45:46Z</dcterms:created>
  <dcterms:modified xsi:type="dcterms:W3CDTF">2026-05-06T15:45:46Z</dcterms:modified>
</cp:coreProperties>
</file>