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62"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3" w:lineRule="exact"/>
        <w:rPr>
          <w:sz w:val="24"/>
          <w:szCs w:val="24"/>
          <w:color w:val="auto"/>
        </w:rPr>
      </w:pPr>
    </w:p>
    <w:p>
      <w:pPr>
        <w:ind w:left="202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56"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ind w:left="202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61"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29" w:lineRule="exact"/>
        <w:rPr>
          <w:sz w:val="24"/>
          <w:szCs w:val="24"/>
          <w:color w:val="auto"/>
        </w:rPr>
      </w:pPr>
    </w:p>
    <w:p>
      <w:pPr>
        <w:jc w:val="center"/>
        <w:ind w:right="277"/>
        <w:spacing w:after="0" w:line="464" w:lineRule="auto"/>
        <w:rPr>
          <w:sz w:val="20"/>
          <w:szCs w:val="20"/>
          <w:color w:val="auto"/>
        </w:rPr>
      </w:pPr>
      <w:r>
        <w:rPr>
          <w:rFonts w:ascii="Times New Roman" w:cs="Times New Roman" w:eastAsia="Times New Roman" w:hAnsi="Times New Roman"/>
          <w:sz w:val="22"/>
          <w:szCs w:val="22"/>
          <w:b w:val="1"/>
          <w:bCs w:val="1"/>
          <w:color w:val="auto"/>
        </w:rPr>
        <w:t xml:space="preserve">PURSUANT TO SECTION 13 OR 15(d) OF THE SECURITIES EXCHANGE ACT OF 1934 </w:t>
      </w: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August 24, 2015</w:t>
      </w:r>
    </w:p>
    <w:p>
      <w:pPr>
        <w:spacing w:after="0" w:line="112" w:lineRule="exact"/>
        <w:rPr>
          <w:sz w:val="24"/>
          <w:szCs w:val="24"/>
          <w:color w:val="auto"/>
        </w:rPr>
      </w:pPr>
    </w:p>
    <w:p>
      <w:pPr>
        <w:ind w:left="202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52"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81" w:lineRule="exact"/>
        <w:rPr>
          <w:sz w:val="24"/>
          <w:szCs w:val="24"/>
          <w:color w:val="auto"/>
        </w:rPr>
      </w:pPr>
    </w:p>
    <w:p>
      <w:pPr>
        <w:ind w:left="252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72" w:lineRule="exact"/>
        <w:rPr>
          <w:sz w:val="24"/>
          <w:szCs w:val="24"/>
          <w:color w:val="auto"/>
        </w:rPr>
      </w:pPr>
    </w:p>
    <w:p>
      <w:pPr>
        <w:ind w:left="202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29" w:lineRule="exact"/>
        <w:rPr>
          <w:sz w:val="24"/>
          <w:szCs w:val="24"/>
          <w:color w:val="auto"/>
        </w:rPr>
      </w:pPr>
    </w:p>
    <w:tbl>
      <w:tblPr>
        <w:tblLayout w:type="fixed"/>
        <w:tblInd w:w="723" w:type="dxa"/>
        <w:tblCellMar>
          <w:top w:w="0" w:type="dxa"/>
          <w:left w:w="0" w:type="dxa"/>
          <w:bottom w:w="0" w:type="dxa"/>
          <w:right w:w="0" w:type="dxa"/>
        </w:tblCellMar>
      </w:tblPr>
      <w:tr>
        <w:trPr>
          <w:trHeight w:val="216"/>
        </w:trPr>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0-19424</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216"/>
        </w:trPr>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840" w:type="dxa"/>
            <w:vAlign w:val="bottom"/>
          </w:tcPr>
          <w:p>
            <w:pPr>
              <w:spacing w:after="0"/>
              <w:rPr>
                <w:sz w:val="20"/>
                <w:szCs w:val="20"/>
                <w:color w:val="auto"/>
              </w:rPr>
            </w:pP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29"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18"/>
          <w:szCs w:val="18"/>
          <w:b w:val="1"/>
          <w:bCs w:val="1"/>
          <w:color w:val="auto"/>
        </w:rPr>
        <w:t>1901 Capital Parkway, Austin, Texas 78746</w:t>
      </w:r>
    </w:p>
    <w:p>
      <w:pPr>
        <w:spacing w:after="0" w:line="223" w:lineRule="exact"/>
        <w:rPr>
          <w:sz w:val="24"/>
          <w:szCs w:val="24"/>
          <w:color w:val="auto"/>
        </w:rPr>
      </w:pPr>
    </w:p>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20" w:lineRule="exact"/>
        <w:rPr>
          <w:sz w:val="24"/>
          <w:szCs w:val="24"/>
          <w:color w:val="auto"/>
        </w:rPr>
      </w:pPr>
    </w:p>
    <w:p>
      <w:pPr>
        <w:ind w:left="192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314-3400</w:t>
      </w:r>
    </w:p>
    <w:p>
      <w:pPr>
        <w:spacing w:after="0" w:line="391" w:lineRule="exact"/>
        <w:rPr>
          <w:sz w:val="24"/>
          <w:szCs w:val="24"/>
          <w:color w:val="auto"/>
        </w:rPr>
      </w:pPr>
    </w:p>
    <w:p>
      <w:pPr>
        <w:ind w:left="2023"/>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33" w:lineRule="exact"/>
        <w:rPr>
          <w:sz w:val="24"/>
          <w:szCs w:val="24"/>
          <w:color w:val="auto"/>
        </w:rPr>
      </w:pPr>
    </w:p>
    <w:p>
      <w:pPr>
        <w:ind w:left="3"/>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37" w:lineRule="exact"/>
        <w:rPr>
          <w:sz w:val="24"/>
          <w:szCs w:val="24"/>
          <w:color w:val="auto"/>
        </w:rPr>
      </w:pPr>
    </w:p>
    <w:p>
      <w:pPr>
        <w:ind w:left="343" w:hanging="343"/>
        <w:spacing w:after="0"/>
        <w:tabs>
          <w:tab w:leader="none" w:pos="3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-436880</wp:posOffset>
            </wp:positionH>
            <wp:positionV relativeFrom="paragraph">
              <wp:posOffset>343535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257810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9323"/>
          </w:cols>
          <w:pgMar w:left="1437" w:top="822" w:right="113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05" w:lineRule="exact"/>
        <w:rPr>
          <w:sz w:val="20"/>
          <w:szCs w:val="20"/>
          <w:color w:val="auto"/>
        </w:rPr>
      </w:pPr>
    </w:p>
    <w:p>
      <w:pPr>
        <w:ind w:left="660" w:right="12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2015, Stephen M. Brown, Vice President of Finance and Chief Accounting Officer, informed the company that he is resigning, effective September 11, 2015, to take a senior management accounting position at another company. Mr. Brown has indicated that his resignation is not the result of any issues, concerns or disagreements with the company’s accounting or financial reporting practices, including issues involved in the pending restatement of certain company financial statements.</w:t>
      </w:r>
    </w:p>
    <w:p>
      <w:pPr>
        <w:spacing w:after="0" w:line="126"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Ashby, Chief Financial Officer, will assume the role of principal accounting officer (in addition to principal financial officer) as of September 11, 2015.</w:t>
      </w:r>
    </w:p>
    <w:p>
      <w:pPr>
        <w:spacing w:after="0" w:line="10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about Mr. Ashby's background and experience, as well as his compensation arrangements, see Item 5.02(c) of the company's Current Report on Form 8-K dated February 26, 2015, which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738"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Times New Roman" w:cs="Times New Roman" w:eastAsia="Times New Roman" w:hAnsi="Times New Roman"/>
          <w:sz w:val="18"/>
          <w:szCs w:val="18"/>
          <w:color w:val="auto"/>
        </w:rPr>
        <w:t>Date: August 27,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240" w:top="73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2020-01-24T11:59:10Z</dcterms:created>
  <dcterms:modified xsi:type="dcterms:W3CDTF">2020-01-24T11:59:10Z</dcterms:modified>
</cp:coreProperties>
</file>