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9e5bb697270540c0943c513034b487ab"/>
      <w:bookmarkStart w:id="1" w:name="a8-kearningsannouncementq3.htm"/>
      <w:bookmarkStart w:id="2" w:name="ksa8kearningsannouncementq3"/>
      <w:bookmarkStart w:id="3" w:name="s9e5bb697270540c0943c513034b487ab"/>
      <w:bookmarkStart w:id="4" w:name="a8-kearningsannouncementq3.htm"/>
      <w:bookmarkStart w:id="5" w:name="ksa8kearningsannouncementq3"/>
      <w:bookmarkEnd w:id="3"/>
      <w:bookmarkEnd w:id="4"/>
      <w:bookmarkEnd w:id="5"/>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sz w:val="20"/>
        </w:rPr>
      </w:pPr>
      <w:r>
        <w:rPr>
          <w:rFonts w:ascii="inherit" w:hAnsi="inherit"/>
          <w:b/>
          <w:sz w:val="20"/>
        </w:rPr>
        <w:t xml:space="preserve">Date of Report (Date of earliest event reported): </w:t>
      </w:r>
      <w:r>
        <w:rPr>
          <w:rFonts w:ascii="inherit" w:hAnsi="inherit"/>
          <w:b/>
          <w:strike w:val="false"/>
          <w:dstrike w:val="false"/>
          <w:color w:val="000000"/>
          <w:sz w:val="20"/>
          <w:u w:val="none"/>
          <w:effect w:val="none"/>
        </w:rPr>
        <w:t>July 30, 2013</w:t>
      </w:r>
      <w:r>
        <w:rPr>
          <w:sz w:val="20"/>
        </w:rPr>
        <w:t xml:space="preserve">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6" w:name="s0bdcc507c59047e48909cb8ce3966dbd"/>
      <w:bookmarkStart w:id="7" w:name="s0bdcc507c59047e48909cb8ce3966dbd"/>
      <w:bookmarkEnd w:id="7"/>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2.02 — Results of Operations and Financial Condition</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July 30, 2013</w:t>
      </w:r>
      <w:r>
        <w:rPr>
          <w:sz w:val="17"/>
        </w:rPr>
        <w:t xml:space="preserve"> </w:t>
      </w:r>
      <w:r>
        <w:rPr>
          <w:rFonts w:ascii="inherit" w:hAnsi="inherit"/>
          <w:sz w:val="17"/>
        </w:rPr>
        <w:t xml:space="preserve">EZCORP, Inc. issued a press release announcing its results of operations and financial condition for the third fiscal quarter and nine month period ended </w:t>
      </w:r>
      <w:r>
        <w:rPr>
          <w:rFonts w:ascii="inherit" w:hAnsi="inherit"/>
          <w:strike w:val="false"/>
          <w:dstrike w:val="false"/>
          <w:color w:val="000000"/>
          <w:sz w:val="17"/>
          <w:u w:val="none"/>
          <w:effect w:val="none"/>
        </w:rPr>
        <w:t>June 30, 2013</w:t>
      </w:r>
      <w:r>
        <w:rPr>
          <w:rFonts w:ascii="inherit" w:hAnsi="inherit"/>
          <w:sz w:val="17"/>
        </w:rPr>
        <w:t>. A copy of that press release is attached as Exhibit 99.1.</w:t>
      </w:r>
    </w:p>
    <w:p>
      <w:pPr>
        <w:pStyle w:val="TextBody"/>
        <w:spacing w:lineRule="auto" w:line="288" w:before="0" w:after="0"/>
        <w:rPr>
          <w:rFonts w:ascii="inherit" w:hAnsi="inherit"/>
          <w:sz w:val="17"/>
        </w:rPr>
      </w:pPr>
      <w:r>
        <w:rPr>
          <w:rFonts w:ascii="inherit" w:hAnsi="inherit"/>
          <w:sz w:val="17"/>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bookmarkStart w:id="8" w:name="sbce7c8ee78a34ac089ab906cecfa340e"/>
      <w:bookmarkStart w:id="9" w:name="sbce7c8ee78a34ac089ab906cecfa340e"/>
      <w:bookmarkEnd w:id="9"/>
    </w:p>
    <w:p>
      <w:pPr>
        <w:pStyle w:val="TextBody"/>
        <w:spacing w:lineRule="auto" w:line="288" w:before="0" w:after="0"/>
        <w:rPr>
          <w:rFonts w:ascii="inherit" w:hAnsi="inherit"/>
          <w:b/>
          <w:sz w:val="17"/>
        </w:rPr>
      </w:pPr>
      <w:r>
        <w:rPr>
          <w:rFonts w:ascii="inherit" w:hAnsi="inherit"/>
          <w:b/>
          <w:sz w:val="17"/>
        </w:rPr>
        <w:t>Item 9.01 Financial Statements and Exhibits.</w:t>
      </w:r>
    </w:p>
    <w:p>
      <w:pPr>
        <w:pStyle w:val="TextBody"/>
        <w:spacing w:lineRule="auto" w:line="288" w:before="0" w:after="0"/>
        <w:rPr>
          <w:rFonts w:ascii="inherit" w:hAnsi="inherit"/>
          <w:sz w:val="17"/>
        </w:rPr>
      </w:pPr>
      <w:r>
        <w:rPr>
          <w:rFonts w:ascii="inherit" w:hAnsi="inherit"/>
          <w:sz w:val="17"/>
        </w:rPr>
      </w:r>
    </w:p>
    <w:tbl>
      <w:tblPr>
        <w:tblW w:w="1000" w:type="dxa"/>
        <w:jc w:val="left"/>
        <w:tblInd w:w="0" w:type="dxa"/>
        <w:tblCellMar>
          <w:top w:w="0" w:type="dxa"/>
          <w:left w:w="0" w:type="dxa"/>
          <w:bottom w:w="0" w:type="dxa"/>
          <w:right w:w="0" w:type="dxa"/>
        </w:tblCellMar>
      </w:tblPr>
      <w:tblGrid>
        <w:gridCol w:w="260"/>
        <w:gridCol w:w="740"/>
      </w:tblGrid>
      <w:tr>
        <w:trPr/>
        <w:tc>
          <w:tcPr>
            <w:tcW w:w="2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(d)</w:t>
            </w:r>
          </w:p>
        </w:tc>
        <w:tc>
          <w:tcPr>
            <w:tcW w:w="7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Exhibits.</w:t>
            </w:r>
          </w:p>
        </w:tc>
      </w:tr>
    </w:tbl>
    <w:p>
      <w:pPr>
        <w:pStyle w:val="TextBody"/>
        <w:spacing w:lineRule="auto" w:line="288" w:before="0" w:after="0"/>
        <w:ind w:left="0" w:right="0" w:firstLine="60"/>
        <w:jc w:val="left"/>
        <w:rPr>
          <w:rFonts w:ascii="inherit" w:hAnsi="inherit"/>
          <w:sz w:val="17"/>
        </w:rPr>
      </w:pPr>
      <w:r>
        <w:rPr>
          <w:rFonts w:ascii="inherit" w:hAnsi="inherit"/>
          <w:sz w:val="17"/>
        </w:rPr>
      </w:r>
    </w:p>
    <w:tbl>
      <w:tblPr>
        <w:tblW w:w="9840" w:type="dxa"/>
        <w:jc w:val="left"/>
        <w:tblInd w:w="0" w:type="dxa"/>
        <w:tblCellMar>
          <w:top w:w="0" w:type="dxa"/>
          <w:left w:w="0" w:type="dxa"/>
          <w:bottom w:w="0" w:type="dxa"/>
          <w:right w:w="0" w:type="dxa"/>
        </w:tblCellMar>
      </w:tblPr>
      <w:tblGrid>
        <w:gridCol w:w="615"/>
        <w:gridCol w:w="9225"/>
      </w:tblGrid>
      <w:tr>
        <w:trPr/>
        <w:tc>
          <w:tcPr>
            <w:tcW w:w="9840"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vAlign w:val="center"/>
          </w:tcPr>
          <w:p>
            <w:pPr>
              <w:pStyle w:val="TableContents"/>
              <w:spacing w:before="0" w:after="283"/>
              <w:rPr>
                <w:sz w:val="4"/>
                <w:szCs w:val="4"/>
              </w:rPr>
            </w:pPr>
            <w:r>
              <w:rPr>
                <w:sz w:val="4"/>
                <w:szCs w:val="4"/>
              </w:rPr>
            </w:r>
          </w:p>
        </w:tc>
        <w:tc>
          <w:tcPr>
            <w:tcW w:w="92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99.1</w:t>
            </w:r>
          </w:p>
        </w:tc>
        <w:tc>
          <w:tcPr>
            <w:tcW w:w="9225" w:type="dxa"/>
            <w:tcBorders/>
            <w:shd w:fill="auto" w:val="clear"/>
            <w:vAlign w:val="center"/>
          </w:tcPr>
          <w:p>
            <w:pPr>
              <w:pStyle w:val="TableContents"/>
              <w:spacing w:before="0" w:after="0"/>
              <w:rPr>
                <w:rFonts w:ascii="inherit" w:hAnsi="inherit"/>
                <w:sz w:val="17"/>
              </w:rPr>
            </w:pPr>
            <w:r>
              <w:rPr>
                <w:rFonts w:ascii="inherit" w:hAnsi="inherit"/>
                <w:sz w:val="17"/>
              </w:rPr>
              <w:t>Press Release, dated July 30, 2013, announcing EZCORP, Inc.’s results of operations and financial condition for the third fiscal quarter and nine month period ended June 30, 2013.</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rFonts w:ascii="inherit" w:hAnsi="inherit"/>
          <w:sz w:val="17"/>
        </w:rPr>
      </w:pPr>
      <w:r>
        <w:rPr>
          <w:rFonts w:ascii="inherit" w:hAnsi="inherit"/>
          <w:sz w:val="17"/>
        </w:rPr>
      </w:r>
      <w:bookmarkStart w:id="10" w:name="sc25e7cf9f4a24625b0e56fd2e83de879"/>
      <w:bookmarkStart w:id="11" w:name="sc25e7cf9f4a24625b0e56fd2e83de879"/>
      <w:bookmarkEnd w:id="11"/>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649"/>
        <w:gridCol w:w="3819"/>
        <w:gridCol w:w="306"/>
        <w:gridCol w:w="502"/>
        <w:gridCol w:w="207"/>
        <w:gridCol w:w="527"/>
        <w:gridCol w:w="207"/>
        <w:gridCol w:w="398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9"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98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9" w:type="dxa"/>
            <w:tcBorders/>
            <w:shd w:fill="auto" w:val="clear"/>
            <w:vAlign w:val="center"/>
          </w:tcPr>
          <w:p>
            <w:pPr>
              <w:pStyle w:val="TableContents"/>
              <w:spacing w:before="0" w:after="0"/>
              <w:ind w:left="0" w:right="0" w:firstLine="30"/>
              <w:rPr/>
            </w:pPr>
            <w:r>
              <w:rPr/>
              <w:t> </w:t>
            </w:r>
          </w:p>
        </w:tc>
        <w:tc>
          <w:tcPr>
            <w:tcW w:w="3819"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jc w:val="left"/>
              <w:rPr/>
            </w:pPr>
            <w:r>
              <w:rPr/>
              <w:t> </w:t>
            </w:r>
          </w:p>
        </w:tc>
        <w:tc>
          <w:tcPr>
            <w:tcW w:w="502" w:type="dxa"/>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ind w:left="0" w:right="0" w:firstLine="30"/>
              <w:jc w:val="left"/>
              <w:rPr/>
            </w:pPr>
            <w:r>
              <w:rPr/>
              <w:t> </w:t>
            </w:r>
          </w:p>
        </w:tc>
        <w:tc>
          <w:tcPr>
            <w:tcW w:w="4722"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649" w:type="dxa"/>
            <w:tcBorders/>
            <w:shd w:fill="auto" w:val="clear"/>
            <w:vAlign w:val="center"/>
          </w:tcPr>
          <w:p>
            <w:pPr>
              <w:pStyle w:val="TableContents"/>
              <w:spacing w:before="0" w:after="0"/>
              <w:ind w:left="0" w:right="0" w:firstLine="30"/>
              <w:rPr/>
            </w:pPr>
            <w:r>
              <w:rPr/>
              <w:t> </w:t>
            </w:r>
          </w:p>
        </w:tc>
        <w:tc>
          <w:tcPr>
            <w:tcW w:w="3819" w:type="dxa"/>
            <w:tcBorders/>
            <w:shd w:fill="auto" w:val="clear"/>
            <w:vAlign w:val="center"/>
          </w:tcPr>
          <w:p>
            <w:pPr>
              <w:pStyle w:val="TableContents"/>
              <w:spacing w:before="0" w:after="0"/>
              <w:ind w:left="0" w:right="0" w:firstLine="30"/>
              <w:rPr/>
            </w:pPr>
            <w:r>
              <w:rPr/>
              <w:t> </w:t>
            </w:r>
          </w:p>
        </w:tc>
        <w:tc>
          <w:tcPr>
            <w:tcW w:w="808" w:type="dxa"/>
            <w:gridSpan w:val="2"/>
            <w:tcBorders/>
            <w:shd w:fill="auto" w:val="clear"/>
            <w:vAlign w:val="center"/>
          </w:tcPr>
          <w:p>
            <w:pPr>
              <w:pStyle w:val="TableContents"/>
              <w:spacing w:before="0" w:after="0"/>
              <w:ind w:left="0" w:right="0" w:firstLine="30"/>
              <w:rPr/>
            </w:pPr>
            <w:r>
              <w:rPr/>
              <w:t> </w:t>
            </w:r>
          </w:p>
        </w:tc>
        <w:tc>
          <w:tcPr>
            <w:tcW w:w="734" w:type="dxa"/>
            <w:gridSpan w:val="2"/>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ind w:left="0" w:right="0" w:firstLine="30"/>
              <w:rPr/>
            </w:pPr>
            <w:r>
              <w:rPr/>
              <w:t> </w:t>
            </w:r>
          </w:p>
        </w:tc>
        <w:tc>
          <w:tcPr>
            <w:tcW w:w="3988" w:type="dxa"/>
            <w:tcBorders/>
            <w:shd w:fill="auto" w:val="clear"/>
            <w:vAlign w:val="center"/>
          </w:tcPr>
          <w:p>
            <w:pPr>
              <w:pStyle w:val="TableContents"/>
              <w:spacing w:before="0" w:after="0"/>
              <w:ind w:left="0" w:right="0" w:firstLine="30"/>
              <w:rPr/>
            </w:pPr>
            <w:r>
              <w:rPr/>
              <w:t> </w:t>
            </w:r>
          </w:p>
        </w:tc>
      </w:tr>
      <w:tr>
        <w:trPr/>
        <w:tc>
          <w:tcPr>
            <w:tcW w:w="6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8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July 30, 2013</w:t>
            </w:r>
          </w:p>
        </w:tc>
        <w:tc>
          <w:tcPr>
            <w:tcW w:w="306" w:type="dxa"/>
            <w:tcBorders/>
            <w:shd w:fill="auto" w:val="clear"/>
            <w:vAlign w:val="center"/>
          </w:tcPr>
          <w:p>
            <w:pPr>
              <w:pStyle w:val="TableContents"/>
              <w:spacing w:before="0" w:after="0"/>
              <w:ind w:left="0" w:right="0" w:firstLine="30"/>
              <w:jc w:val="left"/>
              <w:rPr/>
            </w:pPr>
            <w:r>
              <w:rPr/>
              <w:t> </w:t>
            </w:r>
          </w:p>
        </w:tc>
        <w:tc>
          <w:tcPr>
            <w:tcW w:w="502" w:type="dxa"/>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ind w:left="0" w:right="0" w:firstLine="30"/>
              <w:jc w:val="left"/>
              <w:rPr/>
            </w:pPr>
            <w:r>
              <w:rPr/>
              <w:t> </w:t>
            </w:r>
          </w:p>
        </w:tc>
        <w:tc>
          <w:tcPr>
            <w:tcW w:w="5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07" w:type="dxa"/>
            <w:tcBorders/>
            <w:shd w:fill="auto" w:val="clear"/>
            <w:vAlign w:val="center"/>
          </w:tcPr>
          <w:p>
            <w:pPr>
              <w:pStyle w:val="TableContents"/>
              <w:spacing w:before="0" w:after="0"/>
              <w:ind w:left="0" w:right="0" w:firstLine="30"/>
              <w:jc w:val="left"/>
              <w:rPr/>
            </w:pPr>
            <w:r>
              <w:rPr/>
              <w:t> </w:t>
            </w:r>
          </w:p>
        </w:tc>
        <w:tc>
          <w:tcPr>
            <w:tcW w:w="398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/s/ Mark Kuchenrither</w:t>
            </w:r>
          </w:p>
        </w:tc>
      </w:tr>
      <w:tr>
        <w:trPr/>
        <w:tc>
          <w:tcPr>
            <w:tcW w:w="649" w:type="dxa"/>
            <w:tcBorders/>
            <w:shd w:fill="auto" w:val="clear"/>
            <w:vAlign w:val="center"/>
          </w:tcPr>
          <w:p>
            <w:pPr>
              <w:pStyle w:val="TableContents"/>
              <w:spacing w:before="0" w:after="0"/>
              <w:ind w:left="0" w:right="0" w:firstLine="30"/>
              <w:rPr/>
            </w:pPr>
            <w:r>
              <w:rPr/>
              <w:t> </w:t>
            </w:r>
          </w:p>
        </w:tc>
        <w:tc>
          <w:tcPr>
            <w:tcW w:w="3819"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jc w:val="left"/>
              <w:rPr/>
            </w:pPr>
            <w:r>
              <w:rPr/>
              <w:t> </w:t>
            </w:r>
          </w:p>
        </w:tc>
        <w:tc>
          <w:tcPr>
            <w:tcW w:w="502" w:type="dxa"/>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ind w:left="0" w:right="0" w:firstLine="30"/>
              <w:jc w:val="left"/>
              <w:rPr/>
            </w:pPr>
            <w:r>
              <w:rPr/>
              <w:t> </w:t>
            </w:r>
          </w:p>
        </w:tc>
        <w:tc>
          <w:tcPr>
            <w:tcW w:w="527" w:type="dxa"/>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ind w:left="0" w:right="0" w:firstLine="30"/>
              <w:jc w:val="left"/>
              <w:rPr/>
            </w:pPr>
            <w:r>
              <w:rPr/>
              <w:t> </w:t>
            </w:r>
          </w:p>
        </w:tc>
        <w:tc>
          <w:tcPr>
            <w:tcW w:w="39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r>
      <w:tr>
        <w:trPr/>
        <w:tc>
          <w:tcPr>
            <w:tcW w:w="649" w:type="dxa"/>
            <w:tcBorders/>
            <w:shd w:fill="auto" w:val="clear"/>
            <w:vAlign w:val="center"/>
          </w:tcPr>
          <w:p>
            <w:pPr>
              <w:pStyle w:val="TableContents"/>
              <w:spacing w:before="0" w:after="0"/>
              <w:ind w:left="0" w:right="0" w:firstLine="30"/>
              <w:rPr/>
            </w:pPr>
            <w:r>
              <w:rPr/>
              <w:t> </w:t>
            </w:r>
          </w:p>
        </w:tc>
        <w:tc>
          <w:tcPr>
            <w:tcW w:w="3819"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jc w:val="left"/>
              <w:rPr/>
            </w:pPr>
            <w:r>
              <w:rPr/>
              <w:t> </w:t>
            </w:r>
          </w:p>
        </w:tc>
        <w:tc>
          <w:tcPr>
            <w:tcW w:w="502" w:type="dxa"/>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ind w:left="0" w:right="0" w:firstLine="30"/>
              <w:jc w:val="left"/>
              <w:rPr/>
            </w:pPr>
            <w:r>
              <w:rPr/>
              <w:t> </w:t>
            </w:r>
          </w:p>
        </w:tc>
        <w:tc>
          <w:tcPr>
            <w:tcW w:w="527" w:type="dxa"/>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ind w:left="0" w:right="0" w:firstLine="30"/>
              <w:jc w:val="left"/>
              <w:rPr/>
            </w:pPr>
            <w:r>
              <w:rPr/>
              <w:t> </w:t>
            </w:r>
          </w:p>
        </w:tc>
        <w:tc>
          <w:tcPr>
            <w:tcW w:w="39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Executive Vice President and Chief Financial Officer</w:t>
            </w:r>
          </w:p>
        </w:tc>
      </w:tr>
      <w:tr>
        <w:trPr/>
        <w:tc>
          <w:tcPr>
            <w:tcW w:w="649" w:type="dxa"/>
            <w:tcBorders/>
            <w:shd w:fill="auto" w:val="clear"/>
            <w:vAlign w:val="center"/>
          </w:tcPr>
          <w:p>
            <w:pPr>
              <w:pStyle w:val="TableContents"/>
              <w:spacing w:before="0" w:after="0"/>
              <w:ind w:left="0" w:right="0" w:firstLine="30"/>
              <w:rPr/>
            </w:pPr>
            <w:r>
              <w:rPr/>
              <w:t> </w:t>
            </w:r>
          </w:p>
        </w:tc>
        <w:tc>
          <w:tcPr>
            <w:tcW w:w="3819" w:type="dxa"/>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rPr/>
            </w:pPr>
            <w:r>
              <w:rPr/>
              <w:t> </w:t>
            </w:r>
          </w:p>
        </w:tc>
        <w:tc>
          <w:tcPr>
            <w:tcW w:w="502" w:type="dxa"/>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ind w:left="0" w:right="0" w:firstLine="30"/>
              <w:rPr/>
            </w:pPr>
            <w:r>
              <w:rPr/>
              <w:t> </w:t>
            </w:r>
          </w:p>
        </w:tc>
        <w:tc>
          <w:tcPr>
            <w:tcW w:w="3988"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rFonts w:ascii="inherit" w:hAnsi="inherit"/>
          <w:sz w:val="17"/>
        </w:rPr>
      </w:pPr>
      <w:r>
        <w:rPr>
          <w:rFonts w:ascii="inherit" w:hAnsi="inherit"/>
          <w:sz w:val="17"/>
        </w:rPr>
      </w:r>
      <w:bookmarkStart w:id="12" w:name="s41a3c2f6aed84d76b38ed2791d8720d3"/>
      <w:bookmarkStart w:id="13" w:name="s41a3c2f6aed84d76b38ed2791d8720d3"/>
      <w:bookmarkEnd w:id="13"/>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r>
        <w:rPr>
          <w:rFonts w:ascii="inherit" w:hAnsi="inherit"/>
          <w:b/>
          <w:sz w:val="17"/>
        </w:rPr>
        <w:t>EXHIBIT INDEX</w:t>
      </w:r>
    </w:p>
    <w:tbl>
      <w:tblPr>
        <w:tblW w:w="10205" w:type="dxa"/>
        <w:jc w:val="center"/>
        <w:tblInd w:w="0" w:type="dxa"/>
        <w:tblCellMar>
          <w:top w:w="0" w:type="dxa"/>
          <w:left w:w="0" w:type="dxa"/>
          <w:bottom w:w="0" w:type="dxa"/>
          <w:right w:w="0" w:type="dxa"/>
        </w:tblCellMar>
      </w:tblPr>
      <w:tblGrid>
        <w:gridCol w:w="1476"/>
        <w:gridCol w:w="162"/>
        <w:gridCol w:w="856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47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5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76"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Exhibit</w:t>
            </w:r>
          </w:p>
          <w:p>
            <w:pPr>
              <w:pStyle w:val="TableContents"/>
              <w:spacing w:before="0" w:after="0"/>
              <w:ind w:left="0" w:right="0" w:firstLine="30"/>
              <w:jc w:val="center"/>
              <w:rPr>
                <w:rFonts w:ascii="inherit" w:hAnsi="inherit"/>
                <w:b/>
                <w:sz w:val="13"/>
              </w:rPr>
            </w:pPr>
            <w:r>
              <w:rPr>
                <w:rFonts w:ascii="inherit" w:hAnsi="inherit"/>
                <w:b/>
                <w:sz w:val="13"/>
              </w:rPr>
              <w:t>No.</w:t>
            </w:r>
          </w:p>
        </w:tc>
        <w:tc>
          <w:tcPr>
            <w:tcW w:w="162" w:type="dxa"/>
            <w:tcBorders/>
            <w:shd w:fill="auto" w:val="clear"/>
            <w:vAlign w:val="center"/>
          </w:tcPr>
          <w:p>
            <w:pPr>
              <w:pStyle w:val="TableContents"/>
              <w:spacing w:before="0" w:after="0"/>
              <w:ind w:left="0" w:right="0" w:firstLine="30"/>
              <w:jc w:val="left"/>
              <w:rPr/>
            </w:pPr>
            <w:r>
              <w:rPr/>
              <w:t>  </w:t>
            </w:r>
          </w:p>
        </w:tc>
        <w:tc>
          <w:tcPr>
            <w:tcW w:w="8567" w:type="dxa"/>
            <w:tcBorders/>
            <w:shd w:fill="auto" w:val="clear"/>
            <w:vAlign w:val="center"/>
          </w:tcPr>
          <w:p>
            <w:pPr>
              <w:pStyle w:val="TableContents"/>
              <w:spacing w:before="0" w:after="0"/>
              <w:ind w:left="0" w:right="0" w:firstLine="30"/>
              <w:jc w:val="center"/>
              <w:rPr>
                <w:rFonts w:ascii="inherit" w:hAnsi="inherit"/>
                <w:b/>
                <w:sz w:val="13"/>
                <w:u w:val="single"/>
              </w:rPr>
            </w:pPr>
            <w:r>
              <w:rPr>
                <w:rFonts w:ascii="inherit" w:hAnsi="inherit"/>
                <w:b/>
                <w:sz w:val="13"/>
                <w:u w:val="single"/>
              </w:rPr>
              <w:t>Description of Exhibit</w:t>
            </w:r>
          </w:p>
        </w:tc>
      </w:tr>
      <w:tr>
        <w:trPr/>
        <w:tc>
          <w:tcPr>
            <w:tcW w:w="1476"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ind w:left="0" w:right="0" w:firstLine="30"/>
              <w:rPr/>
            </w:pPr>
            <w:r>
              <w:rPr/>
              <w:t> </w:t>
            </w:r>
          </w:p>
        </w:tc>
        <w:tc>
          <w:tcPr>
            <w:tcW w:w="8567" w:type="dxa"/>
            <w:tcBorders/>
            <w:shd w:fill="auto" w:val="clear"/>
            <w:vAlign w:val="center"/>
          </w:tcPr>
          <w:p>
            <w:pPr>
              <w:pStyle w:val="TableContents"/>
              <w:spacing w:before="0" w:after="0"/>
              <w:ind w:left="0" w:right="0" w:firstLine="30"/>
              <w:rPr/>
            </w:pPr>
            <w:r>
              <w:rPr/>
              <w:t> </w:t>
            </w:r>
          </w:p>
        </w:tc>
      </w:tr>
      <w:tr>
        <w:trPr/>
        <w:tc>
          <w:tcPr>
            <w:tcW w:w="147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162" w:type="dxa"/>
            <w:tcBorders/>
            <w:shd w:fill="auto" w:val="clear"/>
            <w:vAlign w:val="center"/>
          </w:tcPr>
          <w:p>
            <w:pPr>
              <w:pStyle w:val="TableContents"/>
              <w:spacing w:before="0" w:after="0"/>
              <w:ind w:left="0" w:right="0" w:firstLine="30"/>
              <w:jc w:val="left"/>
              <w:rPr/>
            </w:pPr>
            <w:r>
              <w:rPr/>
              <w:t>  </w:t>
            </w:r>
          </w:p>
        </w:tc>
        <w:tc>
          <w:tcPr>
            <w:tcW w:w="8567" w:type="dxa"/>
            <w:tcBorders/>
            <w:shd w:fill="auto" w:val="clear"/>
            <w:vAlign w:val="center"/>
          </w:tcPr>
          <w:p>
            <w:pPr>
              <w:pStyle w:val="TableContents"/>
              <w:spacing w:before="0" w:after="0"/>
              <w:rPr>
                <w:rFonts w:ascii="inherit" w:hAnsi="inherit"/>
                <w:sz w:val="17"/>
              </w:rPr>
            </w:pPr>
            <w:r>
              <w:rPr>
                <w:rFonts w:ascii="inherit" w:hAnsi="inherit"/>
                <w:sz w:val="17"/>
              </w:rPr>
              <w:t>Press Release, dated July 30, 2013, announcing EZCORP, Inc.’s results of operations and financial condition for the third fiscal quarter and nine month period ended June 30, 2013.</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rFonts w:ascii="inherit" w:hAnsi="inherit"/>
          <w:sz w:val="17"/>
        </w:rPr>
      </w:pPr>
      <w:r>
        <w:rPr>
          <w:rFonts w:ascii="inherit" w:hAnsi="inherit"/>
          <w:sz w:val="17"/>
        </w:rPr>
      </w:r>
      <w:bookmarkStart w:id="14" w:name="sB6725E74B613FF545797CD294A193707"/>
      <w:bookmarkStart w:id="15" w:name="ezpw06302013ex991.htm"/>
      <w:bookmarkStart w:id="16" w:name="ksezpw06302013ex991"/>
      <w:bookmarkStart w:id="17" w:name="sB6725E74B613FF545797CD294A193707"/>
      <w:bookmarkStart w:id="18" w:name="ezpw06302013ex991.htm"/>
      <w:bookmarkStart w:id="19" w:name="ksezpw06302013ex991"/>
      <w:bookmarkEnd w:id="17"/>
      <w:bookmarkEnd w:id="18"/>
      <w:bookmarkEnd w:id="19"/>
    </w:p>
    <w:p>
      <w:pPr>
        <w:pStyle w:val="TextBody"/>
        <w:spacing w:before="0" w:after="0"/>
        <w:rPr/>
      </w:pPr>
      <w:r>
        <w:rPr/>
      </w:r>
    </w:p>
    <w:p>
      <w:pPr>
        <w:pStyle w:val="TextBody"/>
        <w:spacing w:lineRule="auto" w:line="288" w:before="0" w:after="0"/>
        <w:jc w:val="right"/>
        <w:rPr>
          <w:rFonts w:ascii="inherit" w:hAnsi="inherit"/>
          <w:b/>
          <w:sz w:val="20"/>
        </w:rPr>
      </w:pPr>
      <w:r>
        <w:rPr>
          <w:rFonts w:ascii="inherit" w:hAnsi="inherit"/>
          <w:b/>
          <w:sz w:val="20"/>
        </w:rPr>
        <w:t>Exhibit 99.1</w:t>
      </w:r>
    </w:p>
    <w:p>
      <w:pPr>
        <w:pStyle w:val="TextBody"/>
        <w:spacing w:lineRule="auto" w:line="288" w:before="0" w:after="0"/>
        <w:jc w:val="center"/>
        <w:rPr>
          <w:rFonts w:ascii="inherit" w:hAnsi="inherit"/>
          <w:sz w:val="30"/>
        </w:rPr>
      </w:pPr>
      <w:r>
        <w:rPr>
          <w:rFonts w:ascii="inherit" w:hAnsi="inherit"/>
          <w:sz w:val="30"/>
        </w:rPr>
      </w:r>
    </w:p>
    <w:p>
      <w:pPr>
        <w:pStyle w:val="TextBody"/>
        <w:spacing w:lineRule="auto" w:line="288" w:before="0" w:after="0"/>
        <w:jc w:val="center"/>
        <w:rPr>
          <w:rFonts w:ascii="inherit" w:hAnsi="inherit"/>
          <w:sz w:val="30"/>
        </w:rPr>
      </w:pPr>
      <w:r>
        <w:rPr>
          <w:rFonts w:ascii="inherit" w:hAnsi="inherit"/>
          <w:sz w:val="30"/>
        </w:rPr>
      </w:r>
    </w:p>
    <w:p>
      <w:pPr>
        <w:pStyle w:val="TextBody"/>
        <w:spacing w:lineRule="auto" w:line="288" w:before="0" w:after="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jc w:val="center"/>
        <w:rPr>
          <w:rFonts w:ascii="inherit" w:hAnsi="inherit"/>
          <w:b/>
          <w:sz w:val="23"/>
        </w:rPr>
      </w:pPr>
      <w:r>
        <w:rPr>
          <w:rFonts w:ascii="inherit" w:hAnsi="inherit"/>
          <w:b/>
          <w:sz w:val="23"/>
        </w:rPr>
        <w:t>EZCORP ANNOUNCES GROWTH IN REVENUES AND EARNING ASSETS FOR ITS FISCAL THIRD QUARTER OF 2013</w:t>
      </w:r>
    </w:p>
    <w:p>
      <w:pPr>
        <w:pStyle w:val="TextBody"/>
        <w:spacing w:lineRule="auto" w:line="288" w:before="0" w:after="0"/>
        <w:jc w:val="center"/>
        <w:rPr>
          <w:rFonts w:ascii="inherit" w:hAnsi="inherit"/>
          <w:i/>
          <w:sz w:val="18"/>
        </w:rPr>
      </w:pPr>
      <w:r>
        <w:rPr>
          <w:rFonts w:ascii="inherit" w:hAnsi="inherit"/>
          <w:i/>
          <w:sz w:val="18"/>
        </w:rPr>
        <w:t>EZCORP continues to execute on its strategic plan as the market leader in delivering easy cash solutions through its growing store fronts, online channels, and expanding product lines</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both"/>
        <w:rPr>
          <w:sz w:val="20"/>
        </w:rPr>
      </w:pPr>
      <w:r>
        <w:rPr>
          <w:rFonts w:ascii="inherit" w:hAnsi="inherit"/>
          <w:b/>
          <w:sz w:val="20"/>
        </w:rPr>
        <w:t>AUSTIN, Texas (</w:t>
      </w:r>
      <w:r>
        <w:rPr>
          <w:rFonts w:ascii="inherit" w:hAnsi="inherit"/>
          <w:b/>
          <w:strike w:val="false"/>
          <w:dstrike w:val="false"/>
          <w:color w:val="000000"/>
          <w:sz w:val="20"/>
          <w:u w:val="none"/>
          <w:effect w:val="none"/>
        </w:rPr>
        <w:t>July 30, 2013</w:t>
      </w:r>
      <w:r>
        <w:rPr>
          <w:rFonts w:ascii="inherit" w:hAnsi="inherit"/>
          <w:b/>
          <w:sz w:val="20"/>
        </w:rPr>
        <w:t>)</w:t>
      </w:r>
      <w:r>
        <w:rPr>
          <w:sz w:val="20"/>
        </w:rPr>
        <w:t xml:space="preserve"> — </w:t>
      </w:r>
      <w:r>
        <w:rPr>
          <w:rFonts w:ascii="inherit" w:hAnsi="inherit"/>
          <w:sz w:val="20"/>
        </w:rPr>
        <w:t xml:space="preserve">EZCORP, Inc. (NASDAQ: EZPW), a leading provider of easy cash solutions for consumers, announced total revenues from continuing operations for its </w:t>
      </w:r>
      <w:r>
        <w:rPr>
          <w:rFonts w:ascii="inherit" w:hAnsi="inherit"/>
          <w:strike w:val="false"/>
          <w:dstrike w:val="false"/>
          <w:color w:val="000000"/>
          <w:sz w:val="20"/>
          <w:u w:val="none"/>
          <w:effect w:val="none"/>
        </w:rPr>
        <w:t>third</w:t>
      </w:r>
      <w:r>
        <w:rPr>
          <w:sz w:val="20"/>
        </w:rPr>
        <w:t xml:space="preserve"> </w:t>
      </w:r>
      <w:r>
        <w:rPr>
          <w:rFonts w:ascii="inherit" w:hAnsi="inherit"/>
          <w:sz w:val="20"/>
        </w:rPr>
        <w:t xml:space="preserve">fiscal quarter ended </w:t>
      </w:r>
      <w:r>
        <w:rPr>
          <w:rFonts w:ascii="inherit" w:hAnsi="inherit"/>
          <w:strike w:val="false"/>
          <w:dstrike w:val="false"/>
          <w:color w:val="000000"/>
          <w:sz w:val="20"/>
          <w:u w:val="none"/>
          <w:effect w:val="none"/>
        </w:rPr>
        <w:t>June 30, 2013</w:t>
      </w:r>
      <w:r>
        <w:rPr>
          <w:sz w:val="20"/>
        </w:rPr>
        <w:t xml:space="preserve"> </w:t>
      </w:r>
      <w:r>
        <w:rPr>
          <w:rFonts w:ascii="inherit" w:hAnsi="inherit"/>
          <w:sz w:val="20"/>
        </w:rPr>
        <w:t xml:space="preserve">increased 5% to </w:t>
      </w:r>
      <w:r>
        <w:rPr>
          <w:rFonts w:ascii="inherit" w:hAnsi="inherit"/>
          <w:strike w:val="false"/>
          <w:dstrike w:val="false"/>
          <w:color w:val="000000"/>
          <w:sz w:val="20"/>
          <w:u w:val="none"/>
          <w:effect w:val="none"/>
        </w:rPr>
        <w:t>$235 million</w:t>
      </w:r>
      <w:r>
        <w:rPr>
          <w:rFonts w:ascii="inherit" w:hAnsi="inherit"/>
          <w:sz w:val="20"/>
        </w:rPr>
        <w:t xml:space="preserve">. Excluding gold scrapping revenues, total revenues were up 13%. Earning assets increased 21% over last year. Net income from continuing operations was $16 million, or </w:t>
      </w:r>
      <w:r>
        <w:rPr>
          <w:rFonts w:ascii="inherit" w:hAnsi="inherit"/>
          <w:strike w:val="false"/>
          <w:dstrike w:val="false"/>
          <w:color w:val="000000"/>
          <w:sz w:val="20"/>
          <w:u w:val="none"/>
          <w:effect w:val="none"/>
        </w:rPr>
        <w:t>$0.29</w:t>
      </w:r>
      <w:r>
        <w:rPr>
          <w:sz w:val="20"/>
        </w:rPr>
        <w:t xml:space="preserve"> </w:t>
      </w:r>
      <w:r>
        <w:rPr>
          <w:rFonts w:ascii="inherit" w:hAnsi="inherit"/>
          <w:sz w:val="20"/>
        </w:rPr>
        <w:t>per share. The negative impact of the gold marketplace in the quarter was roughly $10 million in net income and $0.18 in earnings per share. The quarter also included one-time charges related to expense reduction in continuing operations and other investment costs, which reduced earnings per share by $0.02.</w:t>
      </w:r>
    </w:p>
    <w:p>
      <w:pPr>
        <w:pStyle w:val="TextBody"/>
        <w:spacing w:lineRule="auto" w:line="288" w:before="0" w:after="0"/>
        <w:jc w:val="both"/>
        <w:rPr>
          <w:sz w:val="20"/>
        </w:rPr>
      </w:pPr>
      <w:r>
        <w:rPr>
          <w:rFonts w:ascii="inherit" w:hAnsi="inherit"/>
          <w:sz w:val="20"/>
        </w:rPr>
        <w:t xml:space="preserve">During the quarter, the company implemented a plan to exit certain components of its business and close over 100 legacy stores that did not fit the company's future growth profile. In connection with the reorganization, the company recorded a charge of $21 million net of taxes, or $0.40 per share, resulting in a total net loss for the quarter of </w:t>
      </w:r>
      <w:r>
        <w:rPr>
          <w:rFonts w:ascii="inherit" w:hAnsi="inherit"/>
          <w:strike w:val="false"/>
          <w:dstrike w:val="false"/>
          <w:color w:val="000000"/>
          <w:sz w:val="20"/>
          <w:u w:val="none"/>
          <w:effect w:val="none"/>
        </w:rPr>
        <w:t>$6 million</w:t>
      </w:r>
      <w:r>
        <w:rPr>
          <w:rFonts w:ascii="inherit" w:hAnsi="inherit"/>
          <w:sz w:val="20"/>
        </w:rPr>
        <w:t xml:space="preserve">, or </w:t>
      </w:r>
      <w:r>
        <w:rPr>
          <w:rFonts w:ascii="inherit" w:hAnsi="inherit"/>
          <w:strike w:val="false"/>
          <w:dstrike w:val="false"/>
          <w:color w:val="000000"/>
          <w:sz w:val="20"/>
          <w:u w:val="none"/>
          <w:effect w:val="none"/>
        </w:rPr>
        <w:t>$0.11</w:t>
      </w:r>
      <w:r>
        <w:rPr>
          <w:sz w:val="20"/>
        </w:rPr>
        <w:t xml:space="preserve"> </w:t>
      </w:r>
      <w:r>
        <w:rPr>
          <w:rFonts w:ascii="inherit" w:hAnsi="inherit"/>
          <w:sz w:val="20"/>
        </w:rPr>
        <w:t>per share.</w:t>
      </w:r>
    </w:p>
    <w:p>
      <w:pPr>
        <w:pStyle w:val="TextBody"/>
        <w:spacing w:lineRule="auto" w:line="288" w:before="0" w:after="0"/>
        <w:jc w:val="both"/>
        <w:rPr>
          <w:sz w:val="20"/>
        </w:rPr>
      </w:pPr>
      <w:r>
        <w:rPr>
          <w:rFonts w:ascii="inherit" w:hAnsi="inherit"/>
          <w:sz w:val="20"/>
        </w:rPr>
        <w:t xml:space="preserve">The company also continued its strategic plan to diversify geographically, add new channels, and broaden its product lines. So far this fiscal year, the company has added </w:t>
      </w:r>
      <w:r>
        <w:rPr>
          <w:rFonts w:ascii="inherit" w:hAnsi="inherit"/>
          <w:strike w:val="false"/>
          <w:dstrike w:val="false"/>
          <w:color w:val="000000"/>
          <w:sz w:val="20"/>
          <w:u w:val="none"/>
          <w:effect w:val="none"/>
        </w:rPr>
        <w:t>172</w:t>
      </w:r>
      <w:r>
        <w:rPr>
          <w:sz w:val="20"/>
        </w:rPr>
        <w:t xml:space="preserve"> </w:t>
      </w:r>
      <w:r>
        <w:rPr>
          <w:rFonts w:ascii="inherit" w:hAnsi="inherit"/>
          <w:sz w:val="20"/>
        </w:rPr>
        <w:t>locations, 93 of which are outside the United States; has introduced multiple new products to serve both domestic and international customers; and has added a U.S. online lending channel to complement its existing U.K. online lending business.</w:t>
      </w:r>
    </w:p>
    <w:p>
      <w:pPr>
        <w:pStyle w:val="TextBody"/>
        <w:spacing w:lineRule="auto" w:line="288" w:before="0" w:after="0"/>
        <w:jc w:val="both"/>
        <w:rPr>
          <w:rFonts w:ascii="inherit" w:hAnsi="inherit"/>
          <w:i/>
          <w:sz w:val="18"/>
        </w:rPr>
      </w:pPr>
      <w:r>
        <w:rPr>
          <w:rFonts w:ascii="inherit" w:hAnsi="inherit"/>
          <w:i/>
          <w:sz w:val="18"/>
        </w:rPr>
        <w:t>The following metrics refer to continuing operations, unless otherwise noted. The store count activity attached does not exclude the stores that are part of the discontinued operations.</w:t>
      </w:r>
    </w:p>
    <w:p>
      <w:pPr>
        <w:pStyle w:val="TextBody"/>
        <w:spacing w:lineRule="auto" w:line="288" w:before="0" w:after="0"/>
        <w:jc w:val="both"/>
        <w:rPr>
          <w:sz w:val="20"/>
        </w:rPr>
      </w:pPr>
      <w:r>
        <w:rPr>
          <w:rFonts w:ascii="inherit" w:hAnsi="inherit"/>
          <w:b/>
          <w:sz w:val="20"/>
          <w:u w:val="single"/>
        </w:rPr>
        <w:t xml:space="preserve">Consolidated Financial Highlights — </w:t>
      </w:r>
      <w:r>
        <w:rPr>
          <w:rFonts w:ascii="inherit" w:hAnsi="inherit"/>
          <w:b/>
          <w:color w:val="000000"/>
          <w:sz w:val="20"/>
          <w:u w:val="single"/>
        </w:rPr>
        <w:t>Third</w:t>
      </w:r>
      <w:r>
        <w:rPr>
          <w:sz w:val="20"/>
          <w:u w:val="single"/>
        </w:rPr>
        <w:t xml:space="preserve"> </w:t>
      </w:r>
      <w:r>
        <w:rPr>
          <w:rFonts w:ascii="inherit" w:hAnsi="inherit"/>
          <w:b/>
          <w:sz w:val="20"/>
          <w:u w:val="single"/>
        </w:rPr>
        <w:t>Quarter of Fiscal 2013 vs. Prior Year Quarter</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sz w:val="20"/>
              </w:rPr>
              <w:t xml:space="preserve">Total revenues were </w:t>
            </w:r>
            <w:r>
              <w:rPr>
                <w:rFonts w:ascii="inherit" w:hAnsi="inherit"/>
                <w:strike w:val="false"/>
                <w:dstrike w:val="false"/>
                <w:color w:val="000000"/>
                <w:sz w:val="20"/>
                <w:u w:val="none"/>
                <w:effect w:val="none"/>
              </w:rPr>
              <w:t>$235 million</w:t>
            </w:r>
            <w:r>
              <w:rPr>
                <w:rFonts w:ascii="inherit" w:hAnsi="inherit"/>
                <w:sz w:val="20"/>
              </w:rPr>
              <w:t xml:space="preserve">, an increase of </w:t>
            </w:r>
            <w:r>
              <w:rPr>
                <w:rFonts w:ascii="inherit" w:hAnsi="inherit"/>
                <w:strike w:val="false"/>
                <w:dstrike w:val="false"/>
                <w:color w:val="000000"/>
                <w:sz w:val="20"/>
                <w:u w:val="none"/>
                <w:effect w:val="none"/>
              </w:rPr>
              <w:t>5%</w:t>
            </w:r>
            <w:r>
              <w:rPr>
                <w:rFonts w:ascii="inherit" w:hAnsi="inherit"/>
                <w:sz w:val="20"/>
              </w:rPr>
              <w:t>, representing growth across all business segments. Excluding gold scrapping, total revenues were up 13%.</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sz w:val="20"/>
              </w:rPr>
              <w:t xml:space="preserve">Earning assets (which consist of pawn loans, consumer loans and inventory on the balance sheet, combined with CSO loans not on the balance sheet, net of reserves) were </w:t>
            </w:r>
            <w:r>
              <w:rPr>
                <w:rFonts w:ascii="inherit" w:hAnsi="inherit"/>
                <w:strike w:val="false"/>
                <w:dstrike w:val="false"/>
                <w:color w:val="000000"/>
                <w:sz w:val="20"/>
                <w:u w:val="none"/>
                <w:effect w:val="none"/>
              </w:rPr>
              <w:t>$416 million</w:t>
            </w:r>
            <w:r>
              <w:rPr>
                <w:rFonts w:ascii="inherit" w:hAnsi="inherit"/>
                <w:sz w:val="20"/>
              </w:rPr>
              <w:t>, an increase of 21%. This was a result of increases in all categories of earning assets, including pawn, payday, installment, and auto title loans, as well as inventory in the U.S. and Mexico.</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sz w:val="20"/>
              </w:rPr>
              <w:t xml:space="preserve">Net income declined mainly due to the previously announced impact of volatility in the gold market in both the U.S. and Mexico, which caused a deterioration of approximately $15 million in consolidated net revenues. It was also impacted by one-time investment, and expense reduction costs of $2 million. Net income from continuing operations was </w:t>
            </w:r>
            <w:r>
              <w:rPr>
                <w:rFonts w:ascii="inherit" w:hAnsi="inherit"/>
                <w:strike w:val="false"/>
                <w:dstrike w:val="false"/>
                <w:color w:val="000000"/>
                <w:sz w:val="20"/>
                <w:u w:val="none"/>
                <w:effect w:val="none"/>
              </w:rPr>
              <w:t>$16 million</w:t>
            </w:r>
            <w:r>
              <w:rPr>
                <w:rFonts w:ascii="inherit" w:hAnsi="inherit"/>
                <w:sz w:val="20"/>
              </w:rPr>
              <w:t xml:space="preserve">, down 48%. </w:t>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20" w:name="sB6725E74B613FF545797CD294A1937071"/>
      <w:bookmarkStart w:id="21" w:name="sB6725E74B613FF545797CD294A1937071"/>
      <w:bookmarkEnd w:id="21"/>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sz w:val="20"/>
              </w:rPr>
              <w:t xml:space="preserve">Cash and cash equivalents, including restricted cash, were </w:t>
            </w:r>
            <w:r>
              <w:rPr>
                <w:rFonts w:ascii="inherit" w:hAnsi="inherit"/>
                <w:strike w:val="false"/>
                <w:dstrike w:val="false"/>
                <w:color w:val="000000"/>
                <w:sz w:val="20"/>
                <w:u w:val="none"/>
                <w:effect w:val="none"/>
              </w:rPr>
              <w:t>$51 million</w:t>
            </w:r>
            <w:r>
              <w:rPr>
                <w:sz w:val="20"/>
              </w:rPr>
              <w:t xml:space="preserve"> </w:t>
            </w:r>
            <w:r>
              <w:rPr>
                <w:rFonts w:ascii="inherit" w:hAnsi="inherit"/>
                <w:sz w:val="20"/>
              </w:rPr>
              <w:t xml:space="preserve">at quarter-end, with debt of </w:t>
            </w:r>
            <w:r>
              <w:rPr>
                <w:rFonts w:ascii="inherit" w:hAnsi="inherit"/>
                <w:strike w:val="false"/>
                <w:dstrike w:val="false"/>
                <w:color w:val="000000"/>
                <w:sz w:val="20"/>
                <w:u w:val="none"/>
                <w:effect w:val="none"/>
              </w:rPr>
              <w:t>$232 million</w:t>
            </w:r>
            <w:r>
              <w:rPr>
                <w:rFonts w:ascii="inherit" w:hAnsi="inherit"/>
                <w:sz w:val="20"/>
              </w:rPr>
              <w:t xml:space="preserve">, including </w:t>
            </w:r>
            <w:r>
              <w:rPr>
                <w:rFonts w:ascii="inherit" w:hAnsi="inherit"/>
                <w:strike w:val="false"/>
                <w:dstrike w:val="false"/>
                <w:color w:val="000000"/>
                <w:sz w:val="20"/>
                <w:u w:val="none"/>
                <w:effect w:val="none"/>
              </w:rPr>
              <w:t>$109 million</w:t>
            </w:r>
            <w:r>
              <w:rPr>
                <w:sz w:val="20"/>
              </w:rPr>
              <w:t xml:space="preserve"> </w:t>
            </w:r>
            <w:r>
              <w:rPr>
                <w:rFonts w:ascii="inherit" w:hAnsi="inherit"/>
                <w:sz w:val="20"/>
              </w:rPr>
              <w:t xml:space="preserve">of Grupo Finmart third-party debt, which is non-recourse to EZCORP. </w:t>
            </w:r>
          </w:p>
        </w:tc>
      </w:tr>
    </w:tbl>
    <w:p>
      <w:pPr>
        <w:pStyle w:val="TextBody"/>
        <w:spacing w:lineRule="auto" w:line="288" w:before="0" w:after="0"/>
        <w:jc w:val="both"/>
        <w:rPr>
          <w:rFonts w:ascii="inherit" w:hAnsi="inherit"/>
          <w:b/>
          <w:sz w:val="20"/>
          <w:u w:val="single"/>
        </w:rPr>
      </w:pPr>
      <w:bookmarkStart w:id="22" w:name="s3A0A42DB5509CE713236CD294A3BE5EE"/>
      <w:bookmarkEnd w:id="22"/>
      <w:r>
        <w:rPr>
          <w:rFonts w:ascii="inherit" w:hAnsi="inherit"/>
          <w:b/>
          <w:sz w:val="20"/>
          <w:u w:val="single"/>
        </w:rPr>
        <w:t>U.S. &amp; Canada — Growth in Loan Balances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 xml:space="preserve">De Novo Growth — </w:t>
            </w:r>
            <w:r>
              <w:rPr>
                <w:rFonts w:ascii="inherit" w:hAnsi="inherit"/>
                <w:sz w:val="20"/>
              </w:rPr>
              <w:t xml:space="preserve">During the quarter, the company added </w:t>
            </w:r>
            <w:r>
              <w:rPr>
                <w:rFonts w:ascii="inherit" w:hAnsi="inherit"/>
                <w:strike w:val="false"/>
                <w:dstrike w:val="false"/>
                <w:color w:val="000000"/>
                <w:sz w:val="20"/>
                <w:u w:val="none"/>
                <w:effect w:val="none"/>
              </w:rPr>
              <w:t>5</w:t>
            </w:r>
            <w:r>
              <w:rPr>
                <w:sz w:val="20"/>
              </w:rPr>
              <w:t xml:space="preserve"> </w:t>
            </w:r>
            <w:r>
              <w:rPr>
                <w:rFonts w:ascii="inherit" w:hAnsi="inherit"/>
                <w:sz w:val="20"/>
              </w:rPr>
              <w:t xml:space="preserve">new locations in the U.S. &amp; Canada segment. During the nine-month period ended </w:t>
            </w:r>
            <w:r>
              <w:rPr>
                <w:rFonts w:ascii="inherit" w:hAnsi="inherit"/>
                <w:strike w:val="false"/>
                <w:dstrike w:val="false"/>
                <w:color w:val="000000"/>
                <w:sz w:val="20"/>
                <w:u w:val="none"/>
                <w:effect w:val="none"/>
              </w:rPr>
              <w:t>June 30, 2013</w:t>
            </w:r>
            <w:r>
              <w:rPr>
                <w:rFonts w:ascii="inherit" w:hAnsi="inherit"/>
                <w:sz w:val="20"/>
              </w:rPr>
              <w:t xml:space="preserve">, the company added a total of </w:t>
            </w:r>
            <w:r>
              <w:rPr>
                <w:rFonts w:ascii="inherit" w:hAnsi="inherit"/>
                <w:strike w:val="false"/>
                <w:dstrike w:val="false"/>
                <w:color w:val="000000"/>
                <w:sz w:val="20"/>
                <w:u w:val="none"/>
                <w:effect w:val="none"/>
              </w:rPr>
              <w:t>80</w:t>
            </w:r>
            <w:r>
              <w:rPr>
                <w:sz w:val="20"/>
              </w:rPr>
              <w:t xml:space="preserve"> </w:t>
            </w:r>
            <w:r>
              <w:rPr>
                <w:rFonts w:ascii="inherit" w:hAnsi="inherit"/>
                <w:sz w:val="20"/>
              </w:rPr>
              <w:t xml:space="preserve">locations in the U.S. &amp; Canada segment, consisting of </w:t>
            </w:r>
            <w:r>
              <w:rPr>
                <w:rFonts w:ascii="inherit" w:hAnsi="inherit"/>
                <w:strike w:val="false"/>
                <w:dstrike w:val="false"/>
                <w:color w:val="000000"/>
                <w:sz w:val="20"/>
                <w:u w:val="none"/>
                <w:effect w:val="none"/>
              </w:rPr>
              <w:t>24</w:t>
            </w:r>
            <w:r>
              <w:rPr>
                <w:sz w:val="20"/>
              </w:rPr>
              <w:t xml:space="preserve"> </w:t>
            </w:r>
            <w:r>
              <w:rPr>
                <w:rFonts w:ascii="inherit" w:hAnsi="inherit"/>
                <w:sz w:val="20"/>
              </w:rPr>
              <w:t xml:space="preserve">pawn stores and </w:t>
            </w:r>
            <w:r>
              <w:rPr>
                <w:rFonts w:ascii="inherit" w:hAnsi="inherit"/>
                <w:strike w:val="false"/>
                <w:dstrike w:val="false"/>
                <w:color w:val="000000"/>
                <w:sz w:val="20"/>
                <w:u w:val="none"/>
                <w:effect w:val="none"/>
              </w:rPr>
              <w:t>56</w:t>
            </w:r>
            <w:r>
              <w:rPr>
                <w:sz w:val="20"/>
              </w:rPr>
              <w:t xml:space="preserve"> </w:t>
            </w:r>
            <w:r>
              <w:rPr>
                <w:rFonts w:ascii="inherit" w:hAnsi="inherit"/>
                <w:sz w:val="20"/>
              </w:rPr>
              <w:t>financial services locations.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Pawn —</w:t>
            </w:r>
            <w:r>
              <w:rPr>
                <w:sz w:val="20"/>
              </w:rPr>
              <w:t xml:space="preserve"> </w:t>
            </w:r>
            <w:r>
              <w:rPr>
                <w:rFonts w:ascii="inherit" w:hAnsi="inherit"/>
                <w:sz w:val="20"/>
              </w:rPr>
              <w:t xml:space="preserve">The U.S. Pawn &amp; Retail business, which consists of </w:t>
            </w:r>
            <w:r>
              <w:rPr>
                <w:rFonts w:ascii="inherit" w:hAnsi="inherit"/>
                <w:strike w:val="false"/>
                <w:dstrike w:val="false"/>
                <w:color w:val="000000"/>
                <w:sz w:val="20"/>
                <w:u w:val="none"/>
                <w:effect w:val="none"/>
              </w:rPr>
              <w:t>501</w:t>
            </w:r>
            <w:r>
              <w:rPr>
                <w:sz w:val="20"/>
              </w:rPr>
              <w:t xml:space="preserve"> </w:t>
            </w:r>
            <w:r>
              <w:rPr>
                <w:rFonts w:ascii="inherit" w:hAnsi="inherit"/>
                <w:sz w:val="20"/>
              </w:rPr>
              <w:t>stores in 21 states, continued to be challenged by the gold environment. Core non-gold loan and merchandise sales posted solid year-over-year gains.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Pawn loan balances were </w:t>
            </w:r>
            <w:r>
              <w:rPr>
                <w:rFonts w:ascii="inherit" w:hAnsi="inherit"/>
                <w:strike w:val="false"/>
                <w:dstrike w:val="false"/>
                <w:color w:val="000000"/>
                <w:sz w:val="20"/>
                <w:u w:val="none"/>
                <w:effect w:val="none"/>
              </w:rPr>
              <w:t>$137 million</w:t>
            </w:r>
            <w:r>
              <w:rPr>
                <w:sz w:val="20"/>
              </w:rPr>
              <w:t xml:space="preserve"> </w:t>
            </w:r>
            <w:r>
              <w:rPr>
                <w:rFonts w:ascii="inherit" w:hAnsi="inherit"/>
                <w:sz w:val="20"/>
              </w:rPr>
              <w:t xml:space="preserve">at quarter end, up </w:t>
            </w:r>
            <w:r>
              <w:rPr>
                <w:rFonts w:ascii="inherit" w:hAnsi="inherit"/>
                <w:strike w:val="false"/>
                <w:dstrike w:val="false"/>
                <w:color w:val="000000"/>
                <w:sz w:val="20"/>
                <w:u w:val="none"/>
                <w:effect w:val="none"/>
              </w:rPr>
              <w:t>2%</w:t>
            </w:r>
            <w:r>
              <w:rPr>
                <w:sz w:val="20"/>
              </w:rPr>
              <w:t xml:space="preserve"> </w:t>
            </w:r>
            <w:r>
              <w:rPr>
                <w:rFonts w:ascii="inherit" w:hAnsi="inherit"/>
                <w:sz w:val="20"/>
              </w:rPr>
              <w:t xml:space="preserve">from the prior year quarter. General merchandise loan balances were up 11% in total and 9% on a same store basis, and jewelry loan balances declined 8% in total and on a same store basis and continue to constitute approximately 60% of the total loan portfolio. </w:t>
            </w:r>
          </w:p>
        </w:tc>
      </w:tr>
    </w:tbl>
    <w:tbl>
      <w:tblPr>
        <w:tblW w:w="10030" w:type="dxa"/>
        <w:jc w:val="left"/>
        <w:tblInd w:w="0" w:type="dxa"/>
        <w:tblCellMar>
          <w:top w:w="0" w:type="dxa"/>
          <w:left w:w="0" w:type="dxa"/>
          <w:bottom w:w="0" w:type="dxa"/>
          <w:right w:w="0" w:type="dxa"/>
        </w:tblCellMar>
      </w:tblPr>
      <w:tblGrid>
        <w:gridCol w:w="1205"/>
        <w:gridCol w:w="8825"/>
      </w:tblGrid>
      <w:tr>
        <w:trPr/>
        <w:tc>
          <w:tcPr>
            <w:tcW w:w="1205" w:type="dxa"/>
            <w:tcBorders/>
            <w:shd w:fill="auto" w:val="clear"/>
            <w:vAlign w:val="center"/>
          </w:tcPr>
          <w:p>
            <w:pPr>
              <w:pStyle w:val="TableContents"/>
              <w:spacing w:before="0" w:after="283"/>
              <w:rPr>
                <w:sz w:val="4"/>
                <w:szCs w:val="4"/>
              </w:rPr>
            </w:pPr>
            <w:r>
              <w:rPr>
                <w:sz w:val="4"/>
                <w:szCs w:val="4"/>
              </w:rPr>
            </w:r>
          </w:p>
        </w:tc>
        <w:tc>
          <w:tcPr>
            <w:tcW w:w="882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8825" w:type="dxa"/>
            <w:tcBorders/>
            <w:shd w:fill="auto" w:val="clear"/>
            <w:vAlign w:val="center"/>
          </w:tcPr>
          <w:p>
            <w:pPr>
              <w:pStyle w:val="TableContents"/>
              <w:spacing w:lineRule="auto" w:line="288" w:before="0" w:after="0"/>
              <w:jc w:val="both"/>
              <w:rPr>
                <w:sz w:val="20"/>
              </w:rPr>
            </w:pPr>
            <w:r>
              <w:rPr>
                <w:rFonts w:ascii="inherit" w:hAnsi="inherit"/>
                <w:sz w:val="20"/>
              </w:rPr>
              <w:t xml:space="preserve">Revenues from pawn service charges increased </w:t>
            </w:r>
            <w:r>
              <w:rPr>
                <w:rFonts w:ascii="inherit" w:hAnsi="inherit"/>
                <w:strike w:val="false"/>
                <w:dstrike w:val="false"/>
                <w:color w:val="000000"/>
                <w:sz w:val="20"/>
                <w:u w:val="none"/>
                <w:effect w:val="none"/>
              </w:rPr>
              <w:t>5%</w:t>
            </w:r>
            <w:r>
              <w:rPr>
                <w:sz w:val="20"/>
              </w:rPr>
              <w:t xml:space="preserve"> </w:t>
            </w:r>
            <w:r>
              <w:rPr>
                <w:rFonts w:ascii="inherit" w:hAnsi="inherit"/>
                <w:sz w:val="20"/>
              </w:rPr>
              <w:t xml:space="preserve">in total and </w:t>
            </w:r>
            <w:r>
              <w:rPr>
                <w:rFonts w:ascii="inherit" w:hAnsi="inherit"/>
                <w:strike w:val="false"/>
                <w:dstrike w:val="false"/>
                <w:color w:val="000000"/>
                <w:sz w:val="20"/>
                <w:u w:val="none"/>
                <w:effect w:val="none"/>
              </w:rPr>
              <w:t>2%</w:t>
            </w:r>
            <w:r>
              <w:rPr>
                <w:sz w:val="20"/>
              </w:rPr>
              <w:t xml:space="preserve"> </w:t>
            </w:r>
            <w:r>
              <w:rPr>
                <w:rFonts w:ascii="inherit" w:hAnsi="inherit"/>
                <w:sz w:val="20"/>
              </w:rPr>
              <w:t>on a same store basis.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Redemption rates were </w:t>
            </w:r>
            <w:r>
              <w:rPr>
                <w:rFonts w:ascii="inherit" w:hAnsi="inherit"/>
                <w:strike w:val="false"/>
                <w:dstrike w:val="false"/>
                <w:color w:val="000000"/>
                <w:sz w:val="20"/>
                <w:u w:val="none"/>
                <w:effect w:val="none"/>
              </w:rPr>
              <w:t>84%</w:t>
            </w:r>
            <w:r>
              <w:rPr>
                <w:rFonts w:ascii="inherit" w:hAnsi="inherit"/>
                <w:sz w:val="20"/>
              </w:rPr>
              <w:t xml:space="preserve">, up from </w:t>
            </w:r>
            <w:r>
              <w:rPr>
                <w:rFonts w:ascii="inherit" w:hAnsi="inherit"/>
                <w:strike w:val="false"/>
                <w:dstrike w:val="false"/>
                <w:color w:val="000000"/>
                <w:sz w:val="20"/>
                <w:u w:val="none"/>
                <w:effect w:val="none"/>
              </w:rPr>
              <w:t>83%</w:t>
            </w:r>
            <w:r>
              <w:rPr>
                <w:sz w:val="20"/>
              </w:rPr>
              <w:t xml:space="preserve"> </w:t>
            </w:r>
            <w:r>
              <w:rPr>
                <w:rFonts w:ascii="inherit" w:hAnsi="inherit"/>
                <w:sz w:val="20"/>
              </w:rPr>
              <w:t xml:space="preserve">a year ago, in spite of a significant increase in the company's loan-to-value ratio. The jewelry redemption rate increased 100 basis points to 87%, while the general merchandise redemption rate remained at 77%.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Merchandise sales increased </w:t>
            </w:r>
            <w:r>
              <w:rPr>
                <w:rFonts w:ascii="inherit" w:hAnsi="inherit"/>
                <w:strike w:val="false"/>
                <w:dstrike w:val="false"/>
                <w:color w:val="000000"/>
                <w:sz w:val="20"/>
                <w:u w:val="none"/>
                <w:effect w:val="none"/>
              </w:rPr>
              <w:t>9%</w:t>
            </w:r>
            <w:r>
              <w:rPr>
                <w:sz w:val="20"/>
              </w:rPr>
              <w:t xml:space="preserve"> </w:t>
            </w:r>
            <w:r>
              <w:rPr>
                <w:rFonts w:ascii="inherit" w:hAnsi="inherit"/>
                <w:sz w:val="20"/>
              </w:rPr>
              <w:t xml:space="preserve">in total and </w:t>
            </w:r>
            <w:r>
              <w:rPr>
                <w:rFonts w:ascii="inherit" w:hAnsi="inherit"/>
                <w:strike w:val="false"/>
                <w:dstrike w:val="false"/>
                <w:color w:val="000000"/>
                <w:sz w:val="20"/>
                <w:u w:val="none"/>
                <w:effect w:val="none"/>
              </w:rPr>
              <w:t>5%</w:t>
            </w:r>
            <w:r>
              <w:rPr>
                <w:sz w:val="20"/>
              </w:rPr>
              <w:t xml:space="preserve"> </w:t>
            </w:r>
            <w:r>
              <w:rPr>
                <w:rFonts w:ascii="inherit" w:hAnsi="inherit"/>
                <w:sz w:val="20"/>
              </w:rPr>
              <w:t xml:space="preserve">on a same store basis. Gross margin on merchandise sales was </w:t>
            </w:r>
            <w:r>
              <w:rPr>
                <w:rFonts w:ascii="inherit" w:hAnsi="inherit"/>
                <w:strike w:val="false"/>
                <w:dstrike w:val="false"/>
                <w:color w:val="000000"/>
                <w:sz w:val="20"/>
                <w:u w:val="none"/>
                <w:effect w:val="none"/>
              </w:rPr>
              <w:t>41%</w:t>
            </w:r>
            <w:r>
              <w:rPr>
                <w:rFonts w:ascii="inherit" w:hAnsi="inherit"/>
                <w:sz w:val="20"/>
              </w:rPr>
              <w:t>, unchanged from the same quarter last year. Online retail accounted for 6% of total U.S. sales during the quarter, compared to less than 1% for the same period last year.</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 xml:space="preserve">Financial Services — </w:t>
            </w:r>
            <w:r>
              <w:rPr>
                <w:rFonts w:ascii="inherit" w:hAnsi="inherit"/>
                <w:sz w:val="20"/>
              </w:rPr>
              <w:t xml:space="preserve">The U.S. financial services business now consists of </w:t>
            </w:r>
            <w:r>
              <w:rPr>
                <w:rFonts w:ascii="inherit" w:hAnsi="inherit"/>
                <w:strike w:val="false"/>
                <w:dstrike w:val="false"/>
                <w:color w:val="000000"/>
                <w:sz w:val="20"/>
                <w:u w:val="none"/>
                <w:effect w:val="none"/>
              </w:rPr>
              <w:t>492</w:t>
            </w:r>
            <w:r>
              <w:rPr>
                <w:sz w:val="20"/>
              </w:rPr>
              <w:t xml:space="preserve"> </w:t>
            </w:r>
            <w:r>
              <w:rPr>
                <w:rFonts w:ascii="inherit" w:hAnsi="inherit"/>
                <w:sz w:val="20"/>
              </w:rPr>
              <w:t xml:space="preserve">storefront locations in 15 states and online lending in five states. The company is now offering financial services products, in storefronts, online or both, in a total of 17 states, which reinforces its stated strategy of becoming a geographically diverse, multi-channel, multi-product provider.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Total loan balances, including U.S. online loans, were $44 million, up 22%. Storefront loan balances alone, were up 19%. Balances related to second generation single payment, multiple payment and auto title loan products were up approximately 48%, driven by auto title loans, as customers continued to shift from first generation to second generation loan products. Total loan balances, including online loan balances, outside of Texas grew 22%, driven by new locations and new products. Loan balances, including online loan balances, in Texas grew 21%.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Loan fees were </w:t>
            </w:r>
            <w:r>
              <w:rPr>
                <w:rFonts w:ascii="inherit" w:hAnsi="inherit"/>
                <w:strike w:val="false"/>
                <w:dstrike w:val="false"/>
                <w:color w:val="000000"/>
                <w:sz w:val="20"/>
                <w:u w:val="none"/>
                <w:effect w:val="none"/>
              </w:rPr>
              <w:t>$38 million</w:t>
            </w:r>
            <w:r>
              <w:rPr>
                <w:rFonts w:ascii="inherit" w:hAnsi="inherit"/>
                <w:sz w:val="20"/>
              </w:rPr>
              <w:t xml:space="preserve">, up </w:t>
            </w:r>
            <w:r>
              <w:rPr>
                <w:rFonts w:ascii="inherit" w:hAnsi="inherit"/>
                <w:strike w:val="false"/>
                <w:dstrike w:val="false"/>
                <w:color w:val="000000"/>
                <w:sz w:val="20"/>
                <w:u w:val="none"/>
                <w:effect w:val="none"/>
              </w:rPr>
              <w:t>7%</w:t>
            </w:r>
            <w:r>
              <w:rPr>
                <w:rFonts w:ascii="inherit" w:hAnsi="inherit"/>
                <w:sz w:val="20"/>
              </w:rPr>
              <w:t>, reflecting loan growth in new states and the addition of the new U.S. online lending channel.</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Bad debt as a percentage of fees was </w:t>
            </w:r>
            <w:r>
              <w:rPr>
                <w:rFonts w:ascii="inherit" w:hAnsi="inherit"/>
                <w:strike w:val="false"/>
                <w:dstrike w:val="false"/>
                <w:color w:val="000000"/>
                <w:sz w:val="20"/>
                <w:u w:val="none"/>
                <w:effect w:val="none"/>
              </w:rPr>
              <w:t>25%</w:t>
            </w:r>
            <w:r>
              <w:rPr>
                <w:rFonts w:ascii="inherit" w:hAnsi="inherit"/>
                <w:sz w:val="20"/>
              </w:rPr>
              <w:t>, up 100 basis points, driven by the expected higher bad debt from online loans.</w:t>
            </w:r>
          </w:p>
        </w:tc>
      </w:tr>
    </w:tbl>
    <w:p>
      <w:pPr>
        <w:pStyle w:val="TextBody"/>
        <w:spacing w:before="0" w:after="0"/>
        <w:rPr/>
      </w:pPr>
      <w:r>
        <w:rPr/>
      </w:r>
    </w:p>
    <w:p>
      <w:pPr>
        <w:pStyle w:val="TextBody"/>
        <w:spacing w:lineRule="auto" w:line="288" w:before="0" w:after="0"/>
        <w:jc w:val="center"/>
        <w:rPr>
          <w:sz w:val="17"/>
        </w:rPr>
      </w:pPr>
      <w:r>
        <w:rPr>
          <w:rFonts w:ascii="inherit" w:hAnsi="inherit"/>
          <w:sz w:val="17"/>
        </w:rPr>
        <w:t>2</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Local and federal regulatory changes negatively impacted the profitability of the financial services business by approximately $1 million during the quarter. Regulatory impact over the first nine months of the year was roughly $3 million.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The U.S. online business continued to grow, and the loan book increased by 63% over the previous quarter. The company now offers online loans in five states, after successfully transitioning from the export lending model to the state-by-state compliant model. This business negatively impacted earnings per share by $(0.03) during the third quarter, and by $(0.07) year-to-date. The company has increased its marketing efforts in an effort to accelerate loan growth, and now expects this business to cross into profitability in the first half of fiscal 2014.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Cash Converters U.S. and Canada</w:t>
            </w:r>
            <w:r>
              <w:rPr>
                <w:sz w:val="20"/>
              </w:rPr>
              <w:t xml:space="preserve"> — </w:t>
            </w:r>
            <w:r>
              <w:rPr>
                <w:rFonts w:ascii="inherit" w:hAnsi="inherit"/>
                <w:sz w:val="20"/>
              </w:rPr>
              <w:t xml:space="preserve">The company's Cash Converters operations in the U.S. and Canada now include 47 stores (40 in Canada and 7 in the U.S.), plus another 8 franchise stores in Canada. The company expects this group of stores to positively impact segment contribution beginning in the fourth quarter of fiscal 2013. </w:t>
            </w:r>
          </w:p>
        </w:tc>
      </w:tr>
    </w:tbl>
    <w:p>
      <w:pPr>
        <w:pStyle w:val="TextBody"/>
        <w:spacing w:lineRule="auto" w:line="288" w:before="0" w:after="0"/>
        <w:jc w:val="both"/>
        <w:rPr>
          <w:rFonts w:ascii="inherit" w:hAnsi="inherit"/>
          <w:b/>
          <w:sz w:val="20"/>
          <w:u w:val="single"/>
        </w:rPr>
      </w:pPr>
      <w:r>
        <w:rPr>
          <w:rFonts w:ascii="inherit" w:hAnsi="inherit"/>
          <w:b/>
          <w:sz w:val="20"/>
          <w:u w:val="single"/>
        </w:rPr>
        <w:t>Latin America — Strong Increase in Segment Contribution</w:t>
      </w:r>
    </w:p>
    <w:p>
      <w:pPr>
        <w:pStyle w:val="TextBody"/>
        <w:spacing w:lineRule="auto" w:line="288" w:before="0" w:after="0"/>
        <w:jc w:val="both"/>
        <w:rPr>
          <w:sz w:val="20"/>
        </w:rPr>
      </w:pPr>
      <w:r>
        <w:rPr>
          <w:rFonts w:ascii="inherit" w:hAnsi="inherit"/>
          <w:sz w:val="20"/>
        </w:rPr>
        <w:t xml:space="preserve">Contribution from the Latin America segment increased 79%, excluding the one-time purchase accounting adjustment related to the refinancing of Grupo Finmart debt in the prior year quarter. Including this adjustment, segment contribution decreased 21%. The segment now accounts for </w:t>
      </w:r>
      <w:r>
        <w:rPr>
          <w:rFonts w:ascii="inherit" w:hAnsi="inherit"/>
          <w:strike w:val="false"/>
          <w:dstrike w:val="false"/>
          <w:color w:val="000000"/>
          <w:sz w:val="20"/>
          <w:u w:val="none"/>
          <w:effect w:val="none"/>
        </w:rPr>
        <w:t>14%</w:t>
      </w:r>
      <w:r>
        <w:rPr>
          <w:sz w:val="20"/>
        </w:rPr>
        <w:t xml:space="preserve"> </w:t>
      </w:r>
      <w:r>
        <w:rPr>
          <w:rFonts w:ascii="inherit" w:hAnsi="inherit"/>
          <w:sz w:val="20"/>
        </w:rPr>
        <w:t xml:space="preserve">of consolidated segment contribution, up from </w:t>
      </w:r>
      <w:r>
        <w:rPr>
          <w:rFonts w:ascii="inherit" w:hAnsi="inherit"/>
          <w:strike w:val="false"/>
          <w:dstrike w:val="false"/>
          <w:color w:val="000000"/>
          <w:sz w:val="20"/>
          <w:u w:val="none"/>
          <w:effect w:val="none"/>
        </w:rPr>
        <w:t>13%</w:t>
      </w:r>
      <w:r>
        <w:rPr>
          <w:sz w:val="20"/>
        </w:rPr>
        <w:t xml:space="preserve"> </w:t>
      </w:r>
      <w:r>
        <w:rPr>
          <w:rFonts w:ascii="inherit" w:hAnsi="inherit"/>
          <w:sz w:val="20"/>
        </w:rPr>
        <w:t>a year ago.</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 xml:space="preserve">Pawn — </w:t>
            </w:r>
            <w:r>
              <w:rPr>
                <w:rFonts w:ascii="inherit" w:hAnsi="inherit"/>
                <w:sz w:val="20"/>
              </w:rPr>
              <w:t xml:space="preserve">Empeño Fácil, the company's Mexico pawn operation, operated 235 stores in Mexico at the end of the quarter.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During the quarter, Empeño Fácil added </w:t>
            </w:r>
            <w:r>
              <w:rPr>
                <w:rFonts w:ascii="inherit" w:hAnsi="inherit"/>
                <w:strike w:val="false"/>
                <w:dstrike w:val="false"/>
                <w:color w:val="000000"/>
                <w:sz w:val="20"/>
                <w:u w:val="none"/>
                <w:effect w:val="none"/>
              </w:rPr>
              <w:t>15</w:t>
            </w:r>
            <w:r>
              <w:rPr>
                <w:sz w:val="20"/>
              </w:rPr>
              <w:t xml:space="preserve"> </w:t>
            </w:r>
            <w:r>
              <w:rPr>
                <w:rFonts w:ascii="inherit" w:hAnsi="inherit"/>
                <w:sz w:val="20"/>
              </w:rPr>
              <w:t xml:space="preserve">new de novo locations for a total of </w:t>
            </w:r>
            <w:r>
              <w:rPr>
                <w:rFonts w:ascii="inherit" w:hAnsi="inherit"/>
                <w:strike w:val="false"/>
                <w:dstrike w:val="false"/>
                <w:color w:val="000000"/>
                <w:sz w:val="20"/>
                <w:u w:val="none"/>
                <w:effect w:val="none"/>
              </w:rPr>
              <w:t>62</w:t>
            </w:r>
            <w:r>
              <w:rPr>
                <w:sz w:val="20"/>
              </w:rPr>
              <w:t xml:space="preserve"> </w:t>
            </w:r>
            <w:r>
              <w:rPr>
                <w:rFonts w:ascii="inherit" w:hAnsi="inherit"/>
                <w:sz w:val="20"/>
              </w:rPr>
              <w:t>thus far in fiscal 2013.</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Pawn loan balances grew to </w:t>
            </w:r>
            <w:r>
              <w:rPr>
                <w:rFonts w:ascii="inherit" w:hAnsi="inherit"/>
                <w:strike w:val="false"/>
                <w:dstrike w:val="false"/>
                <w:color w:val="000000"/>
                <w:sz w:val="20"/>
                <w:u w:val="none"/>
                <w:effect w:val="none"/>
              </w:rPr>
              <w:t>$16 million</w:t>
            </w:r>
            <w:r>
              <w:rPr>
                <w:rFonts w:ascii="inherit" w:hAnsi="inherit"/>
                <w:sz w:val="20"/>
              </w:rPr>
              <w:t xml:space="preserve">, up </w:t>
            </w:r>
            <w:r>
              <w:rPr>
                <w:rFonts w:ascii="inherit" w:hAnsi="inherit"/>
                <w:strike w:val="false"/>
                <w:dstrike w:val="false"/>
                <w:color w:val="000000"/>
                <w:sz w:val="20"/>
                <w:u w:val="none"/>
                <w:effect w:val="none"/>
              </w:rPr>
              <w:t>30%</w:t>
            </w:r>
            <w:r>
              <w:rPr>
                <w:sz w:val="20"/>
              </w:rPr>
              <w:t xml:space="preserve"> </w:t>
            </w:r>
            <w:r>
              <w:rPr>
                <w:rFonts w:ascii="inherit" w:hAnsi="inherit"/>
                <w:sz w:val="20"/>
              </w:rPr>
              <w:t xml:space="preserve">in total and </w:t>
            </w:r>
            <w:r>
              <w:rPr>
                <w:rFonts w:ascii="inherit" w:hAnsi="inherit"/>
                <w:strike w:val="false"/>
                <w:dstrike w:val="false"/>
                <w:color w:val="000000"/>
                <w:sz w:val="20"/>
                <w:u w:val="none"/>
                <w:effect w:val="none"/>
              </w:rPr>
              <w:t>18%</w:t>
            </w:r>
            <w:r>
              <w:rPr>
                <w:sz w:val="20"/>
              </w:rPr>
              <w:t xml:space="preserve"> </w:t>
            </w:r>
            <w:r>
              <w:rPr>
                <w:rFonts w:ascii="inherit" w:hAnsi="inherit"/>
                <w:sz w:val="20"/>
              </w:rPr>
              <w:t>on a same store basis. General merchandise loan balances grew 42% in total and 18% on a same store basis, while jewelry loan balances decreased 20% in total and 36% on a same store basis. General merchandise loans now comprise 92% of Empeño Fácil's pawn loan portfolio, up from 87% last year.</w:t>
            </w:r>
          </w:p>
        </w:tc>
      </w:tr>
    </w:tbl>
    <w:tbl>
      <w:tblPr>
        <w:tblW w:w="10180" w:type="dxa"/>
        <w:jc w:val="left"/>
        <w:tblInd w:w="0" w:type="dxa"/>
        <w:tblCellMar>
          <w:top w:w="0" w:type="dxa"/>
          <w:left w:w="0" w:type="dxa"/>
          <w:bottom w:w="0" w:type="dxa"/>
          <w:right w:w="0" w:type="dxa"/>
        </w:tblCellMar>
      </w:tblPr>
      <w:tblGrid>
        <w:gridCol w:w="1205"/>
        <w:gridCol w:w="8975"/>
      </w:tblGrid>
      <w:tr>
        <w:trPr/>
        <w:tc>
          <w:tcPr>
            <w:tcW w:w="1205" w:type="dxa"/>
            <w:tcBorders/>
            <w:shd w:fill="auto" w:val="clear"/>
            <w:vAlign w:val="center"/>
          </w:tcPr>
          <w:p>
            <w:pPr>
              <w:pStyle w:val="TableContents"/>
              <w:spacing w:before="0" w:after="283"/>
              <w:rPr>
                <w:sz w:val="4"/>
                <w:szCs w:val="4"/>
              </w:rPr>
            </w:pPr>
            <w:r>
              <w:rPr>
                <w:sz w:val="4"/>
                <w:szCs w:val="4"/>
              </w:rPr>
            </w:r>
          </w:p>
        </w:tc>
        <w:tc>
          <w:tcPr>
            <w:tcW w:w="89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8975" w:type="dxa"/>
            <w:tcBorders/>
            <w:shd w:fill="auto" w:val="clear"/>
            <w:vAlign w:val="center"/>
          </w:tcPr>
          <w:p>
            <w:pPr>
              <w:pStyle w:val="TableContents"/>
              <w:spacing w:lineRule="auto" w:line="288" w:before="0" w:after="0"/>
              <w:jc w:val="both"/>
              <w:rPr>
                <w:sz w:val="20"/>
              </w:rPr>
            </w:pPr>
            <w:r>
              <w:rPr>
                <w:rFonts w:ascii="inherit" w:hAnsi="inherit"/>
                <w:sz w:val="20"/>
              </w:rPr>
              <w:t xml:space="preserve">Revenue from pawn service charges increased </w:t>
            </w:r>
            <w:r>
              <w:rPr>
                <w:rFonts w:ascii="inherit" w:hAnsi="inherit"/>
                <w:strike w:val="false"/>
                <w:dstrike w:val="false"/>
                <w:color w:val="000000"/>
                <w:sz w:val="20"/>
                <w:u w:val="none"/>
                <w:effect w:val="none"/>
              </w:rPr>
              <w:t>39%</w:t>
            </w:r>
            <w:r>
              <w:rPr>
                <w:sz w:val="20"/>
              </w:rPr>
              <w:t xml:space="preserve"> </w:t>
            </w:r>
            <w:r>
              <w:rPr>
                <w:rFonts w:ascii="inherit" w:hAnsi="inherit"/>
                <w:sz w:val="20"/>
              </w:rPr>
              <w:t xml:space="preserve">in total and </w:t>
            </w:r>
            <w:r>
              <w:rPr>
                <w:rFonts w:ascii="inherit" w:hAnsi="inherit"/>
                <w:strike w:val="false"/>
                <w:dstrike w:val="false"/>
                <w:color w:val="000000"/>
                <w:sz w:val="20"/>
                <w:u w:val="none"/>
                <w:effect w:val="none"/>
              </w:rPr>
              <w:t>17%</w:t>
            </w:r>
            <w:r>
              <w:rPr>
                <w:sz w:val="20"/>
              </w:rPr>
              <w:t xml:space="preserve"> </w:t>
            </w:r>
            <w:r>
              <w:rPr>
                <w:rFonts w:ascii="inherit" w:hAnsi="inherit"/>
                <w:sz w:val="20"/>
              </w:rPr>
              <w:t>on a same-store basis.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sz w:val="20"/>
              </w:rPr>
            </w:pPr>
            <w:r>
              <w:rPr>
                <w:rFonts w:ascii="inherit" w:hAnsi="inherit"/>
                <w:sz w:val="20"/>
              </w:rPr>
              <w:t xml:space="preserve">Merchandise sales increased </w:t>
            </w:r>
            <w:r>
              <w:rPr>
                <w:rFonts w:ascii="inherit" w:hAnsi="inherit"/>
                <w:strike w:val="false"/>
                <w:dstrike w:val="false"/>
                <w:color w:val="000000"/>
                <w:sz w:val="20"/>
                <w:u w:val="none"/>
                <w:effect w:val="none"/>
              </w:rPr>
              <w:t>44%</w:t>
            </w:r>
            <w:r>
              <w:rPr>
                <w:sz w:val="20"/>
              </w:rPr>
              <w:t xml:space="preserve"> </w:t>
            </w:r>
            <w:r>
              <w:rPr>
                <w:rFonts w:ascii="inherit" w:hAnsi="inherit"/>
                <w:sz w:val="20"/>
              </w:rPr>
              <w:t xml:space="preserve">in total and </w:t>
            </w:r>
            <w:r>
              <w:rPr>
                <w:rFonts w:ascii="inherit" w:hAnsi="inherit"/>
                <w:strike w:val="false"/>
                <w:dstrike w:val="false"/>
                <w:color w:val="000000"/>
                <w:sz w:val="20"/>
                <w:u w:val="none"/>
                <w:effect w:val="none"/>
              </w:rPr>
              <w:t>18%</w:t>
            </w:r>
            <w:r>
              <w:rPr>
                <w:sz w:val="20"/>
              </w:rPr>
              <w:t xml:space="preserve"> </w:t>
            </w:r>
            <w:r>
              <w:rPr>
                <w:rFonts w:ascii="inherit" w:hAnsi="inherit"/>
                <w:sz w:val="20"/>
              </w:rPr>
              <w:t xml:space="preserve">on a same store basis. Gross margin on merchandise sales was </w:t>
            </w:r>
            <w:r>
              <w:rPr>
                <w:rFonts w:ascii="inherit" w:hAnsi="inherit"/>
                <w:strike w:val="false"/>
                <w:dstrike w:val="false"/>
                <w:color w:val="000000"/>
                <w:sz w:val="20"/>
                <w:u w:val="none"/>
                <w:effect w:val="none"/>
              </w:rPr>
              <w:t>39%</w:t>
            </w:r>
            <w:r>
              <w:rPr>
                <w:rFonts w:ascii="inherit" w:hAnsi="inherit"/>
                <w:sz w:val="20"/>
              </w:rPr>
              <w:t xml:space="preserve">, down </w:t>
            </w:r>
            <w:r>
              <w:rPr>
                <w:rFonts w:ascii="inherit" w:hAnsi="inherit"/>
                <w:strike w:val="false"/>
                <w:dstrike w:val="false"/>
                <w:color w:val="000000"/>
                <w:sz w:val="20"/>
                <w:u w:val="none"/>
                <w:effect w:val="none"/>
              </w:rPr>
              <w:t>500</w:t>
            </w:r>
            <w:r>
              <w:rPr>
                <w:sz w:val="20"/>
              </w:rPr>
              <w:t xml:space="preserve"> </w:t>
            </w:r>
            <w:r>
              <w:rPr>
                <w:rFonts w:ascii="inherit" w:hAnsi="inherit"/>
                <w:sz w:val="20"/>
              </w:rPr>
              <w:t>basis points from a year ago, reflecting more aggressive pricing.</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Payroll Withholding Lending —</w:t>
            </w:r>
            <w:r>
              <w:rPr>
                <w:sz w:val="20"/>
              </w:rPr>
              <w:t xml:space="preserve"> </w:t>
            </w:r>
            <w:r>
              <w:rPr>
                <w:rFonts w:ascii="inherit" w:hAnsi="inherit"/>
                <w:sz w:val="20"/>
              </w:rPr>
              <w:t xml:space="preserve">Grupo Finmart continues to gain market share through the addition of new contracts, multi-channel growth, and increased contract penetration. During the quarter, Grupo Finmart also completed a $30 million cross-border debt offering at 8.5%. </w:t>
            </w:r>
          </w:p>
        </w:tc>
      </w:tr>
    </w:tbl>
    <w:tbl>
      <w:tblPr>
        <w:tblW w:w="8185" w:type="dxa"/>
        <w:jc w:val="left"/>
        <w:tblInd w:w="0" w:type="dxa"/>
        <w:tblCellMar>
          <w:top w:w="0" w:type="dxa"/>
          <w:left w:w="0" w:type="dxa"/>
          <w:bottom w:w="0" w:type="dxa"/>
          <w:right w:w="0" w:type="dxa"/>
        </w:tblCellMar>
      </w:tblPr>
      <w:tblGrid>
        <w:gridCol w:w="1205"/>
        <w:gridCol w:w="6980"/>
      </w:tblGrid>
      <w:tr>
        <w:trPr/>
        <w:tc>
          <w:tcPr>
            <w:tcW w:w="1205" w:type="dxa"/>
            <w:tcBorders/>
            <w:shd w:fill="auto" w:val="clear"/>
            <w:vAlign w:val="center"/>
          </w:tcPr>
          <w:p>
            <w:pPr>
              <w:pStyle w:val="TableContents"/>
              <w:spacing w:before="0" w:after="283"/>
              <w:rPr>
                <w:sz w:val="4"/>
                <w:szCs w:val="4"/>
              </w:rPr>
            </w:pPr>
            <w:r>
              <w:rPr>
                <w:sz w:val="4"/>
                <w:szCs w:val="4"/>
              </w:rPr>
            </w:r>
          </w:p>
        </w:tc>
        <w:tc>
          <w:tcPr>
            <w:tcW w:w="698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980" w:type="dxa"/>
            <w:tcBorders/>
            <w:shd w:fill="auto" w:val="clear"/>
            <w:vAlign w:val="center"/>
          </w:tcPr>
          <w:p>
            <w:pPr>
              <w:pStyle w:val="TableContents"/>
              <w:spacing w:lineRule="auto" w:line="288" w:before="0" w:after="0"/>
              <w:jc w:val="both"/>
              <w:rPr>
                <w:sz w:val="20"/>
              </w:rPr>
            </w:pPr>
            <w:r>
              <w:rPr>
                <w:rFonts w:ascii="inherit" w:hAnsi="inherit"/>
                <w:sz w:val="20"/>
              </w:rPr>
              <w:t xml:space="preserve">Total loan balances at the end of the quarter were </w:t>
            </w:r>
            <w:r>
              <w:rPr>
                <w:rFonts w:ascii="inherit" w:hAnsi="inherit"/>
                <w:strike w:val="false"/>
                <w:dstrike w:val="false"/>
                <w:color w:val="000000"/>
                <w:sz w:val="20"/>
                <w:u w:val="none"/>
                <w:effect w:val="none"/>
              </w:rPr>
              <w:t>$98 million</w:t>
            </w:r>
            <w:r>
              <w:rPr>
                <w:rFonts w:ascii="inherit" w:hAnsi="inherit"/>
                <w:sz w:val="20"/>
              </w:rPr>
              <w:t xml:space="preserve">, up </w:t>
            </w:r>
            <w:r>
              <w:rPr>
                <w:rFonts w:ascii="inherit" w:hAnsi="inherit"/>
                <w:strike w:val="false"/>
                <w:dstrike w:val="false"/>
                <w:color w:val="000000"/>
                <w:sz w:val="20"/>
                <w:u w:val="none"/>
                <w:effect w:val="none"/>
              </w:rPr>
              <w:t>53%</w:t>
            </w:r>
            <w:r>
              <w:rPr>
                <w:rFonts w:ascii="inherit" w:hAnsi="inherit"/>
                <w:sz w:val="20"/>
              </w:rPr>
              <w:t>.</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Net revenues were </w:t>
            </w:r>
            <w:r>
              <w:rPr>
                <w:rFonts w:ascii="inherit" w:hAnsi="inherit"/>
                <w:strike w:val="false"/>
                <w:dstrike w:val="false"/>
                <w:color w:val="000000"/>
                <w:sz w:val="20"/>
                <w:u w:val="none"/>
                <w:effect w:val="none"/>
              </w:rPr>
              <w:t>$13 million</w:t>
            </w:r>
            <w:r>
              <w:rPr>
                <w:sz w:val="20"/>
              </w:rPr>
              <w:t xml:space="preserve"> </w:t>
            </w:r>
            <w:r>
              <w:rPr>
                <w:rFonts w:ascii="inherit" w:hAnsi="inherit"/>
                <w:sz w:val="20"/>
              </w:rPr>
              <w:t xml:space="preserve">in the quarter, with bad debt as a percentage of fees of </w:t>
            </w:r>
            <w:r>
              <w:rPr>
                <w:rFonts w:ascii="inherit" w:hAnsi="inherit"/>
                <w:strike w:val="false"/>
                <w:dstrike w:val="false"/>
                <w:color w:val="000000"/>
                <w:sz w:val="20"/>
                <w:u w:val="none"/>
                <w:effect w:val="none"/>
              </w:rPr>
              <w:t>5%</w:t>
            </w:r>
            <w:r>
              <w:rPr>
                <w:rFonts w:ascii="inherit" w:hAnsi="inherit"/>
                <w:sz w:val="20"/>
              </w:rPr>
              <w:t xml:space="preserve">, which improved 100 bps over the prior year quarter. </w:t>
            </w:r>
          </w:p>
        </w:tc>
      </w:tr>
    </w:tbl>
    <w:p>
      <w:pPr>
        <w:pStyle w:val="TextBody"/>
        <w:spacing w:before="0" w:after="0"/>
        <w:rPr/>
      </w:pPr>
      <w:r>
        <w:rPr/>
      </w:r>
    </w:p>
    <w:p>
      <w:pPr>
        <w:pStyle w:val="TextBody"/>
        <w:spacing w:lineRule="auto" w:line="288" w:before="0" w:after="0"/>
        <w:jc w:val="center"/>
        <w:rPr>
          <w:sz w:val="17"/>
        </w:rPr>
      </w:pPr>
      <w:r>
        <w:rPr>
          <w:rFonts w:ascii="inherit" w:hAnsi="inherit"/>
          <w:sz w:val="17"/>
        </w:rPr>
        <w:t>3</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Grupo Finmart added 17 contracts during the quarter representing 240,000 employees. Contract penetration across all convenios was 5.6% in the quarter, compared to 3% in the prior year quarter.</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Subsequent to the end of the quarter, Grupo Finmart was granted access to the Mexican Social Security Institute (Instituto Mexicano del Seguro Social or “IMSS”), which will allow it to offer payroll deduction loans to Mexican retirees of the private sector. This is a very important and stable market in Mexico and includes 90,000 direct employees, and 2.5 million people collecting pensions or social security.</w:t>
            </w:r>
          </w:p>
        </w:tc>
      </w:tr>
    </w:tbl>
    <w:p>
      <w:pPr>
        <w:pStyle w:val="TextBody"/>
        <w:spacing w:lineRule="auto" w:line="288" w:before="0" w:after="0"/>
        <w:jc w:val="both"/>
        <w:rPr>
          <w:rFonts w:ascii="inherit" w:hAnsi="inherit"/>
          <w:b/>
          <w:sz w:val="20"/>
          <w:u w:val="single"/>
        </w:rPr>
      </w:pPr>
      <w:r>
        <w:rPr>
          <w:rFonts w:ascii="inherit" w:hAnsi="inherit"/>
          <w:b/>
          <w:sz w:val="20"/>
          <w:u w:val="single"/>
        </w:rPr>
        <w:t>Other International — U.K. Online Business Growing</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Loan balances at Cash Genie, the company's U.K. online lending business, increased 9% over the second quarter and more than doubled from a year ago. Net fee revenue increased 50% over last year, and the company is now offering installment loans, broadening its product offerings.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sz w:val="20"/>
              </w:rPr>
              <w:t xml:space="preserve">The company's combined equity investments in Cash Converters International and Albemarle &amp; Bond generated a </w:t>
            </w:r>
            <w:r>
              <w:rPr>
                <w:rFonts w:ascii="inherit" w:hAnsi="inherit"/>
                <w:strike w:val="false"/>
                <w:dstrike w:val="false"/>
                <w:color w:val="000000"/>
                <w:sz w:val="20"/>
                <w:u w:val="none"/>
                <w:effect w:val="none"/>
              </w:rPr>
              <w:t>3%</w:t>
            </w:r>
            <w:r>
              <w:rPr>
                <w:sz w:val="20"/>
              </w:rPr>
              <w:t xml:space="preserve"> </w:t>
            </w:r>
            <w:r>
              <w:rPr>
                <w:rFonts w:ascii="inherit" w:hAnsi="inherit"/>
                <w:sz w:val="20"/>
              </w:rPr>
              <w:t xml:space="preserve">increase in earnings attributable to EZCORP for the quarter, as compared to the same period last year. </w:t>
            </w:r>
          </w:p>
        </w:tc>
      </w:tr>
    </w:tbl>
    <w:p>
      <w:pPr>
        <w:pStyle w:val="TextBody"/>
        <w:spacing w:lineRule="auto" w:line="288" w:before="0" w:after="0"/>
        <w:jc w:val="both"/>
        <w:rPr>
          <w:rFonts w:ascii="inherit" w:hAnsi="inherit"/>
          <w:b/>
          <w:sz w:val="20"/>
          <w:u w:val="single"/>
        </w:rPr>
      </w:pPr>
      <w:r>
        <w:rPr>
          <w:rFonts w:ascii="inherit" w:hAnsi="inherit"/>
          <w:b/>
          <w:sz w:val="20"/>
          <w:u w:val="single"/>
        </w:rPr>
        <w:t>Discontinued Operations</w:t>
      </w:r>
    </w:p>
    <w:p>
      <w:pPr>
        <w:pStyle w:val="TextBody"/>
        <w:spacing w:lineRule="auto" w:line="288" w:before="0" w:after="0"/>
        <w:jc w:val="both"/>
        <w:rPr>
          <w:rFonts w:ascii="inherit" w:hAnsi="inherit"/>
          <w:sz w:val="20"/>
        </w:rPr>
      </w:pPr>
      <w:r>
        <w:rPr>
          <w:rFonts w:ascii="inherit" w:hAnsi="inherit"/>
          <w:sz w:val="20"/>
        </w:rPr>
        <w:t xml:space="preserve">During the third quarter, the company implemented a plan to exit certain components of its business and close over 100 legacy stores. These stores are generally older, smaller stores that did not fit the company's future growth profile. </w:t>
      </w:r>
    </w:p>
    <w:p>
      <w:pPr>
        <w:pStyle w:val="TextBody"/>
        <w:spacing w:lineRule="auto" w:line="288" w:before="0" w:after="0"/>
        <w:jc w:val="both"/>
        <w:rPr>
          <w:rFonts w:ascii="inherit" w:hAnsi="inherit"/>
          <w:sz w:val="20"/>
        </w:rPr>
      </w:pPr>
      <w:r>
        <w:rPr>
          <w:rFonts w:ascii="inherit" w:hAnsi="inherit"/>
          <w:sz w:val="20"/>
        </w:rPr>
        <w:t>The following table summarizes the one-time, pre-tax termination costs recorded in the third quarter related to the reorganization. An additional $2 million of third quarter pre-tax operating losses from stores being closed is reflected in discontinued operations on the statement of operations.                    </w:t>
      </w:r>
    </w:p>
    <w:tbl>
      <w:tblPr>
        <w:tblW w:w="10205" w:type="dxa"/>
        <w:jc w:val="left"/>
        <w:tblInd w:w="0" w:type="dxa"/>
        <w:tblCellMar>
          <w:top w:w="0" w:type="dxa"/>
          <w:left w:w="0" w:type="dxa"/>
          <w:bottom w:w="0" w:type="dxa"/>
          <w:right w:w="0" w:type="dxa"/>
        </w:tblCellMar>
      </w:tblPr>
      <w:tblGrid>
        <w:gridCol w:w="7906"/>
        <w:gridCol w:w="181"/>
        <w:gridCol w:w="1992"/>
        <w:gridCol w:w="126"/>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790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99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906" w:type="dxa"/>
            <w:tcBorders/>
            <w:shd w:fill="auto" w:val="clear"/>
            <w:vAlign w:val="center"/>
          </w:tcPr>
          <w:p>
            <w:pPr>
              <w:pStyle w:val="TableContents"/>
              <w:spacing w:before="0" w:after="0"/>
              <w:ind w:left="0" w:right="0" w:firstLine="30"/>
              <w:rPr/>
            </w:pPr>
            <w:r>
              <w:rPr/>
              <w:t> </w:t>
            </w:r>
          </w:p>
        </w:tc>
        <w:tc>
          <w:tcPr>
            <w:tcW w:w="2299"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90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Lease termination costs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92" w:type="dxa"/>
            <w:tcBorders/>
            <w:shd w:fill="auto" w:val="clear"/>
            <w:vAlign w:val="center"/>
          </w:tcPr>
          <w:p>
            <w:pPr>
              <w:pStyle w:val="TableContents"/>
              <w:spacing w:before="0" w:after="0"/>
              <w:jc w:val="right"/>
              <w:rPr>
                <w:rFonts w:ascii="inherit" w:hAnsi="inherit"/>
                <w:sz w:val="17"/>
              </w:rPr>
            </w:pPr>
            <w:r>
              <w:rPr>
                <w:rFonts w:ascii="inherit" w:hAnsi="inherit"/>
                <w:sz w:val="17"/>
              </w:rPr>
              <w:t>9,099</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90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 xml:space="preserve">Employee severance </w:t>
            </w:r>
          </w:p>
        </w:tc>
        <w:tc>
          <w:tcPr>
            <w:tcW w:w="21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90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Inventory write-down to liquidation value    </w:t>
            </w:r>
          </w:p>
        </w:tc>
        <w:tc>
          <w:tcPr>
            <w:tcW w:w="21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7,801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90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Fixed asset write-down to liquidation value</w:t>
            </w:r>
          </w:p>
        </w:tc>
        <w:tc>
          <w:tcPr>
            <w:tcW w:w="217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5,840</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90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Total pre-tax termination cost</w:t>
            </w:r>
          </w:p>
        </w:tc>
        <w:tc>
          <w:tcPr>
            <w:tcW w:w="21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23,763</w:t>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440"/>
        <w:jc w:val="both"/>
        <w:rPr/>
      </w:pPr>
      <w:r>
        <w:rPr/>
        <w:t>        </w:t>
      </w:r>
    </w:p>
    <w:p>
      <w:pPr>
        <w:pStyle w:val="TextBody"/>
        <w:spacing w:lineRule="auto" w:line="288" w:before="0" w:after="0"/>
        <w:jc w:val="both"/>
        <w:rPr>
          <w:rFonts w:ascii="inherit" w:hAnsi="inherit"/>
          <w:sz w:val="20"/>
        </w:rPr>
      </w:pPr>
      <w:r>
        <w:rPr>
          <w:rFonts w:ascii="inherit" w:hAnsi="inherit"/>
          <w:sz w:val="20"/>
        </w:rPr>
        <w:t>The accrued reorganization charges are included in "Accounts payable and accrued liabilities" in the consolidated balance sheet and in "Loss from discontinued operations" in the consolidated statements of operations.</w:t>
      </w:r>
    </w:p>
    <w:p>
      <w:pPr>
        <w:pStyle w:val="TextBody"/>
        <w:spacing w:lineRule="auto" w:line="288" w:before="0" w:after="0"/>
        <w:jc w:val="both"/>
        <w:rPr>
          <w:rFonts w:ascii="inherit" w:hAnsi="inherit"/>
          <w:b/>
          <w:sz w:val="20"/>
          <w:u w:val="single"/>
        </w:rPr>
      </w:pPr>
      <w:r>
        <w:rPr>
          <w:rFonts w:ascii="inherit" w:hAnsi="inherit"/>
          <w:b/>
          <w:sz w:val="20"/>
          <w:u w:val="single"/>
        </w:rPr>
        <w:t>Growth Strategy Update</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 xml:space="preserve">New Stores in Key Markets </w:t>
            </w:r>
            <w:r>
              <w:rPr>
                <w:sz w:val="20"/>
              </w:rPr>
              <w:t xml:space="preserve">— </w:t>
            </w:r>
            <w:r>
              <w:rPr>
                <w:rFonts w:ascii="inherit" w:hAnsi="inherit"/>
                <w:sz w:val="20"/>
              </w:rPr>
              <w:t xml:space="preserve">The company opened </w:t>
            </w:r>
            <w:r>
              <w:rPr>
                <w:rFonts w:ascii="inherit" w:hAnsi="inherit"/>
                <w:strike w:val="false"/>
                <w:dstrike w:val="false"/>
                <w:color w:val="000000"/>
                <w:sz w:val="20"/>
                <w:u w:val="none"/>
                <w:effect w:val="none"/>
              </w:rPr>
              <w:t>20</w:t>
            </w:r>
            <w:r>
              <w:rPr>
                <w:sz w:val="20"/>
              </w:rPr>
              <w:t xml:space="preserve"> </w:t>
            </w:r>
            <w:r>
              <w:rPr>
                <w:rFonts w:ascii="inherit" w:hAnsi="inherit"/>
                <w:sz w:val="20"/>
              </w:rPr>
              <w:t xml:space="preserve">de novo locations, bringing total de novo stores opened so far in fiscal 2013 to </w:t>
            </w:r>
            <w:r>
              <w:rPr>
                <w:rFonts w:ascii="inherit" w:hAnsi="inherit"/>
                <w:strike w:val="false"/>
                <w:dstrike w:val="false"/>
                <w:color w:val="000000"/>
                <w:sz w:val="20"/>
                <w:u w:val="none"/>
                <w:effect w:val="none"/>
              </w:rPr>
              <w:t>134</w:t>
            </w:r>
            <w:r>
              <w:rPr>
                <w:rFonts w:ascii="inherit" w:hAnsi="inherit"/>
                <w:sz w:val="20"/>
              </w:rPr>
              <w:t xml:space="preserve">. Including acquisitions, the company has added </w:t>
            </w:r>
            <w:r>
              <w:rPr>
                <w:rFonts w:ascii="inherit" w:hAnsi="inherit"/>
                <w:strike w:val="false"/>
                <w:dstrike w:val="false"/>
                <w:color w:val="000000"/>
                <w:sz w:val="20"/>
                <w:u w:val="none"/>
                <w:effect w:val="none"/>
              </w:rPr>
              <w:t>172</w:t>
            </w:r>
            <w:r>
              <w:rPr>
                <w:sz w:val="20"/>
              </w:rPr>
              <w:t xml:space="preserve"> </w:t>
            </w:r>
            <w:r>
              <w:rPr>
                <w:rFonts w:ascii="inherit" w:hAnsi="inherit"/>
                <w:sz w:val="20"/>
              </w:rPr>
              <w:t xml:space="preserve">locations this fiscal year.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 xml:space="preserve">New Channels </w:t>
            </w:r>
            <w:r>
              <w:rPr>
                <w:sz w:val="20"/>
              </w:rPr>
              <w:t xml:space="preserve">— </w:t>
            </w:r>
            <w:r>
              <w:rPr>
                <w:rFonts w:ascii="inherit" w:hAnsi="inherit"/>
                <w:sz w:val="20"/>
              </w:rPr>
              <w:t xml:space="preserve">Loan balances at Grupo Finmart grew </w:t>
            </w:r>
            <w:r>
              <w:rPr>
                <w:rFonts w:ascii="inherit" w:hAnsi="inherit"/>
                <w:strike w:val="false"/>
                <w:dstrike w:val="false"/>
                <w:color w:val="000000"/>
                <w:sz w:val="20"/>
                <w:u w:val="none"/>
                <w:effect w:val="none"/>
              </w:rPr>
              <w:t>53%</w:t>
            </w:r>
            <w:r>
              <w:rPr>
                <w:sz w:val="20"/>
              </w:rPr>
              <w:t xml:space="preserve"> </w:t>
            </w:r>
            <w:r>
              <w:rPr>
                <w:rFonts w:ascii="inherit" w:hAnsi="inherit"/>
                <w:sz w:val="20"/>
              </w:rPr>
              <w:t xml:space="preserve">year-over-year. Online loan balances within the U.K. grew 170% over the same quarter last year. At quarter end, 40% of the company's </w:t>
            </w:r>
          </w:p>
        </w:tc>
      </w:tr>
    </w:tbl>
    <w:p>
      <w:pPr>
        <w:pStyle w:val="TextBody"/>
        <w:spacing w:before="0" w:after="0"/>
        <w:rPr/>
      </w:pPr>
      <w:r>
        <w:rPr/>
      </w:r>
    </w:p>
    <w:p>
      <w:pPr>
        <w:pStyle w:val="TextBody"/>
        <w:spacing w:lineRule="auto" w:line="288" w:before="0" w:after="0"/>
        <w:jc w:val="center"/>
        <w:rPr>
          <w:sz w:val="17"/>
        </w:rPr>
      </w:pPr>
      <w:r>
        <w:rPr>
          <w:rFonts w:ascii="inherit" w:hAnsi="inherit"/>
          <w:sz w:val="17"/>
        </w:rPr>
        <w:t>4</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jc w:val="both"/>
        <w:rPr>
          <w:rFonts w:ascii="inherit" w:hAnsi="inherit"/>
          <w:sz w:val="20"/>
        </w:rPr>
      </w:pPr>
      <w:r>
        <w:rPr>
          <w:rFonts w:ascii="inherit" w:hAnsi="inherit"/>
          <w:sz w:val="20"/>
        </w:rPr>
        <w:t>loan balances were attributable to loans other than pawn loans or payday loans, compared to 32% a year ago. Online retail accounted for 6% of total U.S. sales during the quarter, compared to less than 1% for the same period last year.</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 xml:space="preserve">New Products </w:t>
            </w:r>
            <w:r>
              <w:rPr>
                <w:sz w:val="20"/>
              </w:rPr>
              <w:t xml:space="preserve">— </w:t>
            </w:r>
            <w:r>
              <w:rPr>
                <w:rFonts w:ascii="inherit" w:hAnsi="inherit"/>
                <w:sz w:val="20"/>
              </w:rPr>
              <w:t>The company continues to develop new products to respond to customer preferences and regulatory changes. Both online lending businesses added installment products. The company launched its partnership with Western Union, and is now successfully retailing inventory online.</w:t>
            </w:r>
          </w:p>
        </w:tc>
      </w:tr>
    </w:tbl>
    <w:p>
      <w:pPr>
        <w:pStyle w:val="TextBody"/>
        <w:spacing w:lineRule="auto" w:line="288" w:before="0" w:after="0"/>
        <w:jc w:val="both"/>
        <w:rPr>
          <w:rFonts w:ascii="inherit" w:hAnsi="inherit"/>
          <w:b/>
          <w:sz w:val="20"/>
          <w:u w:val="single"/>
        </w:rPr>
      </w:pPr>
      <w:r>
        <w:rPr>
          <w:rFonts w:ascii="inherit" w:hAnsi="inherit"/>
          <w:b/>
          <w:sz w:val="20"/>
          <w:u w:val="single"/>
        </w:rPr>
        <w:t>CEO Commentary</w:t>
      </w:r>
    </w:p>
    <w:p>
      <w:pPr>
        <w:pStyle w:val="TextBody"/>
        <w:spacing w:lineRule="auto" w:line="288" w:before="0" w:after="0"/>
        <w:jc w:val="left"/>
        <w:rPr/>
      </w:pPr>
      <w:r>
        <w:rPr/>
        <w:t>“</w:t>
      </w:r>
      <w:r>
        <w:rPr>
          <w:rFonts w:ascii="inherit" w:hAnsi="inherit"/>
          <w:sz w:val="20"/>
        </w:rPr>
        <w:t>We are pleased to report strong consolidated revenues for the third fiscal quarter, particularly in the face of the volatile gold market. And our non-gold businesses are performing very well. While the customer is certainly impacted by the current macro trends, they continue to pick us as their preferred provider of cash, as evidenced by our significant, consistent growth in earning assets," said Paul Rothamel, EZCORP's President and Chief Executive Officer.</w:t>
      </w:r>
    </w:p>
    <w:p>
      <w:pPr>
        <w:pStyle w:val="TextBody"/>
        <w:spacing w:lineRule="auto" w:line="288" w:before="0" w:after="0"/>
        <w:jc w:val="left"/>
        <w:rPr>
          <w:rFonts w:ascii="inherit" w:hAnsi="inherit"/>
          <w:sz w:val="20"/>
        </w:rPr>
      </w:pPr>
      <w:r>
        <w:rPr>
          <w:rFonts w:ascii="inherit" w:hAnsi="inherit"/>
          <w:sz w:val="20"/>
        </w:rPr>
        <w:t>"Our team members have remained committed to our vision, and as a result of their hard work, we continue to make progress in diversifying our business across geographies, products and channels."</w:t>
      </w:r>
    </w:p>
    <w:p>
      <w:pPr>
        <w:pStyle w:val="TextBody"/>
        <w:spacing w:lineRule="auto" w:line="288" w:before="0" w:after="0"/>
        <w:jc w:val="left"/>
        <w:rPr>
          <w:rFonts w:ascii="inherit" w:hAnsi="inherit"/>
          <w:sz w:val="20"/>
        </w:rPr>
      </w:pPr>
      <w:r>
        <w:rPr>
          <w:rFonts w:ascii="inherit" w:hAnsi="inherit"/>
          <w:sz w:val="20"/>
        </w:rPr>
        <w:t>"Looking ahead, we are confident that our size, scale and industry expertise are significant competitive advantages over the long term. We intend to continue to grow by providing our customers with the products and services they want, when they want and how they want, and we expect to be a market leader in the communities we serve for decades to come,” said Rothamel.</w:t>
      </w:r>
    </w:p>
    <w:p>
      <w:pPr>
        <w:pStyle w:val="TextBody"/>
        <w:spacing w:lineRule="auto" w:line="288" w:before="0" w:after="0"/>
        <w:jc w:val="both"/>
        <w:rPr>
          <w:rFonts w:ascii="inherit" w:hAnsi="inherit"/>
          <w:b/>
          <w:i/>
          <w:sz w:val="18"/>
        </w:rPr>
      </w:pPr>
      <w:bookmarkStart w:id="23" w:name="sDD008A7DAE040712FF78CD294A6D059B"/>
      <w:bookmarkEnd w:id="23"/>
      <w:r>
        <w:rPr>
          <w:rFonts w:ascii="inherit" w:hAnsi="inherit"/>
          <w:b/>
          <w:i/>
          <w:sz w:val="18"/>
        </w:rPr>
        <w:t>The company provides supplemental information on its website. For additional content, please see "Investor Resources &amp; Supplemental Information" at http://investors.ezcorp.com/.</w:t>
      </w:r>
    </w:p>
    <w:p>
      <w:pPr>
        <w:pStyle w:val="TextBody"/>
        <w:spacing w:lineRule="auto" w:line="288" w:before="0" w:after="0"/>
        <w:jc w:val="left"/>
        <w:rPr>
          <w:rFonts w:ascii="inherit" w:hAnsi="inherit"/>
          <w:b/>
          <w:sz w:val="20"/>
        </w:rPr>
      </w:pPr>
      <w:r>
        <w:rPr>
          <w:rFonts w:ascii="inherit" w:hAnsi="inherit"/>
          <w:b/>
          <w:sz w:val="20"/>
        </w:rPr>
        <w:t>About EZCORP</w:t>
      </w:r>
    </w:p>
    <w:p>
      <w:pPr>
        <w:pStyle w:val="TextBody"/>
        <w:spacing w:lineRule="auto" w:line="288" w:before="0" w:after="0"/>
        <w:jc w:val="left"/>
        <w:rPr>
          <w:rFonts w:ascii="inherit" w:hAnsi="inherit"/>
          <w:sz w:val="20"/>
        </w:rPr>
      </w:pPr>
      <w:r>
        <w:rPr>
          <w:rFonts w:ascii="inherit" w:hAnsi="inherit"/>
          <w:sz w:val="20"/>
        </w:rPr>
        <w:t>EZCORP is a leading provider of easy cash solutions for consumers, employing approximately 7,800 teammates and operating over 1,300 company-operated pawn, buy/sell and personal financial services locations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w:t>
      </w:r>
    </w:p>
    <w:p>
      <w:pPr>
        <w:pStyle w:val="TextBody"/>
        <w:spacing w:lineRule="auto" w:line="288" w:before="0" w:after="0"/>
        <w:jc w:val="left"/>
        <w:rPr>
          <w:rFonts w:ascii="inherit" w:hAnsi="inherit"/>
          <w:sz w:val="20"/>
        </w:rPr>
      </w:pPr>
      <w:r>
        <w:rPr>
          <w:rFonts w:ascii="inherit" w:hAnsi="inherit"/>
          <w:sz w:val="20"/>
        </w:rPr>
        <w:t>EZCORP owns controlling interests in Prestaciones Finmart, S.A.P.I. de C.V., SOFOM, E.N.R. (doing business under the names “Crediamigo” and “Adex”), a leading provider of payroll deduction loans in Mexico; in Ariste Holding Limited (doing business under the name “Cash Genie”), a leading provider of online loans in the U.K.; and in Renueva Commercial, S.A.P.I. de C.V., an operator of buy/sell stores in Mexico under the name “TUYO.” The company also has significant investments in Albemarle &amp; Bond Holdings PLC (ABM.L), one of the U.K.'s largest pawnbroking businesses with over 180 full-line stores offering pawnbroking, jewelry retailing, gold buying and financial services; and in Cash Converters International Limited (CCV.ASX), which franchises and operates a worldwide network of over 700 stores that provide personal financial services and sell pre-owned merchandise.</w:t>
      </w:r>
    </w:p>
    <w:p>
      <w:pPr>
        <w:pStyle w:val="TextBody"/>
        <w:spacing w:lineRule="auto" w:line="288" w:before="0" w:after="0"/>
        <w:jc w:val="left"/>
        <w:rPr>
          <w:rFonts w:ascii="inherit" w:hAnsi="inherit"/>
          <w:sz w:val="20"/>
        </w:rPr>
      </w:pPr>
      <w:r>
        <w:rPr>
          <w:rFonts w:ascii="inherit" w:hAnsi="inherit"/>
          <w:sz w:val="20"/>
        </w:rPr>
        <w:t>For the latest information on EZCORP, please visit our website at: http://investors.ezcorp.com/.</w:t>
      </w:r>
    </w:p>
    <w:p>
      <w:pPr>
        <w:pStyle w:val="TextBody"/>
        <w:spacing w:lineRule="auto" w:line="288" w:before="0" w:after="0"/>
        <w:jc w:val="left"/>
        <w:rPr>
          <w:rFonts w:ascii="inherit" w:hAnsi="inherit"/>
          <w:b/>
          <w:sz w:val="20"/>
        </w:rPr>
      </w:pPr>
      <w:r>
        <w:rPr>
          <w:rFonts w:ascii="inherit" w:hAnsi="inherit"/>
          <w:b/>
          <w:sz w:val="20"/>
        </w:rPr>
        <w:t>Forward-Looking Statements</w:t>
      </w:r>
    </w:p>
    <w:p>
      <w:pPr>
        <w:pStyle w:val="TextBody"/>
        <w:spacing w:lineRule="auto" w:line="288" w:before="0" w:after="0"/>
        <w:jc w:val="left"/>
        <w:rPr>
          <w:rFonts w:ascii="inherit" w:hAnsi="inherit"/>
          <w:sz w:val="20"/>
        </w:rPr>
      </w:pPr>
      <w:r>
        <w:rPr>
          <w:rFonts w:ascii="inherit" w:hAnsi="inherit"/>
          <w:sz w:val="20"/>
        </w:rPr>
        <w:t xml:space="preserve">This announcement contains certain forward-looking statements regarding the company's expected operating and financial performance for future periods. These statements are based on the company's current expectations. Actual results for future periods may differ materially from those expressed or </w:t>
      </w:r>
    </w:p>
    <w:p>
      <w:pPr>
        <w:pStyle w:val="TextBody"/>
        <w:spacing w:before="0" w:after="0"/>
        <w:rPr/>
      </w:pPr>
      <w:r>
        <w:rPr/>
      </w:r>
    </w:p>
    <w:p>
      <w:pPr>
        <w:pStyle w:val="TextBody"/>
        <w:spacing w:lineRule="auto" w:line="288" w:before="0" w:after="0"/>
        <w:jc w:val="center"/>
        <w:rPr>
          <w:sz w:val="17"/>
        </w:rPr>
      </w:pPr>
      <w:r>
        <w:rPr>
          <w:rFonts w:ascii="inherit" w:hAnsi="inherit"/>
          <w:sz w:val="17"/>
        </w:rPr>
        <w:t>5</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jc w:val="left"/>
        <w:rPr>
          <w:rFonts w:ascii="inherit" w:hAnsi="inherit"/>
          <w:b/>
          <w:sz w:val="20"/>
        </w:rPr>
      </w:pPr>
      <w:r>
        <w:rPr>
          <w:rFonts w:ascii="inherit" w:hAnsi="inherit"/>
          <w:b/>
          <w:sz w:val="20"/>
        </w:rPr>
        <w:t>Contact</w:t>
      </w:r>
    </w:p>
    <w:p>
      <w:pPr>
        <w:pStyle w:val="TextBody"/>
        <w:spacing w:lineRule="auto" w:line="288" w:before="0" w:after="0"/>
        <w:jc w:val="both"/>
        <w:rPr>
          <w:rFonts w:ascii="inherit" w:hAnsi="inherit"/>
          <w:sz w:val="20"/>
        </w:rPr>
      </w:pPr>
      <w:r>
        <w:rPr>
          <w:rFonts w:ascii="inherit" w:hAnsi="inherit"/>
          <w:sz w:val="20"/>
        </w:rPr>
        <w:t>Mark Trinske</w:t>
      </w:r>
    </w:p>
    <w:p>
      <w:pPr>
        <w:pStyle w:val="TextBody"/>
        <w:spacing w:lineRule="auto" w:line="288" w:before="0" w:after="0"/>
        <w:jc w:val="both"/>
        <w:rPr>
          <w:rFonts w:ascii="inherit" w:hAnsi="inherit"/>
          <w:sz w:val="20"/>
        </w:rPr>
      </w:pPr>
      <w:r>
        <w:rPr>
          <w:rFonts w:ascii="inherit" w:hAnsi="inherit"/>
          <w:sz w:val="20"/>
        </w:rPr>
        <w:t>Vice President, Investor Relations and Communications</w:t>
      </w:r>
    </w:p>
    <w:p>
      <w:pPr>
        <w:pStyle w:val="TextBody"/>
        <w:spacing w:lineRule="auto" w:line="288" w:before="0" w:after="0"/>
        <w:jc w:val="both"/>
        <w:rPr>
          <w:rFonts w:ascii="inherit" w:hAnsi="inherit"/>
          <w:sz w:val="20"/>
        </w:rPr>
      </w:pPr>
      <w:r>
        <w:rPr>
          <w:rFonts w:ascii="inherit" w:hAnsi="inherit"/>
          <w:sz w:val="20"/>
        </w:rPr>
        <w:t>EZCORP, Inc.</w:t>
      </w:r>
    </w:p>
    <w:p>
      <w:pPr>
        <w:pStyle w:val="TextBody"/>
        <w:spacing w:lineRule="auto" w:line="288" w:before="0" w:after="0"/>
        <w:jc w:val="both"/>
        <w:rPr>
          <w:rFonts w:ascii="inherit" w:hAnsi="inherit"/>
          <w:sz w:val="20"/>
        </w:rPr>
      </w:pPr>
      <w:r>
        <w:rPr>
          <w:rFonts w:ascii="inherit" w:hAnsi="inherit"/>
          <w:sz w:val="20"/>
        </w:rPr>
        <w:t>(512) 314-2220</w:t>
      </w:r>
    </w:p>
    <w:p>
      <w:pPr>
        <w:pStyle w:val="TextBody"/>
        <w:spacing w:lineRule="auto" w:line="288" w:before="0" w:after="0"/>
        <w:jc w:val="both"/>
        <w:rPr>
          <w:rFonts w:ascii="inherit" w:hAnsi="inherit"/>
          <w:sz w:val="20"/>
        </w:rPr>
      </w:pPr>
      <w:r>
        <w:rPr>
          <w:rFonts w:ascii="inherit" w:hAnsi="inherit"/>
          <w:sz w:val="20"/>
        </w:rPr>
        <w:t>Investor_Relations@ezcorp.com</w:t>
      </w:r>
    </w:p>
    <w:p>
      <w:pPr>
        <w:pStyle w:val="TextBody"/>
        <w:spacing w:lineRule="auto" w:line="288" w:before="0" w:after="0"/>
        <w:jc w:val="both"/>
        <w:rPr>
          <w:rFonts w:ascii="inherit" w:hAnsi="inherit"/>
          <w:sz w:val="20"/>
        </w:rPr>
      </w:pPr>
      <w:r>
        <w:rPr>
          <w:rFonts w:ascii="inherit" w:hAnsi="inherit"/>
          <w:sz w:val="20"/>
        </w:rPr>
        <w:t>http://investors.ezcorp.com/</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rPr>
          <w:rFonts w:ascii="inherit" w:hAnsi="inherit"/>
          <w:sz w:val="20"/>
        </w:rPr>
      </w:pPr>
      <w:r>
        <w:rPr>
          <w:rFonts w:ascii="inherit" w:hAnsi="inherit"/>
          <w:sz w:val="20"/>
        </w:rPr>
      </w:r>
    </w:p>
    <w:p>
      <w:pPr>
        <w:pStyle w:val="TextBody"/>
        <w:spacing w:before="0" w:after="0"/>
        <w:rPr/>
      </w:pPr>
      <w:r>
        <w:rPr/>
      </w:r>
    </w:p>
    <w:p>
      <w:pPr>
        <w:pStyle w:val="TextBody"/>
        <w:spacing w:lineRule="auto" w:line="288" w:before="0" w:after="0"/>
        <w:jc w:val="center"/>
        <w:rPr>
          <w:sz w:val="17"/>
        </w:rPr>
      </w:pPr>
      <w:r>
        <w:rPr>
          <w:rFonts w:ascii="inherit" w:hAnsi="inherit"/>
          <w:sz w:val="17"/>
        </w:rPr>
        <w:t>6</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24" w:name="sE68565E590A32D30C23FCD294A909E77"/>
      <w:bookmarkStart w:id="25" w:name="sE68565E590A32D30C23FCD294A909E77"/>
      <w:bookmarkEnd w:id="25"/>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26" w:name="s79AF07C864764A2D4627CD290792B2F4"/>
      <w:bookmarkEnd w:id="26"/>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Highlights of Consolidated Statements of Operations (Unaudited)</w:t>
      </w:r>
    </w:p>
    <w:p>
      <w:pPr>
        <w:pStyle w:val="TextBody"/>
        <w:spacing w:lineRule="auto" w:line="288" w:before="0" w:after="0"/>
        <w:jc w:val="center"/>
        <w:rPr>
          <w:rFonts w:ascii="inherit" w:hAnsi="inherit"/>
          <w:i/>
          <w:sz w:val="17"/>
        </w:rPr>
      </w:pPr>
      <w:r>
        <w:rPr>
          <w:rFonts w:ascii="inherit" w:hAnsi="inherit"/>
          <w:i/>
          <w:sz w:val="17"/>
        </w:rPr>
        <w:t>(in thousands, except per share data)</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539"/>
        <w:gridCol w:w="155"/>
        <w:gridCol w:w="799"/>
        <w:gridCol w:w="155"/>
        <w:gridCol w:w="137"/>
        <w:gridCol w:w="155"/>
        <w:gridCol w:w="799"/>
        <w:gridCol w:w="155"/>
        <w:gridCol w:w="137"/>
        <w:gridCol w:w="155"/>
        <w:gridCol w:w="883"/>
        <w:gridCol w:w="155"/>
        <w:gridCol w:w="137"/>
        <w:gridCol w:w="155"/>
        <w:gridCol w:w="883"/>
        <w:gridCol w:w="806"/>
      </w:tblGrid>
      <w:tr>
        <w:trPr/>
        <w:tc>
          <w:tcPr>
            <w:tcW w:w="10205" w:type="dxa"/>
            <w:gridSpan w:val="16"/>
            <w:tcBorders/>
            <w:shd w:fill="auto" w:val="clear"/>
            <w:vAlign w:val="center"/>
          </w:tcPr>
          <w:p>
            <w:pPr>
              <w:pStyle w:val="TableContents"/>
              <w:spacing w:lineRule="auto" w:line="288" w:before="0" w:after="0"/>
              <w:jc w:val="center"/>
              <w:rPr>
                <w:rFonts w:ascii="inherit" w:hAnsi="inherit"/>
                <w:sz w:val="15"/>
              </w:rPr>
            </w:pPr>
            <w:r>
              <w:rPr>
                <w:rFonts w:ascii="inherit" w:hAnsi="inherit"/>
                <w:sz w:val="15"/>
              </w:rPr>
            </w:r>
          </w:p>
        </w:tc>
      </w:tr>
      <w:tr>
        <w:trPr/>
        <w:tc>
          <w:tcPr>
            <w:tcW w:w="45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39" w:type="dxa"/>
            <w:tcBorders/>
            <w:shd w:fill="auto" w:val="clear"/>
            <w:vAlign w:val="center"/>
          </w:tcPr>
          <w:p>
            <w:pPr>
              <w:pStyle w:val="TableContents"/>
              <w:spacing w:before="0" w:after="0"/>
              <w:ind w:left="0" w:right="0" w:firstLine="30"/>
              <w:rPr/>
            </w:pPr>
            <w:r>
              <w:rPr/>
              <w:t> </w:t>
            </w:r>
          </w:p>
        </w:tc>
        <w:tc>
          <w:tcPr>
            <w:tcW w:w="235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137" w:type="dxa"/>
            <w:tcBorders/>
            <w:shd w:fill="auto" w:val="clear"/>
            <w:vAlign w:val="center"/>
          </w:tcPr>
          <w:p>
            <w:pPr>
              <w:pStyle w:val="TableContents"/>
              <w:spacing w:before="0" w:after="0"/>
              <w:ind w:left="0" w:right="0" w:firstLine="30"/>
              <w:rPr/>
            </w:pPr>
            <w:r>
              <w:rPr/>
              <w:t> </w:t>
            </w:r>
          </w:p>
        </w:tc>
        <w:tc>
          <w:tcPr>
            <w:tcW w:w="317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w:t>
              <w:br/>
              <w:t>June 30,</w:t>
            </w:r>
          </w:p>
        </w:tc>
      </w:tr>
      <w:tr>
        <w:trPr/>
        <w:tc>
          <w:tcPr>
            <w:tcW w:w="4539" w:type="dxa"/>
            <w:tcBorders/>
            <w:shd w:fill="auto" w:val="clear"/>
            <w:vAlign w:val="center"/>
          </w:tcPr>
          <w:p>
            <w:pPr>
              <w:pStyle w:val="TableContents"/>
              <w:spacing w:before="0" w:after="0"/>
              <w:ind w:left="0" w:right="0" w:firstLine="30"/>
              <w:jc w:val="left"/>
              <w:rPr/>
            </w:pPr>
            <w:r>
              <w:rPr/>
              <w:t> </w:t>
            </w:r>
          </w:p>
        </w:tc>
        <w:tc>
          <w:tcPr>
            <w:tcW w:w="110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7" w:type="dxa"/>
            <w:tcBorders/>
            <w:shd w:fill="auto" w:val="clear"/>
            <w:vAlign w:val="center"/>
          </w:tcPr>
          <w:p>
            <w:pPr>
              <w:pStyle w:val="TableContents"/>
              <w:spacing w:before="0" w:after="0"/>
              <w:ind w:left="0" w:right="0" w:firstLine="30"/>
              <w:rPr/>
            </w:pPr>
            <w:r>
              <w:rPr/>
              <w:t> </w:t>
            </w:r>
          </w:p>
        </w:tc>
        <w:tc>
          <w:tcPr>
            <w:tcW w:w="11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7" w:type="dxa"/>
            <w:tcBorders/>
            <w:shd w:fill="auto" w:val="clear"/>
            <w:vAlign w:val="center"/>
          </w:tcPr>
          <w:p>
            <w:pPr>
              <w:pStyle w:val="TableContents"/>
              <w:spacing w:before="0" w:after="0"/>
              <w:ind w:left="0" w:right="0" w:firstLine="30"/>
              <w:rPr/>
            </w:pPr>
            <w:r>
              <w:rPr/>
              <w:t> </w:t>
            </w:r>
          </w:p>
        </w:tc>
        <w:tc>
          <w:tcPr>
            <w:tcW w:w="11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7" w:type="dxa"/>
            <w:tcBorders/>
            <w:shd w:fill="auto" w:val="clear"/>
            <w:vAlign w:val="center"/>
          </w:tcPr>
          <w:p>
            <w:pPr>
              <w:pStyle w:val="TableContents"/>
              <w:spacing w:before="0" w:after="0"/>
              <w:ind w:left="0" w:right="0" w:firstLine="30"/>
              <w:rPr/>
            </w:pPr>
            <w:r>
              <w:rPr/>
              <w:t> </w:t>
            </w:r>
          </w:p>
        </w:tc>
        <w:tc>
          <w:tcPr>
            <w:tcW w:w="184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539" w:type="dxa"/>
            <w:tcBorders/>
            <w:shd w:fill="auto" w:val="clear"/>
            <w:vAlign w:val="center"/>
          </w:tcPr>
          <w:p>
            <w:pPr>
              <w:pStyle w:val="TableContents"/>
              <w:spacing w:before="0" w:after="0"/>
              <w:ind w:left="0" w:right="0" w:firstLine="30"/>
              <w:jc w:val="left"/>
              <w:rPr/>
            </w:pPr>
            <w:r>
              <w:rPr/>
              <w:t> </w:t>
            </w:r>
          </w:p>
        </w:tc>
        <w:tc>
          <w:tcPr>
            <w:tcW w:w="5666" w:type="dxa"/>
            <w:gridSpan w:val="15"/>
            <w:tcBorders/>
            <w:shd w:fill="auto" w:val="clear"/>
            <w:vAlign w:val="center"/>
          </w:tcPr>
          <w:p>
            <w:pPr>
              <w:pStyle w:val="TableContents"/>
              <w:spacing w:before="0" w:after="0"/>
              <w:ind w:left="0" w:right="0" w:firstLine="30"/>
              <w:rPr/>
            </w:pPr>
            <w:r>
              <w:rPr/>
              <w:t> </w:t>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Revenues:</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93"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844" w:type="dxa"/>
            <w:gridSpan w:val="3"/>
            <w:tcBorders/>
            <w:shd w:fill="CCEEFF" w:val="clear"/>
            <w:vAlign w:val="center"/>
          </w:tcPr>
          <w:p>
            <w:pPr>
              <w:pStyle w:val="TableContents"/>
              <w:spacing w:before="0" w:after="0"/>
              <w:ind w:left="0" w:right="0" w:firstLine="420"/>
              <w:rPr/>
            </w:pPr>
            <w:r>
              <w:rPr/>
              <w:t> </w:t>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Merchandise sales</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shd w:fill="auto" w:val="clear"/>
            <w:vAlign w:val="center"/>
          </w:tcPr>
          <w:p>
            <w:pPr>
              <w:pStyle w:val="TableContents"/>
              <w:spacing w:before="0" w:after="0"/>
              <w:jc w:val="right"/>
              <w:rPr>
                <w:rFonts w:ascii="inherit" w:hAnsi="inherit"/>
                <w:sz w:val="13"/>
              </w:rPr>
            </w:pPr>
            <w:r>
              <w:rPr>
                <w:rFonts w:ascii="inherit" w:hAnsi="inherit"/>
                <w:sz w:val="13"/>
              </w:rPr>
              <w:t>86,576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shd w:fill="auto" w:val="clear"/>
            <w:vAlign w:val="center"/>
          </w:tcPr>
          <w:p>
            <w:pPr>
              <w:pStyle w:val="TableContents"/>
              <w:spacing w:before="0" w:after="0"/>
              <w:jc w:val="right"/>
              <w:rPr>
                <w:rFonts w:ascii="inherit" w:hAnsi="inherit"/>
                <w:sz w:val="13"/>
              </w:rPr>
            </w:pPr>
            <w:r>
              <w:rPr>
                <w:rFonts w:ascii="inherit" w:hAnsi="inherit"/>
                <w:sz w:val="13"/>
              </w:rPr>
              <w:t>75,286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shd w:fill="auto" w:val="clear"/>
            <w:vAlign w:val="center"/>
          </w:tcPr>
          <w:p>
            <w:pPr>
              <w:pStyle w:val="TableContents"/>
              <w:spacing w:before="0" w:after="0"/>
              <w:jc w:val="right"/>
              <w:rPr>
                <w:rFonts w:ascii="inherit" w:hAnsi="inherit"/>
                <w:sz w:val="13"/>
              </w:rPr>
            </w:pPr>
            <w:r>
              <w:rPr>
                <w:rFonts w:ascii="inherit" w:hAnsi="inherit"/>
                <w:sz w:val="13"/>
              </w:rPr>
              <w:t>281,262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shd w:fill="auto" w:val="clear"/>
            <w:vAlign w:val="center"/>
          </w:tcPr>
          <w:p>
            <w:pPr>
              <w:pStyle w:val="TableContents"/>
              <w:spacing w:before="0" w:after="0"/>
              <w:jc w:val="right"/>
              <w:rPr>
                <w:rFonts w:ascii="inherit" w:hAnsi="inherit"/>
                <w:sz w:val="13"/>
              </w:rPr>
            </w:pPr>
            <w:r>
              <w:rPr>
                <w:rFonts w:ascii="inherit" w:hAnsi="inherit"/>
                <w:sz w:val="13"/>
              </w:rPr>
              <w:t>256,271</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sales</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26,288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40,530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113,579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147,066</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60,397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55,656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187,812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170,880</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59,234</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51,753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183,119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143,594</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revenues</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2,671</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1,348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10,169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3,351</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revenues</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235,166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224,573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775,941</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721,162</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Merchandise cost of goods sold</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51,050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43,842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164,711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147,621</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cost of goods sold</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20,377</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27,116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80,993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92,807</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bad debt</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12,518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10,689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34,496</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27,269</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revenues</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151,221</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142,926</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495,741</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453,465</w:t>
            </w:r>
          </w:p>
        </w:tc>
        <w:tc>
          <w:tcPr>
            <w:tcW w:w="80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expenses:</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93"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44" w:type="dxa"/>
            <w:gridSpan w:val="3"/>
            <w:tcBorders/>
            <w:shd w:fill="auto" w:val="clear"/>
            <w:vAlign w:val="center"/>
          </w:tcPr>
          <w:p>
            <w:pPr>
              <w:pStyle w:val="TableContents"/>
              <w:spacing w:before="0" w:after="0"/>
              <w:ind w:left="0" w:right="0" w:firstLine="30"/>
              <w:rPr/>
            </w:pPr>
            <w:r>
              <w:rPr/>
              <w:t> </w:t>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Operations</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104,230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85,200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309,346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248,014</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Administrative</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12,644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9,857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34,918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33,509</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Depreciation and amortization</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8,968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7,019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24,629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18,965</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Loss on sale or disposal of assets</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178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313</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220</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operating expenses</w:t>
            </w:r>
          </w:p>
        </w:tc>
        <w:tc>
          <w:tcPr>
            <w:tcW w:w="9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126,020</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102,389</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369,113</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300,596</w:t>
            </w:r>
          </w:p>
        </w:tc>
        <w:tc>
          <w:tcPr>
            <w:tcW w:w="80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income</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25,201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40,537</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126,628</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152,869</w:t>
            </w:r>
          </w:p>
        </w:tc>
        <w:tc>
          <w:tcPr>
            <w:tcW w:w="80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Interest income</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(471</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(133</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(787</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(486</w:t>
            </w:r>
          </w:p>
        </w:tc>
        <w:tc>
          <w:tcPr>
            <w:tcW w:w="8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39"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Interest expense</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4,108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1,030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11,814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4,180</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Equity in net income of unconsolidated affiliates</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(4,328</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(4,197</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(13,491</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(12,935</w:t>
            </w:r>
          </w:p>
        </w:tc>
        <w:tc>
          <w:tcPr>
            <w:tcW w:w="8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39"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Other (income) expense</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96</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160</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(157</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from continuing operations before income taxes</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25,796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43,677</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129,092</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162,267</w:t>
            </w:r>
          </w:p>
        </w:tc>
        <w:tc>
          <w:tcPr>
            <w:tcW w:w="80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expense</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9,139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12,718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42,084</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52,664</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Income from continuing operations, net of tax</w:t>
            </w:r>
          </w:p>
        </w:tc>
        <w:tc>
          <w:tcPr>
            <w:tcW w:w="95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16,657</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30,959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87,008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109,603</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Loss from discontinued operations, net of tax</w:t>
            </w:r>
          </w:p>
        </w:tc>
        <w:tc>
          <w:tcPr>
            <w:tcW w:w="95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(21,497</w:t>
            </w:r>
          </w:p>
        </w:tc>
        <w:tc>
          <w:tcPr>
            <w:tcW w:w="15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(1,248</w:t>
            </w:r>
          </w:p>
        </w:tc>
        <w:tc>
          <w:tcPr>
            <w:tcW w:w="15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(24,813</w:t>
            </w:r>
          </w:p>
        </w:tc>
        <w:tc>
          <w:tcPr>
            <w:tcW w:w="15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(3,167</w:t>
            </w:r>
          </w:p>
        </w:tc>
        <w:tc>
          <w:tcPr>
            <w:tcW w:w="806"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39"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(loss) income</w:t>
            </w:r>
          </w:p>
        </w:tc>
        <w:tc>
          <w:tcPr>
            <w:tcW w:w="9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(4,840</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29,711</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62,195</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106,436</w:t>
            </w:r>
          </w:p>
        </w:tc>
        <w:tc>
          <w:tcPr>
            <w:tcW w:w="80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from continuing operations attributable to redeemable noncontrolling interest</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1,041</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1,188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3,378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1,300</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(loss) income attributable to EZCORP, Inc.</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(5,881</w:t>
            </w:r>
          </w:p>
        </w:tc>
        <w:tc>
          <w:tcPr>
            <w:tcW w:w="15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28,523</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58,817</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105,136</w:t>
            </w:r>
          </w:p>
        </w:tc>
        <w:tc>
          <w:tcPr>
            <w:tcW w:w="80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93"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44" w:type="dxa"/>
            <w:gridSpan w:val="3"/>
            <w:tcBorders/>
            <w:shd w:fill="auto" w:val="clear"/>
            <w:vAlign w:val="center"/>
          </w:tcPr>
          <w:p>
            <w:pPr>
              <w:pStyle w:val="TableContents"/>
              <w:spacing w:before="0" w:after="0"/>
              <w:ind w:left="0" w:right="0" w:firstLine="30"/>
              <w:rPr/>
            </w:pPr>
            <w:r>
              <w:rPr/>
              <w:t> </w:t>
            </w:r>
          </w:p>
        </w:tc>
      </w:tr>
      <w:tr>
        <w:trPr/>
        <w:tc>
          <w:tcPr>
            <w:tcW w:w="4539"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Basic (loss) earnings per share attributable to EZCORP, Inc.:</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93"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844" w:type="dxa"/>
            <w:gridSpan w:val="3"/>
            <w:tcBorders/>
            <w:shd w:fill="CCEEFF" w:val="clear"/>
            <w:vAlign w:val="center"/>
          </w:tcPr>
          <w:p>
            <w:pPr>
              <w:pStyle w:val="TableContents"/>
              <w:spacing w:before="0" w:after="0"/>
              <w:ind w:left="0" w:right="0" w:firstLine="420"/>
              <w:rPr/>
            </w:pPr>
            <w:r>
              <w:rPr/>
              <w:t> </w:t>
            </w:r>
          </w:p>
        </w:tc>
      </w:tr>
      <w:tr>
        <w:trPr/>
        <w:tc>
          <w:tcPr>
            <w:tcW w:w="4539"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 xml:space="preserve">Continuing operations attributable to EZCORP, Inc.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shd w:fill="auto" w:val="clear"/>
            <w:vAlign w:val="center"/>
          </w:tcPr>
          <w:p>
            <w:pPr>
              <w:pStyle w:val="TableContents"/>
              <w:spacing w:before="0" w:after="0"/>
              <w:jc w:val="right"/>
              <w:rPr>
                <w:rFonts w:ascii="inherit" w:hAnsi="inherit"/>
                <w:sz w:val="13"/>
              </w:rPr>
            </w:pPr>
            <w:r>
              <w:rPr>
                <w:rFonts w:ascii="inherit" w:hAnsi="inherit"/>
                <w:sz w:val="13"/>
              </w:rPr>
              <w:t>0.29</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shd w:fill="auto" w:val="clear"/>
            <w:vAlign w:val="center"/>
          </w:tcPr>
          <w:p>
            <w:pPr>
              <w:pStyle w:val="TableContents"/>
              <w:spacing w:before="0" w:after="0"/>
              <w:jc w:val="right"/>
              <w:rPr>
                <w:rFonts w:ascii="inherit" w:hAnsi="inherit"/>
                <w:sz w:val="13"/>
              </w:rPr>
            </w:pPr>
            <w:r>
              <w:rPr>
                <w:rFonts w:ascii="inherit" w:hAnsi="inherit"/>
                <w:sz w:val="13"/>
              </w:rPr>
              <w:t>0.58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shd w:fill="auto" w:val="clear"/>
            <w:vAlign w:val="center"/>
          </w:tcPr>
          <w:p>
            <w:pPr>
              <w:pStyle w:val="TableContents"/>
              <w:spacing w:before="0" w:after="0"/>
              <w:jc w:val="right"/>
              <w:rPr>
                <w:rFonts w:ascii="inherit" w:hAnsi="inherit"/>
                <w:sz w:val="13"/>
              </w:rPr>
            </w:pPr>
            <w:r>
              <w:rPr>
                <w:rFonts w:ascii="inherit" w:hAnsi="inherit"/>
                <w:sz w:val="13"/>
              </w:rPr>
              <w:t>1.56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shd w:fill="auto" w:val="clear"/>
            <w:vAlign w:val="center"/>
          </w:tcPr>
          <w:p>
            <w:pPr>
              <w:pStyle w:val="TableContents"/>
              <w:spacing w:before="0" w:after="0"/>
              <w:jc w:val="right"/>
              <w:rPr>
                <w:rFonts w:ascii="inherit" w:hAnsi="inherit"/>
                <w:sz w:val="13"/>
              </w:rPr>
            </w:pPr>
            <w:r>
              <w:rPr>
                <w:rFonts w:ascii="inherit" w:hAnsi="inherit"/>
                <w:sz w:val="13"/>
              </w:rPr>
              <w:t>2.13</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Discontinued operations</w:t>
            </w:r>
          </w:p>
        </w:tc>
        <w:tc>
          <w:tcPr>
            <w:tcW w:w="15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(0.40</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(0.02</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5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(0.46</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(0.06</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4539"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Basic (loss) earnings per share</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(0.11</w:t>
            </w:r>
          </w:p>
        </w:tc>
        <w:tc>
          <w:tcPr>
            <w:tcW w:w="15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0.56</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1.10</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2.07</w:t>
            </w:r>
          </w:p>
        </w:tc>
        <w:tc>
          <w:tcPr>
            <w:tcW w:w="80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rPr/>
            </w:pPr>
            <w:r>
              <w:rPr/>
              <w:t> </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93"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844" w:type="dxa"/>
            <w:gridSpan w:val="3"/>
            <w:tcBorders/>
            <w:shd w:fill="CCEEFF" w:val="clear"/>
            <w:vAlign w:val="center"/>
          </w:tcPr>
          <w:p>
            <w:pPr>
              <w:pStyle w:val="TableContents"/>
              <w:spacing w:before="0" w:after="0"/>
              <w:ind w:left="0" w:right="0" w:firstLine="30"/>
              <w:rPr/>
            </w:pPr>
            <w:r>
              <w:rPr/>
              <w:t> </w:t>
            </w:r>
          </w:p>
        </w:tc>
      </w:tr>
      <w:tr>
        <w:trPr/>
        <w:tc>
          <w:tcPr>
            <w:tcW w:w="4539"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Diluted earnings per share attributable to EZCORP, Inc.:</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93"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44" w:type="dxa"/>
            <w:gridSpan w:val="3"/>
            <w:tcBorders/>
            <w:shd w:fill="auto" w:val="clear"/>
            <w:vAlign w:val="center"/>
          </w:tcPr>
          <w:p>
            <w:pPr>
              <w:pStyle w:val="TableContents"/>
              <w:spacing w:before="0" w:after="0"/>
              <w:ind w:left="0" w:right="0" w:firstLine="420"/>
              <w:rPr/>
            </w:pPr>
            <w:r>
              <w:rPr/>
              <w:t> </w:t>
            </w:r>
          </w:p>
        </w:tc>
      </w:tr>
      <w:tr>
        <w:trPr/>
        <w:tc>
          <w:tcPr>
            <w:tcW w:w="4539"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 xml:space="preserve">Continuing operations attributable to EZCORP, Inc.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shd w:fill="CCEEFF" w:val="clear"/>
            <w:vAlign w:val="center"/>
          </w:tcPr>
          <w:p>
            <w:pPr>
              <w:pStyle w:val="TableContents"/>
              <w:spacing w:before="0" w:after="0"/>
              <w:jc w:val="right"/>
              <w:rPr>
                <w:rFonts w:ascii="inherit" w:hAnsi="inherit"/>
                <w:sz w:val="13"/>
              </w:rPr>
            </w:pPr>
            <w:r>
              <w:rPr>
                <w:rFonts w:ascii="inherit" w:hAnsi="inherit"/>
                <w:sz w:val="13"/>
              </w:rPr>
              <w:t>0.29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shd w:fill="CCEEFF" w:val="clear"/>
            <w:vAlign w:val="center"/>
          </w:tcPr>
          <w:p>
            <w:pPr>
              <w:pStyle w:val="TableContents"/>
              <w:spacing w:before="0" w:after="0"/>
              <w:jc w:val="right"/>
              <w:rPr>
                <w:rFonts w:ascii="inherit" w:hAnsi="inherit"/>
                <w:sz w:val="13"/>
              </w:rPr>
            </w:pPr>
            <w:r>
              <w:rPr>
                <w:rFonts w:ascii="inherit" w:hAnsi="inherit"/>
                <w:sz w:val="13"/>
              </w:rPr>
              <w:t>0.58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shd w:fill="CCEEFF" w:val="clear"/>
            <w:vAlign w:val="center"/>
          </w:tcPr>
          <w:p>
            <w:pPr>
              <w:pStyle w:val="TableContents"/>
              <w:spacing w:before="0" w:after="0"/>
              <w:jc w:val="right"/>
              <w:rPr>
                <w:rFonts w:ascii="inherit" w:hAnsi="inherit"/>
                <w:sz w:val="13"/>
              </w:rPr>
            </w:pPr>
            <w:r>
              <w:rPr>
                <w:rFonts w:ascii="inherit" w:hAnsi="inherit"/>
                <w:sz w:val="13"/>
              </w:rPr>
              <w:t>1.56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shd w:fill="CCEEFF" w:val="clear"/>
            <w:vAlign w:val="center"/>
          </w:tcPr>
          <w:p>
            <w:pPr>
              <w:pStyle w:val="TableContents"/>
              <w:spacing w:before="0" w:after="0"/>
              <w:jc w:val="right"/>
              <w:rPr>
                <w:rFonts w:ascii="inherit" w:hAnsi="inherit"/>
                <w:sz w:val="13"/>
              </w:rPr>
            </w:pPr>
            <w:r>
              <w:rPr>
                <w:rFonts w:ascii="inherit" w:hAnsi="inherit"/>
                <w:sz w:val="13"/>
              </w:rPr>
              <w:t>2.12</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Discontinued operations</w:t>
            </w:r>
          </w:p>
        </w:tc>
        <w:tc>
          <w:tcPr>
            <w:tcW w:w="15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(0.40</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(0.02</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(0.46</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(0.06</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Diluted earnings per share</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(0.11</w:t>
            </w:r>
          </w:p>
        </w:tc>
        <w:tc>
          <w:tcPr>
            <w:tcW w:w="15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0.56</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1.10</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2.06</w:t>
            </w:r>
          </w:p>
        </w:tc>
        <w:tc>
          <w:tcPr>
            <w:tcW w:w="80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93"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44" w:type="dxa"/>
            <w:gridSpan w:val="3"/>
            <w:tcBorders/>
            <w:shd w:fill="auto" w:val="clear"/>
            <w:vAlign w:val="center"/>
          </w:tcPr>
          <w:p>
            <w:pPr>
              <w:pStyle w:val="TableContents"/>
              <w:spacing w:before="0" w:after="0"/>
              <w:ind w:left="0" w:right="0" w:firstLine="30"/>
              <w:rPr/>
            </w:pPr>
            <w:r>
              <w:rPr/>
              <w:t> </w:t>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Weighted average shares outstanding:</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93"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844" w:type="dxa"/>
            <w:gridSpan w:val="3"/>
            <w:tcBorders/>
            <w:shd w:fill="CCEEFF" w:val="clear"/>
            <w:vAlign w:val="center"/>
          </w:tcPr>
          <w:p>
            <w:pPr>
              <w:pStyle w:val="TableContents"/>
              <w:spacing w:before="0" w:after="0"/>
              <w:ind w:left="0" w:right="0" w:firstLine="420"/>
              <w:rPr/>
            </w:pPr>
            <w:r>
              <w:rPr/>
              <w:t> </w:t>
            </w:r>
          </w:p>
        </w:tc>
      </w:tr>
      <w:tr>
        <w:trPr/>
        <w:tc>
          <w:tcPr>
            <w:tcW w:w="45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Basic</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54,196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51,162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53,465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50,769</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Diluted</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54,255</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51,340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53,540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51,042</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93"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44" w:type="dxa"/>
            <w:gridSpan w:val="3"/>
            <w:tcBorders/>
            <w:shd w:fill="auto" w:val="clear"/>
            <w:vAlign w:val="center"/>
          </w:tcPr>
          <w:p>
            <w:pPr>
              <w:pStyle w:val="TableContents"/>
              <w:spacing w:before="0" w:after="0"/>
              <w:ind w:left="0" w:right="0" w:firstLine="420"/>
              <w:rPr/>
            </w:pPr>
            <w:r>
              <w:rPr/>
              <w:t> </w:t>
            </w:r>
          </w:p>
        </w:tc>
      </w:tr>
      <w:tr>
        <w:trPr/>
        <w:tc>
          <w:tcPr>
            <w:tcW w:w="4539"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income from continuing operations attributable to EZCORP, Inc.</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15,616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29,771</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83,630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108,303</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39"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Net loss from discontinued operations attributable to EZCORP, Inc.</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(21,497</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(1,248</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(24,813</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(3,167</w:t>
            </w:r>
          </w:p>
        </w:tc>
        <w:tc>
          <w:tcPr>
            <w:tcW w:w="8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(loss) income attributable to EZCORP, Inc.</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(5,881</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28,523</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58,817</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105,136</w:t>
            </w:r>
          </w:p>
        </w:tc>
        <w:tc>
          <w:tcPr>
            <w:tcW w:w="80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before="0" w:after="0"/>
        <w:jc w:val="center"/>
        <w:rPr>
          <w:sz w:val="17"/>
        </w:rPr>
      </w:pPr>
      <w:r>
        <w:rPr>
          <w:rFonts w:ascii="inherit" w:hAnsi="inherit"/>
          <w:sz w:val="17"/>
        </w:rPr>
        <w:t>7</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27" w:name="s6F7136B95D24ADA255D9CD290CB239CF"/>
      <w:bookmarkStart w:id="28" w:name="s6F7136B95D24ADA255D9CD290CB239CF"/>
      <w:bookmarkEnd w:id="28"/>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Highlights of Consolidated Balance Sheets (Unaudited)</w:t>
      </w:r>
    </w:p>
    <w:p>
      <w:pPr>
        <w:pStyle w:val="TextBody"/>
        <w:spacing w:lineRule="auto" w:line="288" w:before="0" w:after="0"/>
        <w:jc w:val="center"/>
        <w:rPr>
          <w:rFonts w:ascii="inherit" w:hAnsi="inherit"/>
          <w:i/>
          <w:sz w:val="17"/>
        </w:rPr>
      </w:pPr>
      <w:r>
        <w:rPr>
          <w:rFonts w:ascii="inherit" w:hAnsi="inherit"/>
          <w:i/>
          <w:sz w:val="17"/>
        </w:rPr>
        <w:t>(in thousands)</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5239"/>
        <w:gridCol w:w="189"/>
        <w:gridCol w:w="1539"/>
        <w:gridCol w:w="83"/>
        <w:gridCol w:w="140"/>
        <w:gridCol w:w="189"/>
        <w:gridCol w:w="1539"/>
        <w:gridCol w:w="1287"/>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23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39" w:type="dxa"/>
            <w:tcBorders/>
            <w:shd w:fill="auto" w:val="clear"/>
            <w:vAlign w:val="center"/>
          </w:tcPr>
          <w:p>
            <w:pPr>
              <w:pStyle w:val="TableContents"/>
              <w:spacing w:before="0" w:after="0"/>
              <w:ind w:left="0" w:right="0" w:firstLine="30"/>
              <w:jc w:val="left"/>
              <w:rPr/>
            </w:pPr>
            <w:r>
              <w:rPr/>
              <w:t> </w:t>
            </w:r>
          </w:p>
        </w:tc>
        <w:tc>
          <w:tcPr>
            <w:tcW w:w="496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r>
      <w:tr>
        <w:trPr/>
        <w:tc>
          <w:tcPr>
            <w:tcW w:w="5239" w:type="dxa"/>
            <w:tcBorders/>
            <w:shd w:fill="auto" w:val="clear"/>
            <w:vAlign w:val="center"/>
          </w:tcPr>
          <w:p>
            <w:pPr>
              <w:pStyle w:val="TableContents"/>
              <w:spacing w:before="0" w:after="0"/>
              <w:ind w:left="0" w:right="0" w:firstLine="30"/>
              <w:jc w:val="left"/>
              <w:rPr/>
            </w:pPr>
            <w:r>
              <w:rPr/>
              <w:t> </w:t>
            </w:r>
          </w:p>
        </w:tc>
        <w:tc>
          <w:tcPr>
            <w:tcW w:w="181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0" w:type="dxa"/>
            <w:tcBorders/>
            <w:shd w:fill="auto" w:val="clear"/>
            <w:vAlign w:val="center"/>
          </w:tcPr>
          <w:p>
            <w:pPr>
              <w:pStyle w:val="TableContents"/>
              <w:spacing w:before="0" w:after="0"/>
              <w:ind w:left="0" w:right="0" w:firstLine="30"/>
              <w:rPr/>
            </w:pPr>
            <w:r>
              <w:rPr/>
              <w:t> </w:t>
            </w:r>
          </w:p>
        </w:tc>
        <w:tc>
          <w:tcPr>
            <w:tcW w:w="301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23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Assets:</w:t>
            </w:r>
          </w:p>
        </w:tc>
        <w:tc>
          <w:tcPr>
            <w:tcW w:w="1811"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3015" w:type="dxa"/>
            <w:gridSpan w:val="3"/>
            <w:tcBorders/>
            <w:shd w:fill="CCEEFF" w:val="clear"/>
            <w:vAlign w:val="center"/>
          </w:tcPr>
          <w:p>
            <w:pPr>
              <w:pStyle w:val="TableContents"/>
              <w:spacing w:before="0" w:after="0"/>
              <w:ind w:left="0" w:right="0" w:firstLine="420"/>
              <w:rPr/>
            </w:pPr>
            <w:r>
              <w:rPr/>
              <w:t> </w:t>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811"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3015" w:type="dxa"/>
            <w:gridSpan w:val="3"/>
            <w:tcBorders/>
            <w:shd w:fill="auto" w:val="clear"/>
            <w:vAlign w:val="center"/>
          </w:tcPr>
          <w:p>
            <w:pPr>
              <w:pStyle w:val="TableContents"/>
              <w:spacing w:before="0" w:after="0"/>
              <w:ind w:left="0" w:right="0" w:firstLine="780"/>
              <w:rPr/>
            </w:pPr>
            <w:r>
              <w:rPr/>
              <w:t> </w:t>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8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539" w:type="dxa"/>
            <w:tcBorders/>
            <w:shd w:fill="CCEEFF" w:val="clear"/>
            <w:vAlign w:val="center"/>
          </w:tcPr>
          <w:p>
            <w:pPr>
              <w:pStyle w:val="TableContents"/>
              <w:spacing w:before="0" w:after="0"/>
              <w:jc w:val="right"/>
              <w:rPr>
                <w:rFonts w:ascii="inherit" w:hAnsi="inherit"/>
                <w:sz w:val="17"/>
              </w:rPr>
            </w:pPr>
            <w:r>
              <w:rPr>
                <w:rFonts w:ascii="inherit" w:hAnsi="inherit"/>
                <w:sz w:val="17"/>
              </w:rPr>
              <w:t>45,955</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8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539" w:type="dxa"/>
            <w:tcBorders/>
            <w:shd w:fill="CCEEFF" w:val="clear"/>
            <w:vAlign w:val="center"/>
          </w:tcPr>
          <w:p>
            <w:pPr>
              <w:pStyle w:val="TableContents"/>
              <w:spacing w:before="0" w:after="0"/>
              <w:jc w:val="right"/>
              <w:rPr>
                <w:rFonts w:ascii="inherit" w:hAnsi="inherit"/>
                <w:sz w:val="17"/>
              </w:rPr>
            </w:pPr>
            <w:r>
              <w:rPr>
                <w:rFonts w:ascii="inherit" w:hAnsi="inherit"/>
                <w:sz w:val="17"/>
              </w:rPr>
              <w:t>49,030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restricted</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2,795</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154,095</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147,477</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42,717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28,764</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28,590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26,092</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35,610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25,729</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122,503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94,421</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15,716</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18,226</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receivable</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12,937</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9,383</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7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37,377</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40,268</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498,632</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442,185</w:t>
            </w:r>
          </w:p>
        </w:tc>
        <w:tc>
          <w:tcPr>
            <w:tcW w:w="1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146,707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125,309</w:t>
            </w:r>
          </w:p>
        </w:tc>
        <w:tc>
          <w:tcPr>
            <w:tcW w:w="1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110,312</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100,242</w:t>
            </w:r>
          </w:p>
        </w:tc>
        <w:tc>
          <w:tcPr>
            <w:tcW w:w="1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 non-current</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2,182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pPr>
            <w:r>
              <w:rPr/>
              <w:t>—</w:t>
            </w:r>
          </w:p>
        </w:tc>
        <w:tc>
          <w:tcPr>
            <w:tcW w:w="1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426,148</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366,286</w:t>
            </w:r>
          </w:p>
        </w:tc>
        <w:tc>
          <w:tcPr>
            <w:tcW w:w="1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 net</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64,533</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37,166</w:t>
            </w:r>
          </w:p>
        </w:tc>
        <w:tc>
          <w:tcPr>
            <w:tcW w:w="1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82,631</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54,479</w:t>
            </w:r>
          </w:p>
        </w:tc>
        <w:tc>
          <w:tcPr>
            <w:tcW w:w="1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7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23,056</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10,108</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Total assets</w:t>
            </w:r>
          </w:p>
        </w:tc>
        <w:tc>
          <w:tcPr>
            <w:tcW w:w="18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5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1,354,201</w:t>
            </w:r>
          </w:p>
        </w:tc>
        <w:tc>
          <w:tcPr>
            <w:tcW w:w="8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8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5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1,135,775</w:t>
            </w:r>
          </w:p>
        </w:tc>
        <w:tc>
          <w:tcPr>
            <w:tcW w:w="12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Liabilities and stockholders’ equity:</w:t>
            </w:r>
          </w:p>
        </w:tc>
        <w:tc>
          <w:tcPr>
            <w:tcW w:w="1811"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3015" w:type="dxa"/>
            <w:gridSpan w:val="3"/>
            <w:tcBorders/>
            <w:shd w:fill="auto" w:val="clear"/>
            <w:vAlign w:val="center"/>
          </w:tcPr>
          <w:p>
            <w:pPr>
              <w:pStyle w:val="TableContents"/>
              <w:spacing w:before="0" w:after="0"/>
              <w:ind w:left="0" w:right="0" w:firstLine="420"/>
              <w:rPr/>
            </w:pPr>
            <w:r>
              <w:rPr/>
              <w:t> </w:t>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811"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3015" w:type="dxa"/>
            <w:gridSpan w:val="3"/>
            <w:tcBorders/>
            <w:shd w:fill="CCEEFF" w:val="clear"/>
            <w:vAlign w:val="center"/>
          </w:tcPr>
          <w:p>
            <w:pPr>
              <w:pStyle w:val="TableContents"/>
              <w:spacing w:before="0" w:after="0"/>
              <w:ind w:left="0" w:right="0" w:firstLine="780"/>
              <w:rPr/>
            </w:pPr>
            <w:r>
              <w:rPr/>
              <w:t> </w:t>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w:t>
            </w:r>
          </w:p>
        </w:tc>
        <w:tc>
          <w:tcPr>
            <w:tcW w:w="18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539" w:type="dxa"/>
            <w:tcBorders/>
            <w:shd w:fill="auto" w:val="clear"/>
            <w:vAlign w:val="center"/>
          </w:tcPr>
          <w:p>
            <w:pPr>
              <w:pStyle w:val="TableContents"/>
              <w:spacing w:before="0" w:after="0"/>
              <w:jc w:val="right"/>
              <w:rPr>
                <w:rFonts w:ascii="inherit" w:hAnsi="inherit"/>
                <w:sz w:val="17"/>
              </w:rPr>
            </w:pPr>
            <w:r>
              <w:rPr>
                <w:rFonts w:ascii="inherit" w:hAnsi="inherit"/>
                <w:sz w:val="17"/>
              </w:rPr>
              <w:t>33,525</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539" w:type="dxa"/>
            <w:tcBorders/>
            <w:shd w:fill="auto" w:val="clear"/>
            <w:vAlign w:val="center"/>
          </w:tcPr>
          <w:p>
            <w:pPr>
              <w:pStyle w:val="TableContents"/>
              <w:spacing w:before="0" w:after="0"/>
              <w:jc w:val="right"/>
              <w:rPr>
                <w:rFonts w:ascii="inherit" w:hAnsi="inherit"/>
                <w:sz w:val="17"/>
              </w:rPr>
            </w:pPr>
            <w:r>
              <w:rPr>
                <w:rFonts w:ascii="inherit" w:hAnsi="inherit"/>
                <w:sz w:val="17"/>
              </w:rPr>
              <w:t>31,126</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capital lease obligations</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68,960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54,487</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22,640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14,848</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7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7,912</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6,740</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133,570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107,596</w:t>
            </w:r>
          </w:p>
        </w:tc>
        <w:tc>
          <w:tcPr>
            <w:tcW w:w="1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198,374</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175,740</w:t>
            </w:r>
          </w:p>
        </w:tc>
        <w:tc>
          <w:tcPr>
            <w:tcW w:w="1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capital lease obligations</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521</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764</w:t>
            </w:r>
          </w:p>
        </w:tc>
        <w:tc>
          <w:tcPr>
            <w:tcW w:w="1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8,948</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7,788</w:t>
            </w:r>
          </w:p>
        </w:tc>
        <w:tc>
          <w:tcPr>
            <w:tcW w:w="1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72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16,451</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13,250</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 liabilities</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357,864</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305,138</w:t>
            </w:r>
          </w:p>
        </w:tc>
        <w:tc>
          <w:tcPr>
            <w:tcW w:w="1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Temporary equity:</w:t>
            </w:r>
          </w:p>
        </w:tc>
        <w:tc>
          <w:tcPr>
            <w:tcW w:w="1811"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3015" w:type="dxa"/>
            <w:gridSpan w:val="3"/>
            <w:tcBorders/>
            <w:shd w:fill="CCEEFF" w:val="clear"/>
            <w:vAlign w:val="center"/>
          </w:tcPr>
          <w:p>
            <w:pPr>
              <w:pStyle w:val="TableContents"/>
              <w:spacing w:before="0" w:after="0"/>
              <w:ind w:left="0" w:right="0" w:firstLine="420"/>
              <w:rPr/>
            </w:pPr>
            <w:r>
              <w:rPr/>
              <w:t> </w:t>
            </w:r>
          </w:p>
        </w:tc>
      </w:tr>
      <w:tr>
        <w:trPr/>
        <w:tc>
          <w:tcPr>
            <w:tcW w:w="5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56,837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44,864</w:t>
            </w:r>
          </w:p>
        </w:tc>
        <w:tc>
          <w:tcPr>
            <w:tcW w:w="1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17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939,500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2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785,773</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239"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 liabilities and stockholders’ equity</w:t>
            </w:r>
          </w:p>
        </w:tc>
        <w:tc>
          <w:tcPr>
            <w:tcW w:w="1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5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1,354,201</w:t>
            </w:r>
          </w:p>
        </w:tc>
        <w:tc>
          <w:tcPr>
            <w:tcW w:w="8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89" w:type="dxa"/>
            <w:tcBorders>
              <w:bottom w:val="double" w:sz="6"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53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1,135,775</w:t>
            </w:r>
          </w:p>
        </w:tc>
        <w:tc>
          <w:tcPr>
            <w:tcW w:w="12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39" w:type="dxa"/>
            <w:tcBorders/>
            <w:shd w:fill="CCEEFF" w:val="clear"/>
            <w:vAlign w:val="center"/>
          </w:tcPr>
          <w:p>
            <w:pPr>
              <w:pStyle w:val="TableContents"/>
              <w:spacing w:before="0" w:after="0"/>
              <w:ind w:left="0" w:right="0" w:firstLine="30"/>
              <w:rPr/>
            </w:pPr>
            <w:r>
              <w:rPr/>
              <w:t> </w:t>
            </w:r>
          </w:p>
        </w:tc>
        <w:tc>
          <w:tcPr>
            <w:tcW w:w="1811"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3015" w:type="dxa"/>
            <w:gridSpan w:val="3"/>
            <w:tcBorders>
              <w:top w:val="double" w:sz="6" w:space="0" w:color="000000"/>
            </w:tcBorders>
            <w:shd w:fill="CCEEFF" w:val="clear"/>
            <w:tcMar>
              <w:top w:w="30" w:type="dxa"/>
            </w:tcMar>
            <w:vAlign w:val="center"/>
          </w:tcPr>
          <w:p>
            <w:pPr>
              <w:pStyle w:val="TableContents"/>
              <w:spacing w:before="0" w:after="0"/>
              <w:rPr/>
            </w:pPr>
            <w:r>
              <w:rPr/>
              <w:t> </w:t>
            </w:r>
          </w:p>
        </w:tc>
      </w:tr>
    </w:tbl>
    <w:p>
      <w:pPr>
        <w:pStyle w:val="TextBody"/>
        <w:spacing w:before="0" w:after="0"/>
        <w:rPr/>
      </w:pPr>
      <w:r>
        <w:rPr/>
      </w:r>
    </w:p>
    <w:p>
      <w:pPr>
        <w:pStyle w:val="TextBody"/>
        <w:spacing w:lineRule="auto" w:line="288" w:before="0" w:after="0"/>
        <w:jc w:val="center"/>
        <w:rPr>
          <w:sz w:val="17"/>
        </w:rPr>
      </w:pPr>
      <w:r>
        <w:rPr>
          <w:rFonts w:ascii="inherit" w:hAnsi="inherit"/>
          <w:sz w:val="17"/>
        </w:rPr>
        <w:t>8</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29" w:name="s22DD690B27B0B855C2DBCD2908324224"/>
      <w:bookmarkStart w:id="30" w:name="s22DD690B27B0B855C2DBCD2908324224"/>
      <w:bookmarkEnd w:id="30"/>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 xml:space="preserve">(in thousands) </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024"/>
        <w:gridCol w:w="166"/>
        <w:gridCol w:w="943"/>
        <w:gridCol w:w="152"/>
        <w:gridCol w:w="133"/>
        <w:gridCol w:w="166"/>
        <w:gridCol w:w="943"/>
        <w:gridCol w:w="76"/>
        <w:gridCol w:w="133"/>
        <w:gridCol w:w="210"/>
        <w:gridCol w:w="1019"/>
        <w:gridCol w:w="192"/>
        <w:gridCol w:w="133"/>
        <w:gridCol w:w="166"/>
        <w:gridCol w:w="943"/>
        <w:gridCol w:w="80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0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24" w:type="dxa"/>
            <w:tcBorders/>
            <w:shd w:fill="auto" w:val="clear"/>
            <w:vAlign w:val="center"/>
          </w:tcPr>
          <w:p>
            <w:pPr>
              <w:pStyle w:val="TableContents"/>
              <w:spacing w:before="0" w:after="0"/>
              <w:ind w:left="0" w:right="0" w:firstLine="30"/>
              <w:jc w:val="left"/>
              <w:rPr/>
            </w:pPr>
            <w:r>
              <w:rPr/>
              <w:t> </w:t>
            </w:r>
          </w:p>
        </w:tc>
        <w:tc>
          <w:tcPr>
            <w:tcW w:w="6181"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2013</w:t>
            </w:r>
          </w:p>
        </w:tc>
      </w:tr>
      <w:tr>
        <w:trPr/>
        <w:tc>
          <w:tcPr>
            <w:tcW w:w="4024" w:type="dxa"/>
            <w:tcBorders/>
            <w:shd w:fill="auto" w:val="clear"/>
            <w:vAlign w:val="center"/>
          </w:tcPr>
          <w:p>
            <w:pPr>
              <w:pStyle w:val="TableContents"/>
              <w:spacing w:before="0" w:after="0"/>
              <w:ind w:left="0" w:right="0" w:firstLine="30"/>
              <w:rPr/>
            </w:pPr>
            <w:r>
              <w:rPr/>
              <w:t>  </w:t>
            </w:r>
          </w:p>
        </w:tc>
        <w:tc>
          <w:tcPr>
            <w:tcW w:w="126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4024" w:type="dxa"/>
            <w:tcBorders/>
            <w:shd w:fill="auto" w:val="clear"/>
            <w:vAlign w:val="center"/>
          </w:tcPr>
          <w:p>
            <w:pPr>
              <w:pStyle w:val="TableContents"/>
              <w:spacing w:before="0" w:after="0"/>
              <w:ind w:left="0" w:right="0" w:firstLine="30"/>
              <w:jc w:val="left"/>
              <w:rPr/>
            </w:pPr>
            <w:r>
              <w:rPr/>
              <w:t> </w:t>
            </w:r>
          </w:p>
        </w:tc>
        <w:tc>
          <w:tcPr>
            <w:tcW w:w="6181" w:type="dxa"/>
            <w:gridSpan w:val="15"/>
            <w:tcBorders/>
            <w:shd w:fill="auto" w:val="clear"/>
            <w:vAlign w:val="center"/>
          </w:tcPr>
          <w:p>
            <w:pPr>
              <w:pStyle w:val="TableContents"/>
              <w:spacing w:before="0" w:after="0"/>
              <w:ind w:left="0" w:right="0" w:firstLine="30"/>
              <w:rPr/>
            </w:pPr>
            <w:r>
              <w:rPr/>
              <w:t> </w:t>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915" w:type="dxa"/>
            <w:gridSpan w:val="3"/>
            <w:tcBorders/>
            <w:shd w:fill="CCEEFF" w:val="clear"/>
            <w:vAlign w:val="center"/>
          </w:tcPr>
          <w:p>
            <w:pPr>
              <w:pStyle w:val="TableContents"/>
              <w:spacing w:before="0" w:after="0"/>
              <w:ind w:left="0" w:right="0" w:firstLine="420"/>
              <w:rPr/>
            </w:pPr>
            <w:r>
              <w:rPr/>
              <w:t> </w:t>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71,464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15,112</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21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9" w:type="dxa"/>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86,576</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26,288</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26,288</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52,505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7,892</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60,397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40,279</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12,864</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6,091</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59,234</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1,058</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1,034</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2,671</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191,594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36,902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6,670</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235,166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41,795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9,255</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51,050</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20,285</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20,377</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9,994</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685</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1,839</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119,520</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26,870</w:t>
            </w:r>
          </w:p>
        </w:tc>
        <w:tc>
          <w:tcPr>
            <w:tcW w:w="7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4,831</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151,221</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shd w:fill="auto" w:val="clear"/>
            <w:vAlign w:val="center"/>
          </w:tcPr>
          <w:p>
            <w:pPr>
              <w:pStyle w:val="TableContents"/>
              <w:spacing w:before="0" w:after="0"/>
              <w:ind w:left="0" w:right="0" w:firstLine="420"/>
              <w:rPr/>
            </w:pPr>
            <w:r>
              <w:rPr/>
              <w:t> </w:t>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Operations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84,194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16,513</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3,523</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104,230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4,905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1,854</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6,877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expense, net</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2,790</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2,765</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09"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(4,328</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(4,328</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expense</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30,272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5,652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21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9" w:type="dxa"/>
            <w:tcBorders/>
            <w:shd w:fill="CCEEFF" w:val="clear"/>
            <w:vAlign w:val="center"/>
          </w:tcPr>
          <w:p>
            <w:pPr>
              <w:pStyle w:val="TableContents"/>
              <w:spacing w:before="0" w:after="0"/>
              <w:jc w:val="right"/>
              <w:rPr>
                <w:rFonts w:ascii="inherit" w:hAnsi="inherit"/>
                <w:sz w:val="17"/>
              </w:rPr>
            </w:pPr>
            <w:r>
              <w:rPr>
                <w:rFonts w:ascii="inherit" w:hAnsi="inherit"/>
                <w:sz w:val="17"/>
              </w:rPr>
              <w:t>5,518</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41,442</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shd w:fill="auto" w:val="clear"/>
            <w:vAlign w:val="center"/>
          </w:tcPr>
          <w:p>
            <w:pPr>
              <w:pStyle w:val="TableContents"/>
              <w:spacing w:before="0" w:after="0"/>
              <w:ind w:left="0" w:right="0" w:firstLine="420"/>
              <w:rPr/>
            </w:pPr>
            <w:r>
              <w:rPr/>
              <w:t> </w:t>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12,644</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2,091</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872</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before taxes</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25,796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9,139</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16,657</w:t>
            </w:r>
          </w:p>
        </w:tc>
        <w:tc>
          <w:tcPr>
            <w:tcW w:w="80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(21,497</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loss</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(4,840</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1,041</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loss attributable to EZCORP, Inc.</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(5,881</w:t>
            </w:r>
          </w:p>
        </w:tc>
        <w:tc>
          <w:tcPr>
            <w:tcW w:w="80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9</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31" w:name="s22DD690B27B0B855C2DBCD29083242241"/>
      <w:bookmarkStart w:id="32" w:name="s22DD690B27B0B855C2DBCD29083242241"/>
      <w:bookmarkEnd w:id="32"/>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(in thousands)</w:t>
      </w:r>
    </w:p>
    <w:p>
      <w:pPr>
        <w:pStyle w:val="TextBody"/>
        <w:spacing w:lineRule="auto" w:line="288" w:before="0" w:after="0"/>
        <w:jc w:val="center"/>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024"/>
        <w:gridCol w:w="166"/>
        <w:gridCol w:w="943"/>
        <w:gridCol w:w="76"/>
        <w:gridCol w:w="133"/>
        <w:gridCol w:w="166"/>
        <w:gridCol w:w="943"/>
        <w:gridCol w:w="152"/>
        <w:gridCol w:w="133"/>
        <w:gridCol w:w="210"/>
        <w:gridCol w:w="1019"/>
        <w:gridCol w:w="192"/>
        <w:gridCol w:w="133"/>
        <w:gridCol w:w="166"/>
        <w:gridCol w:w="943"/>
        <w:gridCol w:w="80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0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24" w:type="dxa"/>
            <w:tcBorders/>
            <w:shd w:fill="auto" w:val="clear"/>
            <w:vAlign w:val="center"/>
          </w:tcPr>
          <w:p>
            <w:pPr>
              <w:pStyle w:val="TableContents"/>
              <w:spacing w:before="0" w:after="0"/>
              <w:ind w:left="0" w:right="0" w:firstLine="30"/>
              <w:jc w:val="left"/>
              <w:rPr/>
            </w:pPr>
            <w:r>
              <w:rPr/>
              <w:t> </w:t>
            </w:r>
          </w:p>
        </w:tc>
        <w:tc>
          <w:tcPr>
            <w:tcW w:w="6181"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2012</w:t>
            </w:r>
          </w:p>
        </w:tc>
      </w:tr>
      <w:tr>
        <w:trPr/>
        <w:tc>
          <w:tcPr>
            <w:tcW w:w="4024" w:type="dxa"/>
            <w:tcBorders/>
            <w:shd w:fill="auto" w:val="clear"/>
            <w:vAlign w:val="center"/>
          </w:tcPr>
          <w:p>
            <w:pPr>
              <w:pStyle w:val="TableContents"/>
              <w:spacing w:before="0" w:after="0"/>
              <w:ind w:left="0" w:right="0" w:firstLine="30"/>
              <w:rPr/>
            </w:pPr>
            <w:r>
              <w:rPr/>
              <w:t>  </w:t>
            </w:r>
          </w:p>
        </w:tc>
        <w:tc>
          <w:tcPr>
            <w:tcW w:w="118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4024" w:type="dxa"/>
            <w:tcBorders/>
            <w:shd w:fill="auto" w:val="clear"/>
            <w:vAlign w:val="center"/>
          </w:tcPr>
          <w:p>
            <w:pPr>
              <w:pStyle w:val="TableContents"/>
              <w:spacing w:before="0" w:after="0"/>
              <w:ind w:left="0" w:right="0" w:firstLine="30"/>
              <w:jc w:val="left"/>
              <w:rPr/>
            </w:pPr>
            <w:r>
              <w:rPr/>
              <w:t> </w:t>
            </w:r>
          </w:p>
        </w:tc>
        <w:tc>
          <w:tcPr>
            <w:tcW w:w="6181" w:type="dxa"/>
            <w:gridSpan w:val="15"/>
            <w:tcBorders/>
            <w:shd w:fill="auto" w:val="clear"/>
            <w:vAlign w:val="center"/>
          </w:tcPr>
          <w:p>
            <w:pPr>
              <w:pStyle w:val="TableContents"/>
              <w:spacing w:before="0" w:after="0"/>
              <w:ind w:left="0" w:right="0" w:firstLine="30"/>
              <w:rPr/>
            </w:pPr>
            <w:r>
              <w:rPr/>
              <w:t> </w:t>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915" w:type="dxa"/>
            <w:gridSpan w:val="3"/>
            <w:tcBorders/>
            <w:shd w:fill="CCEEFF" w:val="clear"/>
            <w:vAlign w:val="center"/>
          </w:tcPr>
          <w:p>
            <w:pPr>
              <w:pStyle w:val="TableContents"/>
              <w:spacing w:before="0" w:after="0"/>
              <w:ind w:left="0" w:right="0" w:firstLine="420"/>
              <w:rPr/>
            </w:pPr>
            <w:r>
              <w:rPr/>
              <w:t> </w:t>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65,221</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10,065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21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9" w:type="dxa"/>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75,286</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37,298</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3,232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40,530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49,969</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5,687</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55,656</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37,492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10,381</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3,880</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51,753</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643</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547</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1,348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190,623</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29,912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4,038</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224,573</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38,174</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5,668</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43,842</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24,337</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2,779</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27,116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8,806</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632</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10,689</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revenues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119,306</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20,833</w:t>
            </w:r>
          </w:p>
        </w:tc>
        <w:tc>
          <w:tcPr>
            <w:tcW w:w="15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2,787</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142,926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shd w:fill="auto" w:val="clear"/>
            <w:vAlign w:val="center"/>
          </w:tcPr>
          <w:p>
            <w:pPr>
              <w:pStyle w:val="TableContents"/>
              <w:spacing w:before="0" w:after="0"/>
              <w:ind w:left="0" w:right="0" w:firstLine="420"/>
              <w:rPr/>
            </w:pPr>
            <w:r>
              <w:rPr/>
              <w:t> </w:t>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70,666</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11,722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2,812</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85,200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3,608</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1,942</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5,644</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(Gain) loss on sale or disposal of assets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expense, net</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0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 expense</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497</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w:t>
            </w:r>
          </w:p>
        </w:tc>
        <w:tc>
          <w:tcPr>
            <w:tcW w:w="1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(441</w:t>
            </w:r>
          </w:p>
        </w:tc>
        <w:tc>
          <w:tcPr>
            <w:tcW w:w="19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44,426</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7,164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21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9" w:type="dxa"/>
            <w:tcBorders/>
            <w:shd w:fill="CCEEFF" w:val="clear"/>
            <w:vAlign w:val="center"/>
          </w:tcPr>
          <w:p>
            <w:pPr>
              <w:pStyle w:val="TableContents"/>
              <w:spacing w:before="0" w:after="0"/>
              <w:jc w:val="right"/>
              <w:rPr>
                <w:rFonts w:ascii="inherit" w:hAnsi="inherit"/>
                <w:sz w:val="17"/>
              </w:rPr>
            </w:pPr>
            <w:r>
              <w:rPr>
                <w:rFonts w:ascii="inherit" w:hAnsi="inherit"/>
                <w:sz w:val="17"/>
              </w:rPr>
              <w:t>4,297</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55,887</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shd w:fill="auto" w:val="clear"/>
            <w:vAlign w:val="center"/>
          </w:tcPr>
          <w:p>
            <w:pPr>
              <w:pStyle w:val="TableContents"/>
              <w:spacing w:before="0" w:after="0"/>
              <w:ind w:left="0" w:right="0" w:firstLine="420"/>
              <w:rPr/>
            </w:pPr>
            <w:r>
              <w:rPr/>
              <w:t> </w:t>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9,857</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1,375</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before taxes</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43,677</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12,718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30,959</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(1,248</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29,711</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80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10</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33" w:name="s37D29A7A7985CA88435ACD29083193AE"/>
      <w:bookmarkStart w:id="34" w:name="s37D29A7A7985CA88435ACD29083193AE"/>
      <w:bookmarkEnd w:id="34"/>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(in thousands)</w:t>
      </w:r>
    </w:p>
    <w:p>
      <w:pPr>
        <w:pStyle w:val="TextBody"/>
        <w:spacing w:lineRule="auto" w:line="288" w:before="0" w:after="0"/>
        <w:rPr/>
      </w:pPr>
      <w:r>
        <w:rPr/>
        <w:t xml:space="preserve">  </w:t>
      </w:r>
    </w:p>
    <w:tbl>
      <w:tblPr>
        <w:tblW w:w="10205" w:type="dxa"/>
        <w:jc w:val="left"/>
        <w:tblInd w:w="0" w:type="dxa"/>
        <w:tblCellMar>
          <w:top w:w="0" w:type="dxa"/>
          <w:left w:w="0" w:type="dxa"/>
          <w:bottom w:w="0" w:type="dxa"/>
          <w:right w:w="0" w:type="dxa"/>
        </w:tblCellMar>
      </w:tblPr>
      <w:tblGrid>
        <w:gridCol w:w="3869"/>
        <w:gridCol w:w="163"/>
        <w:gridCol w:w="1021"/>
        <w:gridCol w:w="149"/>
        <w:gridCol w:w="130"/>
        <w:gridCol w:w="163"/>
        <w:gridCol w:w="922"/>
        <w:gridCol w:w="149"/>
        <w:gridCol w:w="130"/>
        <w:gridCol w:w="187"/>
        <w:gridCol w:w="1036"/>
        <w:gridCol w:w="172"/>
        <w:gridCol w:w="130"/>
        <w:gridCol w:w="163"/>
        <w:gridCol w:w="1021"/>
        <w:gridCol w:w="800"/>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86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69" w:type="dxa"/>
            <w:tcBorders/>
            <w:shd w:fill="auto" w:val="clear"/>
            <w:vAlign w:val="center"/>
          </w:tcPr>
          <w:p>
            <w:pPr>
              <w:pStyle w:val="TableContents"/>
              <w:spacing w:before="0" w:after="0"/>
              <w:ind w:left="0" w:right="0" w:firstLine="30"/>
              <w:jc w:val="left"/>
              <w:rPr/>
            </w:pPr>
            <w:r>
              <w:rPr/>
              <w:t> </w:t>
            </w:r>
          </w:p>
        </w:tc>
        <w:tc>
          <w:tcPr>
            <w:tcW w:w="6336"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2013</w:t>
            </w:r>
          </w:p>
        </w:tc>
      </w:tr>
      <w:tr>
        <w:trPr/>
        <w:tc>
          <w:tcPr>
            <w:tcW w:w="3869" w:type="dxa"/>
            <w:tcBorders/>
            <w:shd w:fill="auto" w:val="clear"/>
            <w:vAlign w:val="center"/>
          </w:tcPr>
          <w:p>
            <w:pPr>
              <w:pStyle w:val="TableContents"/>
              <w:spacing w:before="0" w:after="0"/>
              <w:ind w:left="0" w:right="0" w:firstLine="30"/>
              <w:rPr/>
            </w:pPr>
            <w:r>
              <w:rPr/>
              <w:t>  </w:t>
            </w:r>
          </w:p>
        </w:tc>
        <w:tc>
          <w:tcPr>
            <w:tcW w:w="133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0" w:type="dxa"/>
            <w:tcBorders/>
            <w:shd w:fill="auto" w:val="clear"/>
            <w:vAlign w:val="center"/>
          </w:tcPr>
          <w:p>
            <w:pPr>
              <w:pStyle w:val="TableContents"/>
              <w:spacing w:before="0" w:after="0"/>
              <w:ind w:left="0" w:right="0" w:firstLine="30"/>
              <w:rPr/>
            </w:pPr>
            <w:r>
              <w:rPr/>
              <w:t> </w:t>
            </w:r>
          </w:p>
        </w:tc>
        <w:tc>
          <w:tcPr>
            <w:tcW w:w="19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869" w:type="dxa"/>
            <w:tcBorders/>
            <w:shd w:fill="auto" w:val="clear"/>
            <w:vAlign w:val="center"/>
          </w:tcPr>
          <w:p>
            <w:pPr>
              <w:pStyle w:val="TableContents"/>
              <w:spacing w:before="0" w:after="0"/>
              <w:ind w:left="0" w:right="0" w:firstLine="30"/>
              <w:jc w:val="left"/>
              <w:rPr/>
            </w:pPr>
            <w:r>
              <w:rPr/>
              <w:t> </w:t>
            </w:r>
          </w:p>
        </w:tc>
        <w:tc>
          <w:tcPr>
            <w:tcW w:w="6336" w:type="dxa"/>
            <w:gridSpan w:val="15"/>
            <w:tcBorders/>
            <w:shd w:fill="auto" w:val="clear"/>
            <w:vAlign w:val="center"/>
          </w:tcPr>
          <w:p>
            <w:pPr>
              <w:pStyle w:val="TableContents"/>
              <w:spacing w:before="0" w:after="0"/>
              <w:ind w:left="0" w:right="0" w:firstLine="30"/>
              <w:rPr/>
            </w:pPr>
            <w:r>
              <w:rPr/>
              <w:t> </w:t>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984" w:type="dxa"/>
            <w:gridSpan w:val="3"/>
            <w:tcBorders/>
            <w:shd w:fill="CCEEFF" w:val="clear"/>
            <w:vAlign w:val="center"/>
          </w:tcPr>
          <w:p>
            <w:pPr>
              <w:pStyle w:val="TableContents"/>
              <w:spacing w:before="0" w:after="0"/>
              <w:ind w:left="0" w:right="0" w:firstLine="420"/>
              <w:rPr/>
            </w:pPr>
            <w:r>
              <w:rPr/>
              <w:t> </w:t>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237,577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auto" w:val="clear"/>
            <w:vAlign w:val="center"/>
          </w:tcPr>
          <w:p>
            <w:pPr>
              <w:pStyle w:val="TableContents"/>
              <w:spacing w:before="0" w:after="0"/>
              <w:jc w:val="right"/>
              <w:rPr>
                <w:rFonts w:ascii="inherit" w:hAnsi="inherit"/>
                <w:sz w:val="17"/>
              </w:rPr>
            </w:pPr>
            <w:r>
              <w:rPr>
                <w:rFonts w:ascii="inherit" w:hAnsi="inherit"/>
                <w:sz w:val="17"/>
              </w:rPr>
              <w:t>43,685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8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281,262</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108,777</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4,802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113,579</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165,202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22,610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187,812</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126,873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36,583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19,663</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183,119</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5,469</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2,880</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1,820</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10,169</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643,898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110,560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21,483</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775,941</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138,936</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25,775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164,711</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76,922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4,071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80,993</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27,363</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(1,024</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8,157</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34,496</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400,677</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81,738</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13,326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495,741</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984" w:type="dxa"/>
            <w:gridSpan w:val="3"/>
            <w:tcBorders/>
            <w:shd w:fill="auto" w:val="clear"/>
            <w:vAlign w:val="center"/>
          </w:tcPr>
          <w:p>
            <w:pPr>
              <w:pStyle w:val="TableContents"/>
              <w:spacing w:before="0" w:after="0"/>
              <w:ind w:left="0" w:right="0" w:firstLine="420"/>
              <w:rPr/>
            </w:pPr>
            <w:r>
              <w:rPr/>
              <w:t> </w:t>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Operations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251,593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46,483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11,270</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309,346</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13,395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5,067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337</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18,799</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220</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expense, net</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8,205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8,211</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8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(13,491</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(13,491</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(238</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8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135,485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CCEEFF" w:val="clear"/>
            <w:vAlign w:val="center"/>
          </w:tcPr>
          <w:p>
            <w:pPr>
              <w:pStyle w:val="TableContents"/>
              <w:spacing w:before="0" w:after="0"/>
              <w:jc w:val="right"/>
              <w:rPr>
                <w:rFonts w:ascii="inherit" w:hAnsi="inherit"/>
                <w:sz w:val="17"/>
              </w:rPr>
            </w:pPr>
            <w:r>
              <w:rPr>
                <w:rFonts w:ascii="inherit" w:hAnsi="inherit"/>
                <w:sz w:val="17"/>
              </w:rPr>
              <w:t>22,203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15,280</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172,968</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984" w:type="dxa"/>
            <w:gridSpan w:val="3"/>
            <w:tcBorders/>
            <w:shd w:fill="auto" w:val="clear"/>
            <w:vAlign w:val="center"/>
          </w:tcPr>
          <w:p>
            <w:pPr>
              <w:pStyle w:val="TableContents"/>
              <w:spacing w:before="0" w:after="0"/>
              <w:ind w:left="0" w:right="0" w:firstLine="420"/>
              <w:rPr/>
            </w:pPr>
            <w:r>
              <w:rPr/>
              <w:t> </w:t>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34,918</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5,830</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2,816</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before taxes</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129,092</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42,084</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87,008</w:t>
            </w:r>
          </w:p>
        </w:tc>
        <w:tc>
          <w:tcPr>
            <w:tcW w:w="80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(24,813</w:t>
            </w:r>
          </w:p>
        </w:tc>
        <w:tc>
          <w:tcPr>
            <w:tcW w:w="8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62,195</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3,378</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6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58,817</w:t>
            </w:r>
          </w:p>
        </w:tc>
        <w:tc>
          <w:tcPr>
            <w:tcW w:w="80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11</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35" w:name="s37D29A7A7985CA88435ACD29083193AE1"/>
      <w:bookmarkStart w:id="36" w:name="s37D29A7A7985CA88435ACD29083193AE1"/>
      <w:bookmarkEnd w:id="36"/>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(in thousands)</w:t>
      </w:r>
    </w:p>
    <w:p>
      <w:pPr>
        <w:pStyle w:val="TextBody"/>
        <w:spacing w:lineRule="auto" w:line="288" w:before="0" w:after="0"/>
        <w:jc w:val="center"/>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3869"/>
        <w:gridCol w:w="163"/>
        <w:gridCol w:w="1021"/>
        <w:gridCol w:w="149"/>
        <w:gridCol w:w="130"/>
        <w:gridCol w:w="163"/>
        <w:gridCol w:w="922"/>
        <w:gridCol w:w="149"/>
        <w:gridCol w:w="130"/>
        <w:gridCol w:w="187"/>
        <w:gridCol w:w="1036"/>
        <w:gridCol w:w="172"/>
        <w:gridCol w:w="130"/>
        <w:gridCol w:w="163"/>
        <w:gridCol w:w="1021"/>
        <w:gridCol w:w="800"/>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86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69" w:type="dxa"/>
            <w:tcBorders/>
            <w:shd w:fill="auto" w:val="clear"/>
            <w:vAlign w:val="center"/>
          </w:tcPr>
          <w:p>
            <w:pPr>
              <w:pStyle w:val="TableContents"/>
              <w:spacing w:before="0" w:after="0"/>
              <w:ind w:left="0" w:right="0" w:firstLine="30"/>
              <w:jc w:val="left"/>
              <w:rPr/>
            </w:pPr>
            <w:r>
              <w:rPr/>
              <w:t> </w:t>
            </w:r>
          </w:p>
        </w:tc>
        <w:tc>
          <w:tcPr>
            <w:tcW w:w="6336"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r>
      <w:tr>
        <w:trPr/>
        <w:tc>
          <w:tcPr>
            <w:tcW w:w="3869" w:type="dxa"/>
            <w:tcBorders/>
            <w:shd w:fill="auto" w:val="clear"/>
            <w:vAlign w:val="center"/>
          </w:tcPr>
          <w:p>
            <w:pPr>
              <w:pStyle w:val="TableContents"/>
              <w:spacing w:before="0" w:after="0"/>
              <w:ind w:left="0" w:right="0" w:firstLine="30"/>
              <w:rPr/>
            </w:pPr>
            <w:r>
              <w:rPr/>
              <w:t>  </w:t>
            </w:r>
          </w:p>
        </w:tc>
        <w:tc>
          <w:tcPr>
            <w:tcW w:w="133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0" w:type="dxa"/>
            <w:tcBorders/>
            <w:shd w:fill="auto" w:val="clear"/>
            <w:vAlign w:val="center"/>
          </w:tcPr>
          <w:p>
            <w:pPr>
              <w:pStyle w:val="TableContents"/>
              <w:spacing w:before="0" w:after="0"/>
              <w:ind w:left="0" w:right="0" w:firstLine="30"/>
              <w:rPr/>
            </w:pPr>
            <w:r>
              <w:rPr/>
              <w:t> </w:t>
            </w:r>
          </w:p>
        </w:tc>
        <w:tc>
          <w:tcPr>
            <w:tcW w:w="19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869" w:type="dxa"/>
            <w:tcBorders/>
            <w:shd w:fill="auto" w:val="clear"/>
            <w:vAlign w:val="center"/>
          </w:tcPr>
          <w:p>
            <w:pPr>
              <w:pStyle w:val="TableContents"/>
              <w:spacing w:before="0" w:after="0"/>
              <w:ind w:left="0" w:right="0" w:firstLine="30"/>
              <w:jc w:val="left"/>
              <w:rPr/>
            </w:pPr>
            <w:r>
              <w:rPr/>
              <w:t> </w:t>
            </w:r>
          </w:p>
        </w:tc>
        <w:tc>
          <w:tcPr>
            <w:tcW w:w="6336" w:type="dxa"/>
            <w:gridSpan w:val="15"/>
            <w:tcBorders/>
            <w:shd w:fill="auto" w:val="clear"/>
            <w:vAlign w:val="center"/>
          </w:tcPr>
          <w:p>
            <w:pPr>
              <w:pStyle w:val="TableContents"/>
              <w:spacing w:before="0" w:after="0"/>
              <w:ind w:left="0" w:right="0" w:firstLine="30"/>
              <w:rPr/>
            </w:pPr>
            <w:r>
              <w:rPr/>
              <w:t> </w:t>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984" w:type="dxa"/>
            <w:gridSpan w:val="3"/>
            <w:tcBorders/>
            <w:shd w:fill="CCEEFF" w:val="clear"/>
            <w:vAlign w:val="center"/>
          </w:tcPr>
          <w:p>
            <w:pPr>
              <w:pStyle w:val="TableContents"/>
              <w:spacing w:before="0" w:after="0"/>
              <w:ind w:left="0" w:right="0" w:firstLine="420"/>
              <w:rPr/>
            </w:pPr>
            <w:r>
              <w:rPr/>
              <w:t> </w:t>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226,507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auto" w:val="clear"/>
            <w:vAlign w:val="center"/>
          </w:tcPr>
          <w:p>
            <w:pPr>
              <w:pStyle w:val="TableContents"/>
              <w:spacing w:before="0" w:after="0"/>
              <w:jc w:val="right"/>
              <w:rPr>
                <w:rFonts w:ascii="inherit" w:hAnsi="inherit"/>
                <w:sz w:val="17"/>
              </w:rPr>
            </w:pPr>
            <w:r>
              <w:rPr>
                <w:rFonts w:ascii="inherit" w:hAnsi="inherit"/>
                <w:sz w:val="17"/>
              </w:rPr>
              <w:t>29,764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8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256,271</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139,252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7,814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147,066</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154,823</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16,057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170,880</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121,744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17,764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4,086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143,594</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2,430</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763</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3,351</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644,756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72,162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4,244</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721,162</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131,682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15,939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147,621</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86,848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5,959</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92,807</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24,663</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1,140</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1,466</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27,269</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revenues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401,563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49,124</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2,778</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453,465</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984" w:type="dxa"/>
            <w:gridSpan w:val="3"/>
            <w:tcBorders/>
            <w:shd w:fill="auto" w:val="clear"/>
            <w:vAlign w:val="center"/>
          </w:tcPr>
          <w:p>
            <w:pPr>
              <w:pStyle w:val="TableContents"/>
              <w:spacing w:before="0" w:after="0"/>
              <w:ind w:left="0" w:right="0" w:firstLine="420"/>
              <w:rPr/>
            </w:pPr>
            <w:r>
              <w:rPr/>
              <w:t> </w:t>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216,653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27,781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3,580</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248,014</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9,862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4,907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14,899</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(Gain) loss on sale or disposal of assets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expense, net</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1,774</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8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 expense</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346</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(505</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8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174,795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CCEEFF" w:val="clear"/>
            <w:vAlign w:val="center"/>
          </w:tcPr>
          <w:p>
            <w:pPr>
              <w:pStyle w:val="TableContents"/>
              <w:spacing w:before="0" w:after="0"/>
              <w:jc w:val="right"/>
              <w:rPr>
                <w:rFonts w:ascii="inherit" w:hAnsi="inherit"/>
                <w:sz w:val="17"/>
              </w:rPr>
            </w:pPr>
            <w:r>
              <w:rPr>
                <w:rFonts w:ascii="inherit" w:hAnsi="inherit"/>
                <w:sz w:val="17"/>
              </w:rPr>
              <w:t>14,681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12,286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201,762</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984" w:type="dxa"/>
            <w:gridSpan w:val="3"/>
            <w:tcBorders/>
            <w:shd w:fill="auto" w:val="clear"/>
            <w:vAlign w:val="center"/>
          </w:tcPr>
          <w:p>
            <w:pPr>
              <w:pStyle w:val="TableContents"/>
              <w:spacing w:before="0" w:after="0"/>
              <w:ind w:left="0" w:right="0" w:firstLine="420"/>
              <w:rPr/>
            </w:pPr>
            <w:r>
              <w:rPr/>
              <w:t> </w:t>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33,509</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4,066</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1,920</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before taxes</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162,267</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52,664</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109,603</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(3,167</w:t>
            </w:r>
          </w:p>
        </w:tc>
        <w:tc>
          <w:tcPr>
            <w:tcW w:w="80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106,436</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80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12</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37" w:name="s16079A82ECE92B219D7CCD290855564C"/>
      <w:bookmarkStart w:id="38" w:name="s16079A82ECE92B219D7CCD290855564C"/>
      <w:bookmarkEnd w:id="38"/>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Store Count Activity</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2206"/>
        <w:gridCol w:w="1354"/>
        <w:gridCol w:w="231"/>
        <w:gridCol w:w="126"/>
        <w:gridCol w:w="1271"/>
        <w:gridCol w:w="287"/>
        <w:gridCol w:w="126"/>
        <w:gridCol w:w="1418"/>
        <w:gridCol w:w="71"/>
        <w:gridCol w:w="126"/>
        <w:gridCol w:w="1287"/>
        <w:gridCol w:w="215"/>
        <w:gridCol w:w="126"/>
        <w:gridCol w:w="822"/>
        <w:gridCol w:w="539"/>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06" w:type="dxa"/>
            <w:tcBorders/>
            <w:shd w:fill="auto" w:val="clear"/>
            <w:vAlign w:val="center"/>
          </w:tcPr>
          <w:p>
            <w:pPr>
              <w:pStyle w:val="TableContents"/>
              <w:spacing w:before="0" w:after="0"/>
              <w:ind w:left="0" w:right="0" w:firstLine="30"/>
              <w:jc w:val="left"/>
              <w:rPr/>
            </w:pPr>
            <w:r>
              <w:rPr/>
              <w:t> </w:t>
            </w:r>
          </w:p>
        </w:tc>
        <w:tc>
          <w:tcPr>
            <w:tcW w:w="7999"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2013</w:t>
            </w:r>
          </w:p>
        </w:tc>
      </w:tr>
      <w:tr>
        <w:trPr/>
        <w:tc>
          <w:tcPr>
            <w:tcW w:w="2206" w:type="dxa"/>
            <w:tcBorders/>
            <w:shd w:fill="auto" w:val="clear"/>
            <w:vAlign w:val="center"/>
          </w:tcPr>
          <w:p>
            <w:pPr>
              <w:pStyle w:val="TableContents"/>
              <w:spacing w:before="0" w:after="0"/>
              <w:ind w:left="0" w:right="0" w:firstLine="30"/>
              <w:jc w:val="left"/>
              <w:rPr/>
            </w:pPr>
            <w:r>
              <w:rPr/>
              <w:t> </w:t>
            </w:r>
          </w:p>
        </w:tc>
        <w:tc>
          <w:tcPr>
            <w:tcW w:w="651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2206" w:type="dxa"/>
            <w:tcBorders/>
            <w:shd w:fill="auto" w:val="clear"/>
            <w:vAlign w:val="center"/>
          </w:tcPr>
          <w:p>
            <w:pPr>
              <w:pStyle w:val="TableContents"/>
              <w:spacing w:before="0" w:after="0"/>
              <w:ind w:left="0" w:right="0" w:firstLine="30"/>
              <w:jc w:val="left"/>
              <w:rPr/>
            </w:pPr>
            <w:r>
              <w:rPr/>
              <w:t> </w:t>
            </w:r>
          </w:p>
        </w:tc>
        <w:tc>
          <w:tcPr>
            <w:tcW w:w="158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6" w:type="dxa"/>
            <w:tcBorders/>
            <w:shd w:fill="auto"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6" w:type="dxa"/>
            <w:tcBorders/>
            <w:shd w:fill="auto" w:val="clear"/>
            <w:vAlign w:val="center"/>
          </w:tcPr>
          <w:p>
            <w:pPr>
              <w:pStyle w:val="TableContents"/>
              <w:spacing w:before="0" w:after="0"/>
              <w:ind w:left="0" w:right="0" w:firstLine="30"/>
              <w:rPr/>
            </w:pPr>
            <w:r>
              <w:rPr/>
              <w:t> </w:t>
            </w:r>
          </w:p>
        </w:tc>
        <w:tc>
          <w:tcPr>
            <w:tcW w:w="1418" w:type="dxa"/>
            <w:tcBorders>
              <w:top w:val="single" w:sz="2" w:space="0" w:color="000000"/>
            </w:tcBorders>
            <w:shd w:fill="auto" w:val="clear"/>
            <w:tcMar>
              <w:top w:w="30" w:type="dxa"/>
            </w:tcMar>
            <w:vAlign w:val="center"/>
          </w:tcPr>
          <w:p>
            <w:pPr>
              <w:pStyle w:val="TableContents"/>
              <w:spacing w:before="0" w:after="0"/>
              <w:jc w:val="right"/>
              <w:rPr>
                <w:rFonts w:ascii="inherit" w:hAnsi="inherit"/>
                <w:b/>
                <w:sz w:val="13"/>
              </w:rPr>
            </w:pPr>
            <w:r>
              <w:rPr>
                <w:rFonts w:ascii="inherit" w:hAnsi="inherit"/>
                <w:b/>
                <w:sz w:val="13"/>
              </w:rPr>
              <w:t>Other</w:t>
            </w:r>
          </w:p>
          <w:p>
            <w:pPr>
              <w:pStyle w:val="TableContents"/>
              <w:spacing w:before="0" w:after="0"/>
              <w:jc w:val="right"/>
              <w:rPr>
                <w:rFonts w:ascii="inherit" w:hAnsi="inherit"/>
                <w:b/>
                <w:sz w:val="13"/>
              </w:rPr>
            </w:pPr>
            <w:r>
              <w:rPr>
                <w:rFonts w:ascii="inherit" w:hAnsi="inherit"/>
                <w:b/>
                <w:sz w:val="13"/>
              </w:rPr>
              <w:t>International</w:t>
            </w:r>
          </w:p>
        </w:tc>
        <w:tc>
          <w:tcPr>
            <w:tcW w:w="7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50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35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1,058</w:t>
            </w:r>
          </w:p>
        </w:tc>
        <w:tc>
          <w:tcPr>
            <w:tcW w:w="23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345</w:t>
            </w:r>
          </w:p>
        </w:tc>
        <w:tc>
          <w:tcPr>
            <w:tcW w:w="2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1,403</w:t>
            </w:r>
          </w:p>
        </w:tc>
        <w:tc>
          <w:tcPr>
            <w:tcW w:w="21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354" w:type="dxa"/>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1" w:type="dxa"/>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8"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87" w:type="dxa"/>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822" w:type="dxa"/>
            <w:tcBorders/>
            <w:shd w:fill="auto" w:val="clear"/>
            <w:vAlign w:val="center"/>
          </w:tcPr>
          <w:p>
            <w:pPr>
              <w:pStyle w:val="TableContents"/>
              <w:spacing w:before="0" w:after="0"/>
              <w:jc w:val="right"/>
              <w:rPr/>
            </w:pPr>
            <w:r>
              <w:rPr/>
              <w:t>—</w:t>
            </w:r>
          </w:p>
        </w:tc>
        <w:tc>
          <w:tcPr>
            <w:tcW w:w="53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354" w:type="dxa"/>
            <w:tcBorders/>
            <w:shd w:fill="CCEEFF" w:val="clear"/>
            <w:vAlign w:val="center"/>
          </w:tcPr>
          <w:p>
            <w:pPr>
              <w:pStyle w:val="TableContents"/>
              <w:spacing w:before="0" w:after="0"/>
              <w:jc w:val="right"/>
              <w:rPr/>
            </w:pPr>
            <w:r>
              <w:rPr/>
              <w:t>—</w:t>
            </w:r>
          </w:p>
        </w:tc>
        <w:tc>
          <w:tcPr>
            <w:tcW w:w="2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shd w:fill="CCEEFF" w:val="clear"/>
            <w:vAlign w:val="center"/>
          </w:tcPr>
          <w:p>
            <w:pPr>
              <w:pStyle w:val="TableContents"/>
              <w:spacing w:before="0" w:after="0"/>
              <w:jc w:val="right"/>
              <w:rPr/>
            </w:pPr>
            <w:r>
              <w:rPr/>
              <w:t>—</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35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23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7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41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8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82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354" w:type="dxa"/>
            <w:tcBorders/>
            <w:shd w:fill="CCEEFF" w:val="clear"/>
            <w:vAlign w:val="center"/>
          </w:tcPr>
          <w:p>
            <w:pPr>
              <w:pStyle w:val="TableContents"/>
              <w:spacing w:before="0" w:after="0"/>
              <w:jc w:val="right"/>
              <w:rPr>
                <w:rFonts w:ascii="inherit" w:hAnsi="inherit"/>
                <w:sz w:val="17"/>
              </w:rPr>
            </w:pPr>
            <w:r>
              <w:rPr>
                <w:rFonts w:ascii="inherit" w:hAnsi="inherit"/>
                <w:sz w:val="17"/>
              </w:rPr>
              <w:t>1,061</w:t>
            </w:r>
          </w:p>
        </w:tc>
        <w:tc>
          <w:tcPr>
            <w:tcW w:w="2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363</w:t>
            </w:r>
          </w:p>
        </w:tc>
        <w:tc>
          <w:tcPr>
            <w:tcW w:w="2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7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1,424</w:t>
            </w:r>
          </w:p>
        </w:tc>
        <w:tc>
          <w:tcPr>
            <w:tcW w:w="21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53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rPr/>
            </w:pPr>
            <w:r>
              <w:rPr/>
              <w:t> </w:t>
            </w:r>
          </w:p>
        </w:tc>
        <w:tc>
          <w:tcPr>
            <w:tcW w:w="1585"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8"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9"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02"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r>
      <w:tr>
        <w:trPr/>
        <w:tc>
          <w:tcPr>
            <w:tcW w:w="2206" w:type="dxa"/>
            <w:tcBorders/>
            <w:shd w:fill="auto" w:val="clear"/>
            <w:vAlign w:val="center"/>
          </w:tcPr>
          <w:p>
            <w:pPr>
              <w:pStyle w:val="TableContents"/>
              <w:spacing w:before="0" w:after="0"/>
              <w:ind w:left="0" w:right="0" w:firstLine="30"/>
              <w:jc w:val="left"/>
              <w:rPr/>
            </w:pPr>
            <w:r>
              <w:rPr/>
              <w:t> </w:t>
            </w:r>
          </w:p>
        </w:tc>
        <w:tc>
          <w:tcPr>
            <w:tcW w:w="7999"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2012</w:t>
            </w:r>
          </w:p>
        </w:tc>
      </w:tr>
      <w:tr>
        <w:trPr/>
        <w:tc>
          <w:tcPr>
            <w:tcW w:w="2206" w:type="dxa"/>
            <w:tcBorders/>
            <w:shd w:fill="auto" w:val="clear"/>
            <w:vAlign w:val="center"/>
          </w:tcPr>
          <w:p>
            <w:pPr>
              <w:pStyle w:val="TableContents"/>
              <w:spacing w:before="0" w:after="0"/>
              <w:ind w:left="0" w:right="0" w:firstLine="30"/>
              <w:jc w:val="left"/>
              <w:rPr/>
            </w:pPr>
            <w:r>
              <w:rPr/>
              <w:t> </w:t>
            </w:r>
          </w:p>
        </w:tc>
        <w:tc>
          <w:tcPr>
            <w:tcW w:w="651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shd w:fill="auto" w:val="clear"/>
            <w:vAlign w:val="center"/>
          </w:tcPr>
          <w:p>
            <w:pPr>
              <w:pStyle w:val="TableContents"/>
              <w:spacing w:before="0" w:after="0"/>
              <w:ind w:left="0" w:right="0" w:firstLine="30"/>
              <w:rPr/>
            </w:pPr>
            <w:r>
              <w:rPr/>
              <w:t> </w:t>
            </w:r>
          </w:p>
        </w:tc>
      </w:tr>
      <w:tr>
        <w:trPr/>
        <w:tc>
          <w:tcPr>
            <w:tcW w:w="2206" w:type="dxa"/>
            <w:tcBorders/>
            <w:shd w:fill="auto" w:val="clear"/>
            <w:vAlign w:val="center"/>
          </w:tcPr>
          <w:p>
            <w:pPr>
              <w:pStyle w:val="TableContents"/>
              <w:spacing w:before="0" w:after="0"/>
              <w:ind w:left="0" w:right="0" w:firstLine="30"/>
              <w:jc w:val="left"/>
              <w:rPr/>
            </w:pPr>
            <w:r>
              <w:rPr/>
              <w:t> </w:t>
            </w:r>
          </w:p>
        </w:tc>
        <w:tc>
          <w:tcPr>
            <w:tcW w:w="158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6" w:type="dxa"/>
            <w:tcBorders/>
            <w:shd w:fill="auto"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6" w:type="dxa"/>
            <w:tcBorders/>
            <w:shd w:fill="auto" w:val="clear"/>
            <w:vAlign w:val="center"/>
          </w:tcPr>
          <w:p>
            <w:pPr>
              <w:pStyle w:val="TableContents"/>
              <w:spacing w:before="0" w:after="0"/>
              <w:ind w:left="0" w:right="0" w:firstLine="30"/>
              <w:rPr/>
            </w:pPr>
            <w:r>
              <w:rPr/>
              <w:t> </w:t>
            </w:r>
          </w:p>
        </w:tc>
        <w:tc>
          <w:tcPr>
            <w:tcW w:w="148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26" w:type="dxa"/>
            <w:tcBorders/>
            <w:shd w:fill="auto" w:val="clear"/>
            <w:vAlign w:val="center"/>
          </w:tcPr>
          <w:p>
            <w:pPr>
              <w:pStyle w:val="TableContents"/>
              <w:spacing w:before="0" w:after="0"/>
              <w:ind w:left="0" w:right="0" w:firstLine="30"/>
              <w:rPr/>
            </w:pPr>
            <w:r>
              <w:rPr/>
              <w:t> </w:t>
            </w:r>
          </w:p>
        </w:tc>
        <w:tc>
          <w:tcPr>
            <w:tcW w:w="150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35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970</w:t>
            </w:r>
          </w:p>
        </w:tc>
        <w:tc>
          <w:tcPr>
            <w:tcW w:w="23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250</w:t>
            </w:r>
          </w:p>
        </w:tc>
        <w:tc>
          <w:tcPr>
            <w:tcW w:w="2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1,220</w:t>
            </w:r>
          </w:p>
        </w:tc>
        <w:tc>
          <w:tcPr>
            <w:tcW w:w="21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354"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1" w:type="dxa"/>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8"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87" w:type="dxa"/>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822" w:type="dxa"/>
            <w:tcBorders/>
            <w:shd w:fill="auto" w:val="clear"/>
            <w:vAlign w:val="center"/>
          </w:tcPr>
          <w:p>
            <w:pPr>
              <w:pStyle w:val="TableContents"/>
              <w:spacing w:before="0" w:after="0"/>
              <w:jc w:val="right"/>
              <w:rPr/>
            </w:pPr>
            <w:r>
              <w:rPr/>
              <w:t>—</w:t>
            </w:r>
          </w:p>
        </w:tc>
        <w:tc>
          <w:tcPr>
            <w:tcW w:w="53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354"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2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shd w:fill="CCEEFF" w:val="clear"/>
            <w:vAlign w:val="center"/>
          </w:tcPr>
          <w:p>
            <w:pPr>
              <w:pStyle w:val="TableContents"/>
              <w:spacing w:before="0" w:after="0"/>
              <w:jc w:val="right"/>
              <w:rPr/>
            </w:pPr>
            <w:r>
              <w:rPr/>
              <w:t>—</w:t>
            </w:r>
          </w:p>
        </w:tc>
        <w:tc>
          <w:tcPr>
            <w:tcW w:w="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shd w:fill="CCEEFF" w:val="clear"/>
            <w:vAlign w:val="center"/>
          </w:tcPr>
          <w:p>
            <w:pPr>
              <w:pStyle w:val="TableContents"/>
              <w:spacing w:before="0" w:after="0"/>
              <w:jc w:val="right"/>
              <w:rPr/>
            </w:pPr>
            <w:r>
              <w:rPr/>
              <w:t>—</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35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3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7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41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8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82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5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35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982</w:t>
            </w:r>
          </w:p>
        </w:tc>
        <w:tc>
          <w:tcPr>
            <w:tcW w:w="23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28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1,250</w:t>
            </w:r>
          </w:p>
        </w:tc>
        <w:tc>
          <w:tcPr>
            <w:tcW w:w="2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3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206"/>
        <w:gridCol w:w="1354"/>
        <w:gridCol w:w="231"/>
        <w:gridCol w:w="126"/>
        <w:gridCol w:w="1271"/>
        <w:gridCol w:w="287"/>
        <w:gridCol w:w="126"/>
        <w:gridCol w:w="1418"/>
        <w:gridCol w:w="71"/>
        <w:gridCol w:w="126"/>
        <w:gridCol w:w="1287"/>
        <w:gridCol w:w="215"/>
        <w:gridCol w:w="126"/>
        <w:gridCol w:w="822"/>
        <w:gridCol w:w="539"/>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06" w:type="dxa"/>
            <w:tcBorders/>
            <w:shd w:fill="auto" w:val="clear"/>
            <w:vAlign w:val="center"/>
          </w:tcPr>
          <w:p>
            <w:pPr>
              <w:pStyle w:val="TableContents"/>
              <w:spacing w:before="0" w:after="0"/>
              <w:ind w:left="0" w:right="0" w:firstLine="30"/>
              <w:jc w:val="left"/>
              <w:rPr/>
            </w:pPr>
            <w:r>
              <w:rPr/>
              <w:t> </w:t>
            </w:r>
          </w:p>
        </w:tc>
        <w:tc>
          <w:tcPr>
            <w:tcW w:w="7999"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2013</w:t>
            </w:r>
          </w:p>
        </w:tc>
      </w:tr>
      <w:tr>
        <w:trPr/>
        <w:tc>
          <w:tcPr>
            <w:tcW w:w="2206" w:type="dxa"/>
            <w:tcBorders/>
            <w:shd w:fill="auto" w:val="clear"/>
            <w:vAlign w:val="center"/>
          </w:tcPr>
          <w:p>
            <w:pPr>
              <w:pStyle w:val="TableContents"/>
              <w:spacing w:before="0" w:after="0"/>
              <w:ind w:left="0" w:right="0" w:firstLine="30"/>
              <w:jc w:val="left"/>
              <w:rPr/>
            </w:pPr>
            <w:r>
              <w:rPr/>
              <w:t> </w:t>
            </w:r>
          </w:p>
        </w:tc>
        <w:tc>
          <w:tcPr>
            <w:tcW w:w="6512" w:type="dxa"/>
            <w:gridSpan w:val="11"/>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2206" w:type="dxa"/>
            <w:tcBorders/>
            <w:shd w:fill="auto" w:val="clear"/>
            <w:vAlign w:val="center"/>
          </w:tcPr>
          <w:p>
            <w:pPr>
              <w:pStyle w:val="TableContents"/>
              <w:spacing w:before="0" w:after="0"/>
              <w:ind w:left="0" w:right="0" w:firstLine="30"/>
              <w:jc w:val="left"/>
              <w:rPr/>
            </w:pPr>
            <w:r>
              <w:rPr/>
              <w:t> </w:t>
            </w:r>
          </w:p>
        </w:tc>
        <w:tc>
          <w:tcPr>
            <w:tcW w:w="158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6" w:type="dxa"/>
            <w:tcBorders/>
            <w:shd w:fill="auto"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6" w:type="dxa"/>
            <w:tcBorders/>
            <w:shd w:fill="auto" w:val="clear"/>
            <w:vAlign w:val="center"/>
          </w:tcPr>
          <w:p>
            <w:pPr>
              <w:pStyle w:val="TableContents"/>
              <w:spacing w:before="0" w:after="0"/>
              <w:ind w:left="0" w:right="0" w:firstLine="30"/>
              <w:rPr/>
            </w:pPr>
            <w:r>
              <w:rPr/>
              <w:t> </w:t>
            </w:r>
          </w:p>
        </w:tc>
        <w:tc>
          <w:tcPr>
            <w:tcW w:w="1418" w:type="dxa"/>
            <w:tcBorders>
              <w:top w:val="single" w:sz="2" w:space="0" w:color="000000"/>
            </w:tcBorders>
            <w:shd w:fill="auto" w:val="clear"/>
            <w:tcMar>
              <w:top w:w="30" w:type="dxa"/>
            </w:tcMar>
            <w:vAlign w:val="center"/>
          </w:tcPr>
          <w:p>
            <w:pPr>
              <w:pStyle w:val="TableContents"/>
              <w:spacing w:before="0" w:after="0"/>
              <w:jc w:val="right"/>
              <w:rPr>
                <w:rFonts w:ascii="inherit" w:hAnsi="inherit"/>
                <w:b/>
                <w:sz w:val="13"/>
              </w:rPr>
            </w:pPr>
            <w:r>
              <w:rPr>
                <w:rFonts w:ascii="inherit" w:hAnsi="inherit"/>
                <w:b/>
                <w:sz w:val="13"/>
              </w:rPr>
              <w:t>Other</w:t>
            </w:r>
          </w:p>
          <w:p>
            <w:pPr>
              <w:pStyle w:val="TableContents"/>
              <w:spacing w:before="0" w:after="0"/>
              <w:jc w:val="right"/>
              <w:rPr>
                <w:rFonts w:ascii="inherit" w:hAnsi="inherit"/>
                <w:b/>
                <w:sz w:val="13"/>
              </w:rPr>
            </w:pPr>
            <w:r>
              <w:rPr>
                <w:rFonts w:ascii="inherit" w:hAnsi="inherit"/>
                <w:b/>
                <w:sz w:val="13"/>
              </w:rPr>
              <w:t>International</w:t>
            </w:r>
          </w:p>
        </w:tc>
        <w:tc>
          <w:tcPr>
            <w:tcW w:w="7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50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35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987</w:t>
            </w:r>
          </w:p>
        </w:tc>
        <w:tc>
          <w:tcPr>
            <w:tcW w:w="23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275</w:t>
            </w:r>
          </w:p>
        </w:tc>
        <w:tc>
          <w:tcPr>
            <w:tcW w:w="2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1,262</w:t>
            </w:r>
          </w:p>
        </w:tc>
        <w:tc>
          <w:tcPr>
            <w:tcW w:w="21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354" w:type="dxa"/>
            <w:tcBorders/>
            <w:shd w:fill="auto" w:val="clear"/>
            <w:vAlign w:val="center"/>
          </w:tcPr>
          <w:p>
            <w:pPr>
              <w:pStyle w:val="TableContents"/>
              <w:spacing w:before="0" w:after="0"/>
              <w:jc w:val="right"/>
              <w:rPr>
                <w:rFonts w:ascii="inherit" w:hAnsi="inherit"/>
                <w:sz w:val="17"/>
              </w:rPr>
            </w:pPr>
            <w:r>
              <w:rPr>
                <w:rFonts w:ascii="inherit" w:hAnsi="inherit"/>
                <w:sz w:val="17"/>
              </w:rPr>
              <w:t>68</w:t>
            </w:r>
          </w:p>
        </w:tc>
        <w:tc>
          <w:tcPr>
            <w:tcW w:w="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1" w:type="dxa"/>
            <w:tcBorders/>
            <w:shd w:fill="auto" w:val="clear"/>
            <w:vAlign w:val="center"/>
          </w:tcPr>
          <w:p>
            <w:pPr>
              <w:pStyle w:val="TableContents"/>
              <w:spacing w:before="0" w:after="0"/>
              <w:jc w:val="right"/>
              <w:rPr>
                <w:rFonts w:ascii="inherit" w:hAnsi="inherit"/>
                <w:sz w:val="17"/>
              </w:rPr>
            </w:pPr>
            <w:r>
              <w:rPr>
                <w:rFonts w:ascii="inherit" w:hAnsi="inherit"/>
                <w:sz w:val="17"/>
              </w:rPr>
              <w:t>66</w:t>
            </w:r>
          </w:p>
        </w:tc>
        <w:tc>
          <w:tcPr>
            <w:tcW w:w="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8"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87" w:type="dxa"/>
            <w:tcBorders/>
            <w:shd w:fill="auto" w:val="clear"/>
            <w:vAlign w:val="center"/>
          </w:tcPr>
          <w:p>
            <w:pPr>
              <w:pStyle w:val="TableContents"/>
              <w:spacing w:before="0" w:after="0"/>
              <w:jc w:val="right"/>
              <w:rPr>
                <w:rFonts w:ascii="inherit" w:hAnsi="inherit"/>
                <w:sz w:val="17"/>
              </w:rPr>
            </w:pPr>
            <w:r>
              <w:rPr>
                <w:rFonts w:ascii="inherit" w:hAnsi="inherit"/>
                <w:sz w:val="17"/>
              </w:rPr>
              <w:t>134</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822" w:type="dxa"/>
            <w:tcBorders/>
            <w:shd w:fill="auto" w:val="clear"/>
            <w:vAlign w:val="center"/>
          </w:tcPr>
          <w:p>
            <w:pPr>
              <w:pStyle w:val="TableContents"/>
              <w:spacing w:before="0" w:after="0"/>
              <w:jc w:val="right"/>
              <w:rPr/>
            </w:pPr>
            <w:r>
              <w:rPr/>
              <w:t>—</w:t>
            </w:r>
          </w:p>
        </w:tc>
        <w:tc>
          <w:tcPr>
            <w:tcW w:w="53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354"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2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shd w:fill="CCEEFF" w:val="clear"/>
            <w:vAlign w:val="center"/>
          </w:tcPr>
          <w:p>
            <w:pPr>
              <w:pStyle w:val="TableContents"/>
              <w:spacing w:before="0" w:after="0"/>
              <w:jc w:val="right"/>
              <w:rPr>
                <w:rFonts w:ascii="inherit" w:hAnsi="inherit"/>
                <w:sz w:val="17"/>
              </w:rPr>
            </w:pPr>
            <w:r>
              <w:rPr>
                <w:rFonts w:ascii="inherit" w:hAnsi="inherit"/>
                <w:sz w:val="17"/>
              </w:rPr>
              <w:t>26</w:t>
            </w:r>
          </w:p>
        </w:tc>
        <w:tc>
          <w:tcPr>
            <w:tcW w:w="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shd w:fill="CCEEFF" w:val="clear"/>
            <w:vAlign w:val="center"/>
          </w:tcPr>
          <w:p>
            <w:pPr>
              <w:pStyle w:val="TableContents"/>
              <w:spacing w:before="0" w:after="0"/>
              <w:jc w:val="right"/>
              <w:rPr>
                <w:rFonts w:ascii="inherit" w:hAnsi="inherit"/>
                <w:sz w:val="17"/>
              </w:rPr>
            </w:pPr>
            <w:r>
              <w:rPr>
                <w:rFonts w:ascii="inherit" w:hAnsi="inherit"/>
                <w:sz w:val="17"/>
              </w:rPr>
              <w:t>38</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shd w:fill="CCEEFF" w:val="clear"/>
            <w:vAlign w:val="center"/>
          </w:tcPr>
          <w:p>
            <w:pPr>
              <w:pStyle w:val="TableContents"/>
              <w:spacing w:before="0" w:after="0"/>
              <w:jc w:val="right"/>
              <w:rPr/>
            </w:pPr>
            <w:r>
              <w:rPr/>
              <w:t>—</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35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23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7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2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41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8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82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5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354" w:type="dxa"/>
            <w:tcBorders/>
            <w:shd w:fill="CCEEFF" w:val="clear"/>
            <w:vAlign w:val="center"/>
          </w:tcPr>
          <w:p>
            <w:pPr>
              <w:pStyle w:val="TableContents"/>
              <w:spacing w:before="0" w:after="0"/>
              <w:jc w:val="right"/>
              <w:rPr>
                <w:rFonts w:ascii="inherit" w:hAnsi="inherit"/>
                <w:sz w:val="17"/>
              </w:rPr>
            </w:pPr>
            <w:r>
              <w:rPr>
                <w:rFonts w:ascii="inherit" w:hAnsi="inherit"/>
                <w:sz w:val="17"/>
              </w:rPr>
              <w:t>1,061</w:t>
            </w:r>
          </w:p>
        </w:tc>
        <w:tc>
          <w:tcPr>
            <w:tcW w:w="2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363</w:t>
            </w:r>
          </w:p>
        </w:tc>
        <w:tc>
          <w:tcPr>
            <w:tcW w:w="2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7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1,424</w:t>
            </w:r>
          </w:p>
        </w:tc>
        <w:tc>
          <w:tcPr>
            <w:tcW w:w="21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53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rPr/>
            </w:pPr>
            <w:r>
              <w:rPr/>
              <w:t> </w:t>
            </w:r>
          </w:p>
        </w:tc>
        <w:tc>
          <w:tcPr>
            <w:tcW w:w="1585"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58"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489"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02"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top w:val="double" w:sz="6" w:space="0" w:color="000000"/>
            </w:tcBorders>
            <w:shd w:fill="auto" w:val="clear"/>
            <w:tcMar>
              <w:top w:w="30" w:type="dxa"/>
            </w:tcMar>
            <w:vAlign w:val="center"/>
          </w:tcPr>
          <w:p>
            <w:pPr>
              <w:pStyle w:val="TableContents"/>
              <w:spacing w:before="0" w:after="0"/>
              <w:ind w:left="0" w:right="0" w:firstLine="30"/>
              <w:rPr/>
            </w:pPr>
            <w:r>
              <w:rPr/>
              <w:t> </w:t>
            </w:r>
          </w:p>
        </w:tc>
      </w:tr>
      <w:tr>
        <w:trPr/>
        <w:tc>
          <w:tcPr>
            <w:tcW w:w="2206" w:type="dxa"/>
            <w:tcBorders/>
            <w:shd w:fill="auto" w:val="clear"/>
            <w:vAlign w:val="center"/>
          </w:tcPr>
          <w:p>
            <w:pPr>
              <w:pStyle w:val="TableContents"/>
              <w:spacing w:before="0" w:after="0"/>
              <w:ind w:left="0" w:right="0" w:firstLine="30"/>
              <w:jc w:val="left"/>
              <w:rPr/>
            </w:pPr>
            <w:r>
              <w:rPr/>
              <w:t> </w:t>
            </w:r>
          </w:p>
        </w:tc>
        <w:tc>
          <w:tcPr>
            <w:tcW w:w="7999"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r>
      <w:tr>
        <w:trPr/>
        <w:tc>
          <w:tcPr>
            <w:tcW w:w="2206" w:type="dxa"/>
            <w:tcBorders/>
            <w:shd w:fill="auto" w:val="clear"/>
            <w:vAlign w:val="center"/>
          </w:tcPr>
          <w:p>
            <w:pPr>
              <w:pStyle w:val="TableContents"/>
              <w:spacing w:before="0" w:after="0"/>
              <w:ind w:left="0" w:right="0" w:firstLine="30"/>
              <w:jc w:val="left"/>
              <w:rPr/>
            </w:pPr>
            <w:r>
              <w:rPr/>
              <w:t> </w:t>
            </w:r>
          </w:p>
        </w:tc>
        <w:tc>
          <w:tcPr>
            <w:tcW w:w="651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shd w:fill="auto" w:val="clear"/>
            <w:vAlign w:val="center"/>
          </w:tcPr>
          <w:p>
            <w:pPr>
              <w:pStyle w:val="TableContents"/>
              <w:spacing w:before="0" w:after="0"/>
              <w:ind w:left="0" w:right="0" w:firstLine="30"/>
              <w:rPr/>
            </w:pPr>
            <w:r>
              <w:rPr/>
              <w:t> </w:t>
            </w:r>
          </w:p>
        </w:tc>
      </w:tr>
      <w:tr>
        <w:trPr/>
        <w:tc>
          <w:tcPr>
            <w:tcW w:w="2206" w:type="dxa"/>
            <w:tcBorders/>
            <w:shd w:fill="auto" w:val="clear"/>
            <w:vAlign w:val="center"/>
          </w:tcPr>
          <w:p>
            <w:pPr>
              <w:pStyle w:val="TableContents"/>
              <w:spacing w:before="0" w:after="0"/>
              <w:ind w:left="0" w:right="0" w:firstLine="30"/>
              <w:jc w:val="left"/>
              <w:rPr/>
            </w:pPr>
            <w:r>
              <w:rPr/>
              <w:t> </w:t>
            </w:r>
          </w:p>
        </w:tc>
        <w:tc>
          <w:tcPr>
            <w:tcW w:w="158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6" w:type="dxa"/>
            <w:tcBorders/>
            <w:shd w:fill="auto"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6" w:type="dxa"/>
            <w:tcBorders/>
            <w:shd w:fill="auto" w:val="clear"/>
            <w:vAlign w:val="center"/>
          </w:tcPr>
          <w:p>
            <w:pPr>
              <w:pStyle w:val="TableContents"/>
              <w:spacing w:before="0" w:after="0"/>
              <w:ind w:left="0" w:right="0" w:firstLine="30"/>
              <w:rPr/>
            </w:pPr>
            <w:r>
              <w:rPr/>
              <w:t> </w:t>
            </w:r>
          </w:p>
        </w:tc>
        <w:tc>
          <w:tcPr>
            <w:tcW w:w="148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26" w:type="dxa"/>
            <w:tcBorders/>
            <w:shd w:fill="auto" w:val="clear"/>
            <w:vAlign w:val="center"/>
          </w:tcPr>
          <w:p>
            <w:pPr>
              <w:pStyle w:val="TableContents"/>
              <w:spacing w:before="0" w:after="0"/>
              <w:ind w:left="0" w:right="0" w:firstLine="30"/>
              <w:rPr/>
            </w:pPr>
            <w:r>
              <w:rPr/>
              <w:t> </w:t>
            </w:r>
          </w:p>
        </w:tc>
        <w:tc>
          <w:tcPr>
            <w:tcW w:w="150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6" w:type="dxa"/>
            <w:tcBorders/>
            <w:shd w:fill="auto" w:val="clear"/>
            <w:vAlign w:val="center"/>
          </w:tcPr>
          <w:p>
            <w:pPr>
              <w:pStyle w:val="TableContents"/>
              <w:spacing w:before="0" w:after="0"/>
              <w:ind w:left="0" w:right="0" w:firstLine="30"/>
              <w:rPr/>
            </w:pPr>
            <w:r>
              <w:rPr/>
              <w:t> </w:t>
            </w:r>
          </w:p>
        </w:tc>
        <w:tc>
          <w:tcPr>
            <w:tcW w:w="136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35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933</w:t>
            </w:r>
          </w:p>
        </w:tc>
        <w:tc>
          <w:tcPr>
            <w:tcW w:w="23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178</w:t>
            </w:r>
          </w:p>
        </w:tc>
        <w:tc>
          <w:tcPr>
            <w:tcW w:w="2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1,111</w:t>
            </w:r>
          </w:p>
        </w:tc>
        <w:tc>
          <w:tcPr>
            <w:tcW w:w="21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354"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71" w:type="dxa"/>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2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8"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87" w:type="dxa"/>
            <w:tcBorders/>
            <w:shd w:fill="auto" w:val="clear"/>
            <w:vAlign w:val="center"/>
          </w:tcPr>
          <w:p>
            <w:pPr>
              <w:pStyle w:val="TableContents"/>
              <w:spacing w:before="0" w:after="0"/>
              <w:jc w:val="right"/>
              <w:rPr>
                <w:rFonts w:ascii="inherit" w:hAnsi="inherit"/>
                <w:sz w:val="17"/>
              </w:rPr>
            </w:pPr>
            <w:r>
              <w:rPr>
                <w:rFonts w:ascii="inherit" w:hAnsi="inherit"/>
                <w:sz w:val="17"/>
              </w:rPr>
              <w:t>58</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822" w:type="dxa"/>
            <w:tcBorders/>
            <w:shd w:fill="auto" w:val="clear"/>
            <w:vAlign w:val="center"/>
          </w:tcPr>
          <w:p>
            <w:pPr>
              <w:pStyle w:val="TableContents"/>
              <w:spacing w:before="0" w:after="0"/>
              <w:jc w:val="right"/>
              <w:rPr/>
            </w:pPr>
            <w:r>
              <w:rPr/>
              <w:t>—</w:t>
            </w:r>
          </w:p>
        </w:tc>
        <w:tc>
          <w:tcPr>
            <w:tcW w:w="53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354" w:type="dxa"/>
            <w:tcBorders/>
            <w:shd w:fill="CCEEFF" w:val="clear"/>
            <w:vAlign w:val="center"/>
          </w:tcPr>
          <w:p>
            <w:pPr>
              <w:pStyle w:val="TableContents"/>
              <w:spacing w:before="0" w:after="0"/>
              <w:jc w:val="right"/>
              <w:rPr>
                <w:rFonts w:ascii="inherit" w:hAnsi="inherit"/>
                <w:sz w:val="17"/>
              </w:rPr>
            </w:pPr>
            <w:r>
              <w:rPr>
                <w:rFonts w:ascii="inherit" w:hAnsi="inherit"/>
                <w:sz w:val="17"/>
              </w:rPr>
              <w:t>49</w:t>
            </w:r>
          </w:p>
        </w:tc>
        <w:tc>
          <w:tcPr>
            <w:tcW w:w="2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shd w:fill="CCEEFF" w:val="clear"/>
            <w:vAlign w:val="center"/>
          </w:tcPr>
          <w:p>
            <w:pPr>
              <w:pStyle w:val="TableContents"/>
              <w:spacing w:before="0" w:after="0"/>
              <w:jc w:val="right"/>
              <w:rPr>
                <w:rFonts w:ascii="inherit" w:hAnsi="inherit"/>
                <w:sz w:val="17"/>
              </w:rPr>
            </w:pPr>
            <w:r>
              <w:rPr>
                <w:rFonts w:ascii="inherit" w:hAnsi="inherit"/>
                <w:sz w:val="17"/>
              </w:rPr>
              <w:t>45</w:t>
            </w:r>
          </w:p>
        </w:tc>
        <w:tc>
          <w:tcPr>
            <w:tcW w:w="2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shd w:fill="CCEEFF" w:val="clear"/>
            <w:vAlign w:val="center"/>
          </w:tcPr>
          <w:p>
            <w:pPr>
              <w:pStyle w:val="TableContents"/>
              <w:spacing w:before="0" w:after="0"/>
              <w:jc w:val="right"/>
              <w:rPr>
                <w:rFonts w:ascii="inherit" w:hAnsi="inherit"/>
                <w:sz w:val="17"/>
              </w:rPr>
            </w:pPr>
            <w:r>
              <w:rPr>
                <w:rFonts w:ascii="inherit" w:hAnsi="inherit"/>
                <w:sz w:val="17"/>
              </w:rPr>
              <w:t>94</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shd w:fill="CCEEFF" w:val="clear"/>
            <w:vAlign w:val="center"/>
          </w:tcPr>
          <w:p>
            <w:pPr>
              <w:pStyle w:val="TableContents"/>
              <w:spacing w:before="0" w:after="0"/>
              <w:jc w:val="right"/>
              <w:rPr/>
            </w:pPr>
            <w:r>
              <w:rPr/>
              <w:t>—</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35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23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7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41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8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82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35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982</w:t>
            </w:r>
          </w:p>
        </w:tc>
        <w:tc>
          <w:tcPr>
            <w:tcW w:w="23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28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8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1,250</w:t>
            </w:r>
          </w:p>
        </w:tc>
        <w:tc>
          <w:tcPr>
            <w:tcW w:w="2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8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3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13</w:t>
      </w:r>
      <w:r>
        <w:rPr>
          <w:sz w:val="17"/>
        </w:rPr>
        <w:t xml:space="preserve"> </w:t>
      </w:r>
      <w:r>
        <w:rPr>
          <w:rFonts w:ascii="inherit" w:hAnsi="inherit"/>
          <w:sz w:val="17"/>
        </w:rPr>
        <w:t>of 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4623</Words>
  <CharactersWithSpaces>29788</CharactersWithSpaces>
  <Paragraphs>2317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