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Wolfe Charles Bradford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1901 CAPITAL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EZPW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12/01/2009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0"/>
        <w:gridCol w:w="771"/>
        <w:gridCol w:w="597"/>
        <w:gridCol w:w="342"/>
        <w:gridCol w:w="959"/>
        <w:gridCol w:w="439"/>
        <w:gridCol w:w="745"/>
        <w:gridCol w:w="1136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12/01/2009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15.48</w:t>
            </w:r>
            <w:r>
              <w:rPr/>
              <w:t xml:space="preserve"> 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Non-Voting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12/01/2009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10,000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Restricted Stock Award is issued with a 3 year "cliff"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Closing market value on date of award is $15.21. However, no consideration was paid for the award other than services rendered and to be rendered by the Reporting Person.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Laura Jones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12/02/2009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477749" TargetMode="External"/><Relationship Id="rId4" Type="http://schemas.openxmlformats.org/officeDocument/2006/relationships/hyperlink" Target="http://www.sec.gov/cgi-bin/browse-edgar?action=getcompany&amp;CIK=00008765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575</Words>
  <CharactersWithSpaces>3606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