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3, 2021</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4"/>
        </w:trPr>
        <w:tc>
          <w:tcPr>
            <w:tcW w:w="1820" w:type="dxa"/>
            <w:vAlign w:val="bottom"/>
          </w:tcPr>
          <w:p>
            <w:pPr>
              <w:jc w:val="center"/>
              <w:ind w:right="102"/>
              <w:spacing w:after="0" w:line="144"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4"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4"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February 3, 2021, EZCORP, Inc. ("EZCORP") issued a press release announcing its results of operations and financial condition for the quarter ended December 31, 2020. A copy of that press release is attached as Exhibit 99.1.</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2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21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copy of the presentation materials that management will review during the Company’s earnings conference call (to be held on February 4, 2021) will be posted in the Investor Relations section of the Company’s website at www.ezcorp.com.</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10" w:lineRule="exact"/>
        <w:rPr>
          <w:sz w:val="20"/>
          <w:szCs w:val="20"/>
          <w:color w:val="auto"/>
        </w:rPr>
      </w:pPr>
    </w:p>
    <w:p>
      <w:pPr>
        <w:ind w:left="800" w:hanging="450"/>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93" w:lineRule="exact"/>
        <w:rPr>
          <w:sz w:val="20"/>
          <w:szCs w:val="20"/>
          <w:color w:val="auto"/>
        </w:rPr>
      </w:pPr>
    </w:p>
    <w:p>
      <w:pPr>
        <w:ind w:left="1060" w:right="540" w:hanging="525"/>
        <w:spacing w:after="0" w:line="235" w:lineRule="auto"/>
        <w:tabs>
          <w:tab w:leader="none" w:pos="1040" w:val="left"/>
        </w:tabs>
        <w:rPr>
          <w:rFonts w:ascii="Arial" w:cs="Arial" w:eastAsia="Arial" w:hAnsi="Arial"/>
          <w:sz w:val="18"/>
          <w:szCs w:val="18"/>
          <w:color w:val="0000FF"/>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8"/>
            <w:szCs w:val="18"/>
            <w:u w:val="single" w:color="auto"/>
            <w:color w:val="0000FF"/>
          </w:rPr>
          <w:t>Press Release, dated February 3, 2021, announcing EZCORP, Inc.’s results of operations and financial condition for the quarter ended</w:t>
        </w:r>
      </w:hyperlink>
      <w:r>
        <w:rPr>
          <w:rFonts w:ascii="Arial" w:cs="Arial" w:eastAsia="Arial" w:hAnsi="Arial"/>
          <w:sz w:val="18"/>
          <w:szCs w:val="18"/>
          <w:u w:val="single" w:color="auto"/>
          <w:color w:val="0000FF"/>
        </w:rPr>
        <w:t xml:space="preserve"> </w:t>
      </w:r>
      <w:hyperlink w:anchor="page3">
        <w:r>
          <w:rPr>
            <w:rFonts w:ascii="Arial" w:cs="Arial" w:eastAsia="Arial" w:hAnsi="Arial"/>
            <w:sz w:val="18"/>
            <w:szCs w:val="18"/>
            <w:u w:val="single" w:color="auto"/>
            <w:color w:val="0000FF"/>
          </w:rPr>
          <w:t>December 31</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w:t>
        </w:r>
        <w:r>
          <w:rPr>
            <w:rFonts w:ascii="Arial" w:cs="Arial" w:eastAsia="Arial" w:hAnsi="Arial"/>
            <w:sz w:val="18"/>
            <w:szCs w:val="18"/>
            <w:color w:val="0000FF"/>
          </w:rPr>
          <w:t>.</w:t>
        </w:r>
      </w:hyperlink>
    </w:p>
    <w:p>
      <w:pPr>
        <w:ind w:left="1060" w:hanging="51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66"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200" w:type="dxa"/>
            <w:vAlign w:val="bottom"/>
            <w:gridSpan w:val="2"/>
          </w:tcPr>
          <w:p>
            <w:pPr>
              <w:ind w:left="2060"/>
              <w:spacing w:after="0"/>
              <w:rPr>
                <w:sz w:val="20"/>
                <w:szCs w:val="20"/>
                <w:color w:val="auto"/>
              </w:rPr>
            </w:pPr>
            <w:r>
              <w:rPr>
                <w:rFonts w:ascii="Arial" w:cs="Arial" w:eastAsia="Arial" w:hAnsi="Arial"/>
                <w:sz w:val="18"/>
                <w:szCs w:val="18"/>
                <w:color w:val="auto"/>
              </w:rPr>
              <w:t>EZCORP, INC.</w:t>
            </w:r>
          </w:p>
        </w:tc>
      </w:tr>
      <w:tr>
        <w:trPr>
          <w:trHeight w:val="283"/>
        </w:trPr>
        <w:tc>
          <w:tcPr>
            <w:tcW w:w="3960" w:type="dxa"/>
            <w:vAlign w:val="bottom"/>
          </w:tcPr>
          <w:p>
            <w:pPr>
              <w:spacing w:after="0"/>
              <w:rPr>
                <w:sz w:val="20"/>
                <w:szCs w:val="20"/>
                <w:color w:val="auto"/>
              </w:rPr>
            </w:pPr>
            <w:r>
              <w:rPr>
                <w:rFonts w:ascii="Arial" w:cs="Arial" w:eastAsia="Arial" w:hAnsi="Arial"/>
                <w:sz w:val="18"/>
                <w:szCs w:val="18"/>
                <w:color w:val="auto"/>
              </w:rPr>
              <w:t>Date:   February 3, 2021</w:t>
            </w:r>
          </w:p>
        </w:tc>
        <w:tc>
          <w:tcPr>
            <w:tcW w:w="2880" w:type="dxa"/>
            <w:vAlign w:val="bottom"/>
          </w:tcPr>
          <w:p>
            <w:pPr>
              <w:ind w:left="206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A. Kulas</w:t>
            </w:r>
          </w:p>
        </w:tc>
      </w:tr>
      <w:tr>
        <w:trPr>
          <w:trHeight w:val="222"/>
        </w:trPr>
        <w:tc>
          <w:tcPr>
            <w:tcW w:w="39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Jason A. Kulas</w:t>
            </w:r>
          </w:p>
        </w:tc>
      </w:tr>
      <w:tr>
        <w:trPr>
          <w:trHeight w:val="230"/>
        </w:trPr>
        <w:tc>
          <w:tcPr>
            <w:tcW w:w="39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20"/>
          </w:cols>
          <w:pgMar w:left="320" w:top="1053" w:right="359" w:bottom="1440" w:gutter="0" w:footer="0" w:header="0"/>
        </w:sectPr>
      </w:pPr>
    </w:p>
    <w:bookmarkStart w:id="2" w:name="page3"/>
    <w:bookmarkEnd w:id="2"/>
    <w:p>
      <w:pPr>
        <w:spacing w:after="0" w:line="2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603250</wp:posOffset>
            </wp:positionV>
            <wp:extent cx="200596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7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5"/>
          <w:szCs w:val="25"/>
          <w:b w:val="1"/>
          <w:bCs w:val="1"/>
          <w:color w:val="auto"/>
        </w:rPr>
        <w:t>EZCORP Reports First Quarter Fiscal 2021 Results</w:t>
      </w:r>
    </w:p>
    <w:p>
      <w:pPr>
        <w:spacing w:after="0" w:line="17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 xml:space="preserve">Austin, Texas (February 3, 2021) — </w:t>
      </w:r>
      <w:r>
        <w:rPr>
          <w:rFonts w:ascii="Arial" w:cs="Arial" w:eastAsia="Arial" w:hAnsi="Arial"/>
          <w:sz w:val="18"/>
          <w:szCs w:val="18"/>
          <w:color w:val="auto"/>
        </w:rPr>
        <w:t>EZCORP, Inc. (NASDAQ: EZPW) today announced results for its first quarter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2020.</w:t>
      </w:r>
    </w:p>
    <w:p>
      <w:pPr>
        <w:spacing w:after="0" w:line="108"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i w:val="1"/>
          <w:iCs w:val="1"/>
          <w:color w:val="auto"/>
        </w:rPr>
        <w:t>All amounts in this release are in conformity with U.S. generally accepted accounting principles ("GAAP") unless otherwise noted. Comparisons shown in this release are to the same period in the prior year unless otherwise noted.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Chief Executive Officer Jason Kulas stated, “We remain focused on strengthening and growing our core pawn business as we continue to strive to be our customers’ first and best choice for their short-term cash needs and for affordable pre-owned goods. The first quarter of fiscal 2021 was characterized by continuing growth in demand for pawn loans, building on the prior quarter’s inflection point, even as store expenses remained flat on a sequential basis. Pawn loans outstanding (PLO) ended the quarter at $148 million, up 13% on a sequential basis from $131 million at the end of September 2020, primarily reflecting continued efforts to enhance our value proposition to customers and the reduction of certain government stimulus programs. In the near term, the recently implemented second stimulus package has reduced demand for pawn loans and the upcoming tax refund season will likely further temporarily curb loan demand.</w:t>
      </w:r>
    </w:p>
    <w:p>
      <w:pPr>
        <w:spacing w:after="0" w:line="15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“Turning to our financial performance for the quarter, pawn service charges (PSC) and merchandise sales remained depressed relative to prior-year levels as we continue to work through rebuilding PLO following 2020 stimulus payments and other ongoing headwinds from the COVID-19 pandemic. Merchandise sales gross profits held steady on more effective inventory management. We remain on track to realize meaningful cost savings as a result of strategic initiatives we implemented last quarter and continued this quarter. Looking ahead, while store-level operating costs will rebuild as transaction activity increases, ongoing cost reduction and simplification efforts across the business generate operating leverage as revenue trends higher. Furthermore, we maintain a strong balance sheet with ample liquidity to continue to fund PLO growth, de novo store openings, and strategic inorganic growth opportunities, with an ongoing emphasis on generating strong returns on capital.</w:t>
      </w:r>
    </w:p>
    <w:p>
      <w:pPr>
        <w:spacing w:after="0" w:line="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are there for our customers, with virtually all of our stores remaining open and with continued expansion of payment options. Moreover, we remain focused on enhancing our digital pawn servicing platform to broaden customer engagement and enhance the customer experience as we drive operating efficiencies. We also continue to leverage technology and data analytics across geographies to optimize pricing, productivity, and returns, and strengthen business development initiatives. Finally, building the most passionate and tenured store-level team in the industry remains one of our top priorities, with an ongoing focus on the health, safety, development, and retention of our team members through and beyond the pandemic."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FIRST QUARTER OF FISCAL 2021</w:t>
      </w:r>
    </w:p>
    <w:p>
      <w:pPr>
        <w:spacing w:after="0" w:line="169" w:lineRule="exact"/>
        <w:rPr>
          <w:sz w:val="20"/>
          <w:szCs w:val="20"/>
          <w:color w:val="auto"/>
        </w:rPr>
      </w:pPr>
    </w:p>
    <w:p>
      <w:pPr>
        <w:ind w:left="660" w:hanging="328"/>
        <w:spacing w:after="0" w:line="225"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was $0.08, compared to $0.02 in the prior-year quarter. On an adjusted basis</w:t>
      </w:r>
      <w:r>
        <w:rPr>
          <w:rFonts w:ascii="Arial" w:cs="Arial" w:eastAsia="Arial" w:hAnsi="Arial"/>
          <w:sz w:val="23"/>
          <w:szCs w:val="23"/>
          <w:color w:val="auto"/>
          <w:vertAlign w:val="superscript"/>
        </w:rPr>
        <w:t>1</w:t>
      </w:r>
      <w:r>
        <w:rPr>
          <w:rFonts w:ascii="Arial" w:cs="Arial" w:eastAsia="Arial" w:hAnsi="Arial"/>
          <w:sz w:val="18"/>
          <w:szCs w:val="18"/>
          <w:color w:val="auto"/>
        </w:rPr>
        <w:t>, diluted earnings per share was $0.13, down from $0.17 in the prior-year quarter. Income before taxes increased by $2.5 million to $5.5 million.</w:t>
      </w:r>
    </w:p>
    <w:p>
      <w:pPr>
        <w:spacing w:after="0" w:line="162" w:lineRule="exact"/>
        <w:rPr>
          <w:rFonts w:ascii="Arial" w:cs="Arial" w:eastAsia="Arial" w:hAnsi="Arial"/>
          <w:sz w:val="18"/>
          <w:szCs w:val="18"/>
          <w:color w:val="auto"/>
        </w:rPr>
      </w:pPr>
    </w:p>
    <w:p>
      <w:pPr>
        <w:ind w:left="660" w:right="60" w:hanging="328"/>
        <w:spacing w:after="0" w:line="261"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decreased $44.3 million or 20%, primarily due to a $21.2 million or 25% decrease in PSC and a $18.9 million or 15% decrease in merchandise sales.</w:t>
      </w:r>
    </w:p>
    <w:p>
      <w:pPr>
        <w:spacing w:after="0" w:line="143" w:lineRule="exact"/>
        <w:rPr>
          <w:rFonts w:ascii="Arial" w:cs="Arial" w:eastAsia="Arial" w:hAnsi="Arial"/>
          <w:sz w:val="18"/>
          <w:szCs w:val="18"/>
          <w:color w:val="auto"/>
        </w:rPr>
      </w:pPr>
    </w:p>
    <w:p>
      <w:pPr>
        <w:ind w:left="660" w:right="100" w:hanging="328"/>
        <w:spacing w:after="0" w:line="256"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decrease in PSC was due to a $47.7 million or 24% decrease in PLO. Pawn loan demand was significantly reduced in the third and fourth quarters of fiscal 2020 as a result of the impact of COVID-19 and the economic stimulus actions in the U.S. and constrained traffic in Latin America.</w:t>
      </w:r>
    </w:p>
    <w:p>
      <w:pPr>
        <w:spacing w:after="0" w:line="147" w:lineRule="exact"/>
        <w:rPr>
          <w:rFonts w:ascii="Arial" w:cs="Arial" w:eastAsia="Arial" w:hAnsi="Arial"/>
          <w:sz w:val="18"/>
          <w:szCs w:val="18"/>
          <w:color w:val="auto"/>
        </w:rPr>
      </w:pPr>
    </w:p>
    <w:p>
      <w:pPr>
        <w:ind w:left="660" w:right="60" w:hanging="328"/>
        <w:spacing w:after="0" w:line="278" w:lineRule="auto"/>
        <w:tabs>
          <w:tab w:leader="none" w:pos="669" w:val="left"/>
        </w:tabs>
        <w:numPr>
          <w:ilvl w:val="0"/>
          <w:numId w:val="4"/>
        </w:numPr>
        <w:rPr>
          <w:rFonts w:ascii="Arial" w:cs="Arial" w:eastAsia="Arial" w:hAnsi="Arial"/>
          <w:sz w:val="17"/>
          <w:szCs w:val="17"/>
          <w:color w:val="auto"/>
        </w:rPr>
      </w:pPr>
      <w:r>
        <w:rPr>
          <w:rFonts w:ascii="Arial" w:cs="Arial" w:eastAsia="Arial" w:hAnsi="Arial"/>
          <w:sz w:val="17"/>
          <w:szCs w:val="17"/>
          <w:color w:val="auto"/>
        </w:rPr>
        <w:t>Although merchandise sales decreased by $18.9 million, merchandise sales gross profit improved by 1%, driven by effective inventory management and less aged inventory leading to a 600 bps improvement in merchandise sales gross profit margin to 40%. The sales margin in the prior year quarter was negatively impacted by 260 bps due to greater sales volume of aged merchandise.</w:t>
      </w:r>
    </w:p>
    <w:p>
      <w:pPr>
        <w:spacing w:after="0" w:line="130" w:lineRule="exact"/>
        <w:rPr>
          <w:rFonts w:ascii="Arial" w:cs="Arial" w:eastAsia="Arial" w:hAnsi="Arial"/>
          <w:sz w:val="17"/>
          <w:szCs w:val="17"/>
          <w:color w:val="auto"/>
        </w:rPr>
      </w:pPr>
    </w:p>
    <w:p>
      <w:pPr>
        <w:jc w:val="both"/>
        <w:ind w:left="660" w:right="80" w:hanging="328"/>
        <w:spacing w:after="0" w:line="256"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 sequential basis, total revenues increased $11.3 million or 7% to $178.1 million, largely driven by a 15% increase in PSC. The sequential increase in PSC was primarily due to a $16.5 million or 13% increase in the PLO balance to $147.9 million from the prior quarter.</w:t>
      </w:r>
    </w:p>
    <w:p>
      <w:pPr>
        <w:sectPr>
          <w:pgSz w:w="11900" w:h="16838" w:orient="portrait"/>
          <w:cols w:equalWidth="0" w:num="1">
            <w:col w:w="11200"/>
          </w:cols>
          <w:pgMar w:left="320" w:top="1440" w:right="379" w:bottom="1440" w:gutter="0" w:footer="0" w:header="0"/>
        </w:sectPr>
      </w:pPr>
    </w:p>
    <w:bookmarkStart w:id="3" w:name="page4"/>
    <w:bookmarkEnd w:id="3"/>
    <w:p>
      <w:pPr>
        <w:ind w:left="660" w:right="320" w:hanging="328"/>
        <w:spacing w:after="0" w:line="254"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focus on expense control drove total operating expenses down 15% to $99.4 million. The decrease in total operating expenses was primarily the result of a $10.0 million or 11% decrease in store expenses and a $6.3 million or 34% decrease in general and administrative expenses. The decrease in expenses is primarily due to cost cutting initiatives over the last 12 months (especially in the fourth quarter of fiscal 2020) and a continued focus on expense control.</w:t>
      </w:r>
    </w:p>
    <w:p>
      <w:pPr>
        <w:spacing w:after="0" w:line="149" w:lineRule="exact"/>
        <w:rPr>
          <w:rFonts w:ascii="Arial" w:cs="Arial" w:eastAsia="Arial" w:hAnsi="Arial"/>
          <w:sz w:val="18"/>
          <w:szCs w:val="18"/>
          <w:color w:val="auto"/>
        </w:rPr>
      </w:pPr>
    </w:p>
    <w:p>
      <w:pPr>
        <w:ind w:left="660" w:right="200" w:hanging="328"/>
        <w:spacing w:after="0" w:line="261"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inventory was $95.0 million, down 49% year-over-year and 1% sequentially. Inventory turnover improved to 2.9x from 2.0x and on a sequential basis improved 4% from 2.8x.</w:t>
      </w:r>
    </w:p>
    <w:p>
      <w:pPr>
        <w:spacing w:after="0" w:line="143" w:lineRule="exact"/>
        <w:rPr>
          <w:rFonts w:ascii="Arial" w:cs="Arial" w:eastAsia="Arial" w:hAnsi="Arial"/>
          <w:sz w:val="18"/>
          <w:szCs w:val="18"/>
          <w:color w:val="auto"/>
        </w:rPr>
      </w:pPr>
    </w:p>
    <w:p>
      <w:pPr>
        <w:jc w:val="both"/>
        <w:ind w:left="660" w:right="280" w:hanging="328"/>
        <w:spacing w:after="0" w:line="256" w:lineRule="auto"/>
        <w:tabs>
          <w:tab w:leader="none" w:pos="669"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Cash and cash equivalents at the end of the quarter was $290.5 million, an increase of $147.3 million or 103% from the prior-year quarter due to the year-over-year reduction in earning assets. On a sequential basis, cash and cash equivalents decreased $14.1 million or 5%, due to the sequential increase in PLO.</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2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9"/>
        </w:trPr>
        <w:tc>
          <w:tcPr>
            <w:tcW w:w="5720" w:type="dxa"/>
            <w:vAlign w:val="bottom"/>
          </w:tcPr>
          <w:p>
            <w:pPr>
              <w:spacing w:after="0"/>
              <w:rPr>
                <w:sz w:val="20"/>
                <w:szCs w:val="20"/>
                <w:color w:val="auto"/>
              </w:rPr>
            </w:pPr>
            <w:r>
              <w:rPr>
                <w:rFonts w:ascii="Arial" w:cs="Arial" w:eastAsia="Arial" w:hAnsi="Arial"/>
                <w:sz w:val="18"/>
                <w:szCs w:val="18"/>
                <w:b w:val="1"/>
                <w:bCs w:val="1"/>
                <w:color w:val="auto"/>
              </w:rPr>
              <w:t>Three Months Ended December 31</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5"/>
        </w:trPr>
        <w:tc>
          <w:tcPr>
            <w:tcW w:w="5720" w:type="dxa"/>
            <w:vAlign w:val="bottom"/>
          </w:tcPr>
          <w:p>
            <w:pPr>
              <w:spacing w:after="0"/>
              <w:rPr>
                <w:sz w:val="20"/>
                <w:szCs w:val="20"/>
                <w:color w:val="auto"/>
              </w:rPr>
            </w:pPr>
            <w:r>
              <w:rPr>
                <w:rFonts w:ascii="Arial" w:cs="Arial" w:eastAsia="Arial" w:hAnsi="Arial"/>
                <w:sz w:val="18"/>
                <w:szCs w:val="18"/>
                <w:i w:val="1"/>
                <w:iCs w:val="1"/>
                <w:color w:val="auto"/>
              </w:rPr>
              <w:t>in millions, except per share amounts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23"/>
                <w:szCs w:val="23"/>
                <w:b w:val="1"/>
                <w:bCs w:val="1"/>
                <w:color w:val="auto"/>
                <w:vertAlign w:val="superscript"/>
              </w:rPr>
              <w:t>1</w:t>
            </w:r>
          </w:p>
        </w:tc>
        <w:tc>
          <w:tcPr>
            <w:tcW w:w="820" w:type="dxa"/>
            <w:vAlign w:val="bottom"/>
          </w:tcPr>
          <w:p>
            <w:pPr>
              <w:spacing w:after="0"/>
              <w:rPr>
                <w:sz w:val="24"/>
                <w:szCs w:val="24"/>
                <w:color w:val="auto"/>
              </w:rPr>
            </w:pPr>
          </w:p>
        </w:tc>
      </w:tr>
      <w:tr>
        <w:trPr>
          <w:trHeight w:val="223"/>
        </w:trPr>
        <w:tc>
          <w:tcPr>
            <w:tcW w:w="5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r>
      <w:tr>
        <w:trPr>
          <w:trHeight w:val="264"/>
        </w:trPr>
        <w:tc>
          <w:tcPr>
            <w:tcW w:w="57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222.4</w:t>
            </w:r>
          </w:p>
        </w:tc>
        <w:tc>
          <w:tcPr>
            <w:tcW w:w="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222.4</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130.1</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130.1</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Income, Before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22.9</w:t>
            </w:r>
          </w:p>
        </w:tc>
      </w:tr>
    </w:tbl>
    <w:p>
      <w:pPr>
        <w:spacing w:after="0" w:line="242" w:lineRule="exact"/>
        <w:rPr>
          <w:sz w:val="20"/>
          <w:szCs w:val="20"/>
          <w:color w:val="auto"/>
        </w:rPr>
      </w:pPr>
    </w:p>
    <w:p>
      <w:pPr>
        <w:ind w:left="660" w:right="260" w:hanging="328"/>
        <w:spacing w:after="0" w:line="291" w:lineRule="auto"/>
        <w:tabs>
          <w:tab w:leader="none" w:pos="669"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revenues decreased 20% to $178.1 million. PSC was down 25% to $63.5 million due to lower average PLO. On a sequential basis, PLO increased 13% from the prior quarter, compared to a 2% sequential decrease in the same period of the prior year.</w:t>
      </w:r>
    </w:p>
    <w:p>
      <w:pPr>
        <w:spacing w:after="0" w:line="119"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were down 17% to $108.4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merchandise sales gross profit increased 1% to $43.2 million.</w:t>
      </w:r>
    </w:p>
    <w:p>
      <w:pPr>
        <w:spacing w:after="0" w:line="171" w:lineRule="exact"/>
        <w:rPr>
          <w:rFonts w:ascii="Arial" w:cs="Arial" w:eastAsia="Arial" w:hAnsi="Arial"/>
          <w:sz w:val="18"/>
          <w:szCs w:val="18"/>
          <w:color w:val="auto"/>
        </w:rPr>
      </w:pPr>
    </w:p>
    <w:p>
      <w:pPr>
        <w:ind w:left="660" w:right="100" w:hanging="328"/>
        <w:spacing w:after="0" w:line="256" w:lineRule="auto"/>
        <w:tabs>
          <w:tab w:leader="none" w:pos="669" w:val="left"/>
        </w:tabs>
        <w:numPr>
          <w:ilvl w:val="0"/>
          <w:numId w:val="6"/>
        </w:numPr>
        <w:rPr>
          <w:rFonts w:ascii="Arial" w:cs="Arial" w:eastAsia="Arial" w:hAnsi="Arial"/>
          <w:sz w:val="18"/>
          <w:szCs w:val="18"/>
          <w:color w:val="595959"/>
        </w:rPr>
      </w:pPr>
      <w:r>
        <w:rPr>
          <w:rFonts w:ascii="Arial" w:cs="Arial" w:eastAsia="Arial" w:hAnsi="Arial"/>
          <w:sz w:val="18"/>
          <w:szCs w:val="18"/>
          <w:color w:val="auto"/>
        </w:rPr>
        <w:t>Consolidated store expenses decreased 11% primarily due to a reduction of expenses in line with reduced activity at the store level. Total pawn store count decreased by 11 stores or 1% since the end of the prior-year quarter. General and administrative expense decreased 34% to $12.5 million, due to a continued focus on expense control.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was down 18% to $136.5 million, reflecting the impact of lower PLO driving a decrease in PSC revenue.</w:t>
      </w:r>
    </w:p>
    <w:p>
      <w:pPr>
        <w:spacing w:after="0" w:line="171" w:lineRule="exact"/>
        <w:rPr>
          <w:rFonts w:ascii="Arial" w:cs="Arial" w:eastAsia="Arial" w:hAnsi="Arial"/>
          <w:sz w:val="18"/>
          <w:szCs w:val="18"/>
          <w:color w:val="auto"/>
        </w:rPr>
      </w:pPr>
    </w:p>
    <w:p>
      <w:pPr>
        <w:ind w:left="660" w:right="420" w:hanging="328"/>
        <w:spacing w:after="0" w:line="261"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PLO decreased 21% year-over-year to $121.9 million. On a sequential basis, PLO increased 15% compared to a 1% sequential decrease in the prior-year quarter, reflecting improved loan demand.</w:t>
      </w:r>
    </w:p>
    <w:p>
      <w:pPr>
        <w:spacing w:after="0" w:line="143" w:lineRule="exact"/>
        <w:rPr>
          <w:rFonts w:ascii="Arial" w:cs="Arial" w:eastAsia="Arial" w:hAnsi="Arial"/>
          <w:sz w:val="18"/>
          <w:szCs w:val="18"/>
          <w:color w:val="auto"/>
        </w:rPr>
      </w:pPr>
    </w:p>
    <w:p>
      <w:pPr>
        <w:ind w:left="660" w:right="320" w:hanging="328"/>
        <w:spacing w:after="0" w:line="261"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PSC decreased 22% to $50.2 million as a result of lower average PLO for the quarter, offset by an increase in yield to 173% from 164%.</w:t>
      </w:r>
    </w:p>
    <w:p>
      <w:pPr>
        <w:spacing w:after="0" w:line="143" w:lineRule="exact"/>
        <w:rPr>
          <w:rFonts w:ascii="Arial" w:cs="Arial" w:eastAsia="Arial" w:hAnsi="Arial"/>
          <w:sz w:val="18"/>
          <w:szCs w:val="18"/>
          <w:color w:val="auto"/>
        </w:rPr>
      </w:pPr>
    </w:p>
    <w:p>
      <w:pPr>
        <w:ind w:left="660" w:right="260" w:hanging="328"/>
        <w:spacing w:after="0" w:line="261"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Merchandise sales declined 14% to $82.3 million. Inventory turnover improved to 2.6x from 1.8x. Merchandise sales gross margin grew from 36% to 42%, above our targeted range. Aged general merchandise inventory improved to 3.4% from 6.7%.</w:t>
      </w:r>
    </w:p>
    <w:p>
      <w:pPr>
        <w:spacing w:after="0" w:line="143" w:lineRule="exact"/>
        <w:rPr>
          <w:rFonts w:ascii="Arial" w:cs="Arial" w:eastAsia="Arial" w:hAnsi="Arial"/>
          <w:sz w:val="18"/>
          <w:szCs w:val="18"/>
          <w:color w:val="auto"/>
        </w:rPr>
      </w:pPr>
    </w:p>
    <w:p>
      <w:pPr>
        <w:ind w:left="660" w:right="440" w:hanging="328"/>
        <w:spacing w:after="0" w:line="261"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decreased 14% to $85.6 million primarily due to lower PSC, partially offset by increased merchandise sales gross profit.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Store expenses were down 9% to $62.1 million driven by a reduction in labor expense.</w:t>
      </w:r>
    </w:p>
    <w:p>
      <w:pPr>
        <w:sectPr>
          <w:pgSz w:w="11900" w:h="16838" w:orient="portrait"/>
          <w:cols w:equalWidth="0" w:num="1">
            <w:col w:w="11240"/>
          </w:cols>
          <w:pgMar w:left="320" w:top="1111" w:right="339" w:bottom="1440" w:gutter="0" w:footer="0" w:header="0"/>
        </w:sectPr>
      </w:pPr>
    </w:p>
    <w:bookmarkStart w:id="4" w:name="page5"/>
    <w:bookmarkEnd w:id="4"/>
    <w:p>
      <w:pPr>
        <w:ind w:left="660" w:right="620" w:hanging="328"/>
        <w:spacing w:after="0" w:line="261"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contribution decreased $7.8 million to $20.7 million as a result of the decrease in net revenue, partially offset by the reduction in store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revenue was down 25% to $41.6 million, reflecting the impact of lower PLO driving a decrease in PSC revenue.</w:t>
      </w:r>
    </w:p>
    <w:p>
      <w:pPr>
        <w:spacing w:after="0" w:line="171" w:lineRule="exact"/>
        <w:rPr>
          <w:rFonts w:ascii="Arial" w:cs="Arial" w:eastAsia="Arial" w:hAnsi="Arial"/>
          <w:sz w:val="18"/>
          <w:szCs w:val="18"/>
          <w:color w:val="auto"/>
        </w:rPr>
      </w:pPr>
    </w:p>
    <w:p>
      <w:pPr>
        <w:ind w:left="660" w:right="580" w:hanging="328"/>
        <w:spacing w:after="0" w:line="261"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PLO decreased 36% year-over-year to $25.9 million. On a sequential basis, PLO increased 4% compared to a 3% sequential decrease in the prior-year quarter, reflecting improved loan demand.</w:t>
      </w:r>
    </w:p>
    <w:p>
      <w:pPr>
        <w:spacing w:after="0" w:line="143" w:lineRule="exact"/>
        <w:rPr>
          <w:rFonts w:ascii="Arial" w:cs="Arial" w:eastAsia="Arial" w:hAnsi="Arial"/>
          <w:sz w:val="18"/>
          <w:szCs w:val="18"/>
          <w:color w:val="auto"/>
        </w:rPr>
      </w:pPr>
    </w:p>
    <w:p>
      <w:pPr>
        <w:ind w:left="660" w:right="60" w:hanging="328"/>
        <w:spacing w:after="0" w:line="261"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PSC decreased 36% to $13.3 million (down 32% to $13.9 million on a constant currency basis) as a result of lower average PLO for the quarter, offset by an increase in yield to 200% from 192% in the prior year.</w:t>
      </w:r>
    </w:p>
    <w:p>
      <w:pPr>
        <w:spacing w:after="0" w:line="143" w:lineRule="exact"/>
        <w:rPr>
          <w:rFonts w:ascii="Arial" w:cs="Arial" w:eastAsia="Arial" w:hAnsi="Arial"/>
          <w:sz w:val="18"/>
          <w:szCs w:val="18"/>
          <w:color w:val="auto"/>
        </w:rPr>
      </w:pPr>
    </w:p>
    <w:p>
      <w:pPr>
        <w:ind w:left="660" w:right="20" w:hanging="328"/>
        <w:spacing w:after="0" w:line="256"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Merchandise sales declined 19% to $25.5 million (down 15% to $26.8 million on a constant currency basis), but merchandise sales gross margin was 35%, up from 28%. Inventory turnover improved to 3.8x from 2.7x. Aged general merchandise inventory increased to 9.4% from 8.5%.</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revenues decreased 24% to $22.7 million (down 20% to $23.8 million on a constant currency basis) primarily due to lower PSC.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Store expenses were down 14% to $17.2 million driven by a reduction in labor expense.</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Segment contribution for the quarter was $5.0 million ($5.0 million on a constant currency basis), compared to a contribution of $8.1 million in the prior year quarter, primarily reflecting lower net revenues offset by improvement in store expenses.</w:t>
      </w:r>
    </w:p>
    <w:p>
      <w:pPr>
        <w:spacing w:after="0" w:line="143" w:lineRule="exact"/>
        <w:rPr>
          <w:rFonts w:ascii="Arial" w:cs="Arial" w:eastAsia="Arial" w:hAnsi="Arial"/>
          <w:sz w:val="18"/>
          <w:szCs w:val="18"/>
          <w:color w:val="auto"/>
        </w:rPr>
      </w:pPr>
    </w:p>
    <w:p>
      <w:pPr>
        <w:ind w:left="660" w:right="260" w:hanging="328"/>
        <w:spacing w:after="0" w:line="261"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Latin America Pawn added two de novo stores in the quarter. New store openings typically pressure earnings in the short term as they ramp up, but drive higher profitability over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 xml:space="preserve">EZCORP’s Quarterly Report on Form 10-Q for the quarter ended December 31, 2020 has been filed with the Securities and Exchange Commission and is available in the Investor Relations section of the Company’s website at </w:t>
      </w:r>
      <w:r>
        <w:rPr>
          <w:rFonts w:ascii="Arial" w:cs="Arial" w:eastAsia="Arial" w:hAnsi="Arial"/>
          <w:sz w:val="18"/>
          <w:szCs w:val="18"/>
          <w:u w:val="single" w:color="auto"/>
          <w:color w:val="auto"/>
        </w:rPr>
        <w:t>http://investors.ezcorp.com</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31"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 xml:space="preserve">EZCORP will host a conference call on Thursday, February 4, 2021, at 7:00 am Central Time to discuss fiscal first quarter results. Analysts and institutional investors may participate on the conference call by dialing (877) 407-0789, Conference ID: 13715451, or internationally by dialing (201) 689-8562. The conference call will be webcast simultaneously to the public through this link: </w:t>
      </w:r>
      <w:r>
        <w:rPr>
          <w:rFonts w:ascii="Arial" w:cs="Arial" w:eastAsia="Arial" w:hAnsi="Arial"/>
          <w:sz w:val="17"/>
          <w:szCs w:val="17"/>
          <w:u w:val="single" w:color="auto"/>
          <w:color w:val="auto"/>
        </w:rPr>
        <w:t>http://investors.ezcorp.com/</w:t>
      </w:r>
      <w:r>
        <w:rPr>
          <w:rFonts w:ascii="Arial" w:cs="Arial" w:eastAsia="Arial" w:hAnsi="Arial"/>
          <w:sz w:val="17"/>
          <w:szCs w:val="17"/>
          <w:color w:val="auto"/>
        </w:rPr>
        <w:t xml:space="preserve">. A replay of the conference call will be available online at </w:t>
      </w:r>
      <w:r>
        <w:rPr>
          <w:rFonts w:ascii="Arial" w:cs="Arial" w:eastAsia="Arial" w:hAnsi="Arial"/>
          <w:sz w:val="17"/>
          <w:szCs w:val="17"/>
          <w:u w:val="single" w:color="auto"/>
          <w:color w:val="auto"/>
        </w:rPr>
        <w:t>http://investors.ezcorp.com/</w:t>
      </w:r>
      <w:r>
        <w:rPr>
          <w:rFonts w:ascii="Arial" w:cs="Arial" w:eastAsia="Arial" w:hAnsi="Arial"/>
          <w:sz w:val="17"/>
          <w:szCs w:val="17"/>
          <w:color w:val="auto"/>
        </w:rPr>
        <w:t xml:space="preserve"> shortly after the end of the call.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Formed in 1989, EZCORP has grown into a leading provider of pawn loans in the United States and Latin America. We also sell merchandise, primarily collateral forfeited from pawn lending operations and pre-owned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1000 Index and Nasdaq Composite Index.</w:t>
      </w:r>
    </w:p>
    <w:p>
      <w:pPr>
        <w:sectPr>
          <w:pgSz w:w="11900" w:h="16838" w:orient="portrait"/>
          <w:cols w:equalWidth="0" w:num="1">
            <w:col w:w="11200"/>
          </w:cols>
          <w:pgMar w:left="320" w:top="1111"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”Adjusted” basis, which is a non-GAAP measure, excludes certain items. “Constant currency” basis, which is a non-GAAP measure, excludes the impact of foreign currency exchange rate fluctuations. “Free cash flow,” which is a non-GAAP measure, includes certain adjustments to cash flow from operating activities.</w:t>
      </w:r>
    </w:p>
    <w:p>
      <w:pPr>
        <w:spacing w:after="0" w:line="224" w:lineRule="exact"/>
        <w:rPr>
          <w:sz w:val="20"/>
          <w:szCs w:val="20"/>
          <w:color w:val="auto"/>
        </w:rPr>
      </w:pPr>
    </w:p>
    <w:p>
      <w:pPr>
        <w:ind w:right="320"/>
        <w:spacing w:after="0" w:line="273" w:lineRule="auto"/>
        <w:rPr>
          <w:sz w:val="20"/>
          <w:szCs w:val="20"/>
          <w:color w:val="auto"/>
        </w:rPr>
      </w:pPr>
      <w:r>
        <w:rPr>
          <w:rFonts w:ascii="Arial" w:cs="Arial" w:eastAsia="Arial" w:hAnsi="Arial"/>
          <w:sz w:val="14"/>
          <w:szCs w:val="14"/>
          <w:i w:val="1"/>
          <w:iCs w:val="1"/>
          <w:color w:val="auto"/>
        </w:rPr>
        <w:t>For additional information about these calculations, as well as a reconciliation to the most comparable GAAP financial measures, see “Non-GAAP Financial Information” at the end of this release.</w:t>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4"/>
                <w:szCs w:val="14"/>
                <w:color w:val="auto"/>
              </w:rPr>
              <w:t>(in thousands, except per share amount)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244"/>
        </w:trPr>
        <w:tc>
          <w:tcPr>
            <w:tcW w:w="824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107,783</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126,728</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6,759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9,528</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63,489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84,725</w:t>
            </w:r>
          </w:p>
        </w:tc>
      </w:tr>
      <w:tr>
        <w:trPr>
          <w:trHeight w:val="219"/>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w:t>
            </w:r>
          </w:p>
        </w:tc>
      </w:tr>
      <w:tr>
        <w:trPr>
          <w:trHeight w:val="206"/>
        </w:trPr>
        <w:tc>
          <w:tcPr>
            <w:tcW w:w="82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178,135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222,435</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64,543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84,076</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5,202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7,754</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r>
      <w:tr>
        <w:trPr>
          <w:trHeight w:val="207"/>
        </w:trPr>
        <w:tc>
          <w:tcPr>
            <w:tcW w:w="824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108,390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130,069</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79,309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89,275</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12,510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18,839</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7,572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7,733</w:t>
            </w:r>
          </w:p>
        </w:tc>
      </w:tr>
      <w:tr>
        <w:trPr>
          <w:trHeight w:val="219"/>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(Gain) loss on sale or disposal of assets and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w:t>
            </w:r>
          </w:p>
        </w:tc>
      </w:tr>
      <w:tr>
        <w:trPr>
          <w:trHeight w:val="20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99,369</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116,591</w:t>
            </w:r>
          </w:p>
        </w:tc>
      </w:tr>
      <w:tr>
        <w:trPr>
          <w:trHeight w:val="209"/>
        </w:trPr>
        <w:tc>
          <w:tcPr>
            <w:tcW w:w="82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9,021</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13,478</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5,455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5,329</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(843)</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5,897</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5,502</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2,997</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w:t>
            </w:r>
          </w:p>
        </w:tc>
      </w:tr>
      <w:tr>
        <w:trPr>
          <w:trHeight w:val="22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4,299</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w:t>
            </w:r>
          </w:p>
        </w:tc>
      </w:tr>
      <w:tr>
        <w:trPr>
          <w:trHeight w:val="412"/>
        </w:trPr>
        <w:tc>
          <w:tcPr>
            <w:tcW w:w="824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432"/>
        </w:trPr>
        <w:tc>
          <w:tcPr>
            <w:tcW w:w="824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55,361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55,666</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55,428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55,687</w:t>
            </w:r>
          </w:p>
        </w:tc>
      </w:tr>
    </w:tbl>
    <w:p>
      <w:pPr>
        <w:sectPr>
          <w:pgSz w:w="11900" w:h="16838" w:orient="portrait"/>
          <w:cols w:equalWidth="0" w:num="1">
            <w:col w:w="11240"/>
          </w:cols>
          <w:pgMar w:left="320" w:top="117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September 30,</w:t>
            </w:r>
          </w:p>
        </w:tc>
      </w:tr>
      <w:tr>
        <w:trPr>
          <w:trHeight w:val="211"/>
        </w:trPr>
        <w:tc>
          <w:tcPr>
            <w:tcW w:w="6700" w:type="dxa"/>
            <w:vAlign w:val="bottom"/>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45"/>
        </w:trPr>
        <w:tc>
          <w:tcPr>
            <w:tcW w:w="6700" w:type="dxa"/>
            <w:vAlign w:val="bottom"/>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290,450</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143,141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304,542</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8,011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8,011</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147,852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195,586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131,323</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24,825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20,580</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94,980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187,369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95,891</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Notes receivable, net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32,824</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36,142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32,903</w:t>
            </w:r>
          </w:p>
        </w:tc>
      </w:tr>
      <w:tr>
        <w:trPr>
          <w:trHeight w:val="207"/>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598,942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601,938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593,250</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31,773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29,272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32,458</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55,204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65,246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56,986</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Lease right-of-use asset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177,308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225,950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183,809</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258,453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301,282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257,582</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58,794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68,995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58,638</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Notes receivable,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asset,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8,931</w:t>
            </w:r>
          </w:p>
        </w:tc>
      </w:tr>
      <w:tr>
        <w:trPr>
          <w:trHeight w:val="219"/>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5,534</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4,221</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1,197,164</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1,300,942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r>
      <w:tr>
        <w:trPr>
          <w:trHeight w:val="305"/>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67,777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51,621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71,504</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11,008</w:t>
            </w:r>
          </w:p>
        </w:tc>
      </w:tr>
      <w:tr>
        <w:trPr>
          <w:trHeight w:val="219"/>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Lease liability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45,351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48,052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49,742</w:t>
            </w:r>
          </w:p>
        </w:tc>
      </w:tr>
      <w:tr>
        <w:trPr>
          <w:trHeight w:val="207"/>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123,245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112,436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132,467</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Long-term debt,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254,322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241,209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251,016</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Lease liability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143,620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186,352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153,040</w:t>
            </w:r>
          </w:p>
        </w:tc>
      </w:tr>
      <w:tr>
        <w:trPr>
          <w:trHeight w:val="219"/>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11,303</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10,849</w:t>
            </w:r>
          </w:p>
        </w:tc>
      </w:tr>
      <w:tr>
        <w:trPr>
          <w:trHeight w:val="206"/>
        </w:trPr>
        <w:tc>
          <w:tcPr>
            <w:tcW w:w="67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532,662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549,342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547,896</w:t>
            </w:r>
          </w:p>
        </w:tc>
      </w:tr>
      <w:tr>
        <w:trPr>
          <w:trHeight w:val="216"/>
        </w:trPr>
        <w:tc>
          <w:tcPr>
            <w:tcW w:w="67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3"/>
        </w:trPr>
        <w:tc>
          <w:tcPr>
            <w:tcW w:w="6700" w:type="dxa"/>
            <w:vAlign w:val="bottom"/>
          </w:tcPr>
          <w:p>
            <w:pPr>
              <w:ind w:left="20"/>
              <w:spacing w:after="0"/>
              <w:rPr>
                <w:sz w:val="20"/>
                <w:szCs w:val="20"/>
                <w:color w:val="auto"/>
              </w:rPr>
            </w:pPr>
            <w:r>
              <w:rPr>
                <w:rFonts w:ascii="Arial" w:cs="Arial" w:eastAsia="Arial" w:hAnsi="Arial"/>
                <w:sz w:val="16"/>
                <w:szCs w:val="16"/>
                <w:color w:val="auto"/>
              </w:rPr>
              <w:t>Class A Non-voting Common Stock, par value $0.01 per share; shares authorized: 100</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2"/>
        </w:trPr>
        <w:tc>
          <w:tcPr>
            <w:tcW w:w="6700" w:type="dxa"/>
            <w:vAlign w:val="bottom"/>
          </w:tcPr>
          <w:p>
            <w:pPr>
              <w:ind w:left="20"/>
              <w:spacing w:after="0" w:line="162" w:lineRule="exact"/>
              <w:rPr>
                <w:sz w:val="20"/>
                <w:szCs w:val="20"/>
                <w:color w:val="auto"/>
              </w:rPr>
            </w:pPr>
            <w:r>
              <w:rPr>
                <w:rFonts w:ascii="Arial" w:cs="Arial" w:eastAsia="Arial" w:hAnsi="Arial"/>
                <w:sz w:val="16"/>
                <w:szCs w:val="16"/>
                <w:color w:val="auto"/>
              </w:rPr>
              <w:t>million; issued and outstanding: 52,628,588 as of December 31, 2020; 52,886,122 as of</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5"/>
        </w:trPr>
        <w:tc>
          <w:tcPr>
            <w:tcW w:w="6700" w:type="dxa"/>
            <w:vAlign w:val="bottom"/>
          </w:tcPr>
          <w:p>
            <w:pPr>
              <w:ind w:left="20"/>
              <w:spacing w:after="0"/>
              <w:rPr>
                <w:sz w:val="20"/>
                <w:szCs w:val="20"/>
                <w:color w:val="auto"/>
              </w:rPr>
            </w:pPr>
            <w:r>
              <w:rPr>
                <w:rFonts w:ascii="Arial" w:cs="Arial" w:eastAsia="Arial" w:hAnsi="Arial"/>
                <w:sz w:val="16"/>
                <w:szCs w:val="16"/>
                <w:color w:val="auto"/>
              </w:rPr>
              <w:t>December 31, 2019; and 52,332,848 as of September 30, 2020</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183"/>
        </w:trPr>
        <w:tc>
          <w:tcPr>
            <w:tcW w:w="6700" w:type="dxa"/>
            <w:vAlign w:val="bottom"/>
          </w:tcPr>
          <w:p>
            <w:pPr>
              <w:ind w:left="20"/>
              <w:spacing w:after="0"/>
              <w:rPr>
                <w:sz w:val="20"/>
                <w:szCs w:val="20"/>
                <w:color w:val="auto"/>
              </w:rPr>
            </w:pPr>
            <w:r>
              <w:rPr>
                <w:rFonts w:ascii="Arial" w:cs="Arial" w:eastAsia="Arial" w:hAnsi="Arial"/>
                <w:sz w:val="16"/>
                <w:szCs w:val="16"/>
                <w:color w:val="auto"/>
              </w:rPr>
              <w:t>Class B Voting Common Stock, convertible, par value $0.01 per share; shares authorized: 3</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5"/>
        </w:trPr>
        <w:tc>
          <w:tcPr>
            <w:tcW w:w="6700" w:type="dxa"/>
            <w:vAlign w:val="bottom"/>
          </w:tcPr>
          <w:p>
            <w:pPr>
              <w:ind w:left="20"/>
              <w:spacing w:after="0"/>
              <w:rPr>
                <w:sz w:val="20"/>
                <w:szCs w:val="20"/>
                <w:color w:val="auto"/>
              </w:rPr>
            </w:pPr>
            <w:r>
              <w:rPr>
                <w:rFonts w:ascii="Arial" w:cs="Arial" w:eastAsia="Arial" w:hAnsi="Arial"/>
                <w:sz w:val="16"/>
                <w:szCs w:val="16"/>
                <w:color w:val="auto"/>
              </w:rPr>
              <w:t>million; issued and outstanding: 2,970,171</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398,269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407,440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398,475</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322,468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389,928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318,169</w:t>
            </w:r>
          </w:p>
        </w:tc>
      </w:tr>
      <w:tr>
        <w:trPr>
          <w:trHeight w:val="219"/>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(56,791)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(46,327)</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(68,068)</w:t>
            </w:r>
          </w:p>
        </w:tc>
      </w:tr>
      <w:tr>
        <w:trPr>
          <w:trHeight w:val="210"/>
        </w:trPr>
        <w:tc>
          <w:tcPr>
            <w:tcW w:w="67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664,502</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751,600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649,127</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1,197,164</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1,300,942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r>
    </w:tbl>
    <w:p>
      <w:pPr>
        <w:sectPr>
          <w:pgSz w:w="11900" w:h="16838" w:orient="portrait"/>
          <w:cols w:equalWidth="0" w:num="1">
            <w:col w:w="11240"/>
          </w:cols>
          <w:pgMar w:left="320" w:top="125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245"/>
        </w:trPr>
        <w:tc>
          <w:tcPr>
            <w:tcW w:w="82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4,299</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7,572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7,733</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3,329</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3,229</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lease right-of-use asset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11,504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11,474</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Impairment of goodwill and intangible assets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1,298</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Provision for inventory reserve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524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1,695</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(516)</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5,897</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(4,034)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1,323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(1,921)</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(9,649)</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(23,460)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(29,966)</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21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w:t>
            </w:r>
          </w:p>
        </w:tc>
      </w:tr>
      <w:tr>
        <w:trPr>
          <w:trHeight w:val="207"/>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(4,513)</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(10,918)</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(142,936)</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(187,362)</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77,116</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109,623</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53,981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76,515</w:t>
            </w:r>
          </w:p>
        </w:tc>
      </w:tr>
      <w:tr>
        <w:trPr>
          <w:trHeight w:val="219"/>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(3,223)</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(5,574)</w:t>
            </w:r>
          </w:p>
        </w:tc>
      </w:tr>
      <w:tr>
        <w:trPr>
          <w:trHeight w:val="207"/>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(15,062)</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(6,798)</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(1,395)</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Payout of deferred consideration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Proceeds from borrowings, net of issuance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Payments on borrowings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19"/>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Repurchase of common stock</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r>
      <w:tr>
        <w:trPr>
          <w:trHeight w:val="207"/>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(783)</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(2,934)</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6,266</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(14,092)</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(19,301)</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312,553</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162,442</w:t>
            </w:r>
          </w:p>
        </w:tc>
      </w:tr>
      <w:tr>
        <w:trPr>
          <w:trHeight w:val="22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298,461</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143,141</w:t>
            </w:r>
          </w:p>
        </w:tc>
      </w:tr>
      <w:tr>
        <w:trPr>
          <w:trHeight w:val="250"/>
        </w:trPr>
        <w:tc>
          <w:tcPr>
            <w:tcW w:w="824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290,450</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143,141</w:t>
            </w:r>
          </w:p>
        </w:tc>
      </w:tr>
      <w:tr>
        <w:trPr>
          <w:trHeight w:val="219"/>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8,011</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cash and cash equivalents and restricted cash</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298,461</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143,141</w:t>
            </w:r>
          </w:p>
        </w:tc>
      </w:tr>
      <w:tr>
        <w:trPr>
          <w:trHeight w:val="250"/>
        </w:trPr>
        <w:tc>
          <w:tcPr>
            <w:tcW w:w="82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Pawn loans forfeited and transferred to inventory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50,921</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82,878</w:t>
            </w:r>
          </w:p>
        </w:tc>
      </w:tr>
    </w:tbl>
    <w:p>
      <w:pPr>
        <w:sectPr>
          <w:pgSz w:w="11900" w:h="16838" w:orient="portrait"/>
          <w:cols w:equalWidth="0" w:num="1">
            <w:col w:w="11240"/>
          </w:cols>
          <w:pgMar w:left="320" w:top="125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and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9"/>
          </w:tcPr>
          <w:p>
            <w:pPr>
              <w:ind w:left="1120"/>
              <w:spacing w:after="0"/>
              <w:rPr>
                <w:sz w:val="20"/>
                <w:szCs w:val="20"/>
                <w:color w:val="auto"/>
              </w:rPr>
            </w:pPr>
            <w:r>
              <w:rPr>
                <w:rFonts w:ascii="Arial" w:cs="Arial" w:eastAsia="Arial" w:hAnsi="Arial"/>
                <w:sz w:val="16"/>
                <w:szCs w:val="16"/>
                <w:b w:val="1"/>
                <w:bCs w:val="1"/>
                <w:color w:val="auto"/>
              </w:rPr>
              <w:t>Three Months Ended December 31, 2020</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International</w:t>
            </w: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4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82,253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25,530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107,783</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107,783</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2,755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6,759</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13,269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63,489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63,489</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7"/>
        </w:trPr>
        <w:tc>
          <w:tcPr>
            <w:tcW w:w="28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136,499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41,561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178,135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178,135</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48,059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16,484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64,543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64,543</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2,358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5,202</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84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85,596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22,719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108,390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108,390</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62,092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17,217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79,309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79,309</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12,510</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7,572</w:t>
            </w:r>
          </w:p>
        </w:tc>
        <w:tc>
          <w:tcPr>
            <w:tcW w:w="0" w:type="dxa"/>
            <w:vAlign w:val="bottom"/>
          </w:tcPr>
          <w:p>
            <w:pPr>
              <w:spacing w:after="0"/>
              <w:rPr>
                <w:sz w:val="1"/>
                <w:szCs w:val="1"/>
                <w:color w:val="auto"/>
              </w:rPr>
            </w:pPr>
          </w:p>
        </w:tc>
      </w:tr>
      <w:tr>
        <w:trPr>
          <w:trHeight w:val="183"/>
        </w:trPr>
        <w:tc>
          <w:tcPr>
            <w:tcW w:w="2840" w:type="dxa"/>
            <w:vAlign w:val="bottom"/>
          </w:tcPr>
          <w:p>
            <w:pPr>
              <w:ind w:left="220"/>
              <w:spacing w:after="0"/>
              <w:rPr>
                <w:sz w:val="20"/>
                <w:szCs w:val="20"/>
                <w:color w:val="auto"/>
              </w:rPr>
            </w:pPr>
            <w:r>
              <w:rPr>
                <w:rFonts w:ascii="Arial" w:cs="Arial" w:eastAsia="Arial" w:hAnsi="Arial"/>
                <w:sz w:val="16"/>
                <w:szCs w:val="16"/>
                <w:color w:val="auto"/>
              </w:rPr>
              <w:t>Loss (gain) on sale or disposal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5,455</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183"/>
        </w:trPr>
        <w:tc>
          <w:tcPr>
            <w:tcW w:w="2840" w:type="dxa"/>
            <w:vAlign w:val="bottom"/>
          </w:tcPr>
          <w:p>
            <w:pPr>
              <w:ind w:left="220"/>
              <w:spacing w:after="0"/>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26,504</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5,502</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9"/>
          </w:tcPr>
          <w:p>
            <w:pPr>
              <w:jc w:val="right"/>
              <w:ind w:right="219"/>
              <w:spacing w:after="0"/>
              <w:rPr>
                <w:sz w:val="20"/>
                <w:szCs w:val="20"/>
                <w:color w:val="auto"/>
              </w:rPr>
            </w:pPr>
            <w:r>
              <w:rPr>
                <w:rFonts w:ascii="Arial" w:cs="Arial" w:eastAsia="Arial" w:hAnsi="Arial"/>
                <w:sz w:val="16"/>
                <w:szCs w:val="16"/>
                <w:b w:val="1"/>
                <w:bCs w:val="1"/>
                <w:color w:val="auto"/>
              </w:rPr>
              <w:t>Three Months Ended December 31, 2019</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w w:val="98"/>
              </w:rPr>
              <w:t>Latin America</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b w:val="1"/>
                <w:bCs w:val="1"/>
                <w:color w:val="auto"/>
              </w:rPr>
              <w:t>Pawn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86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95,354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31,374</w:t>
            </w: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126,728</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126,728</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9,528</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64,090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84,725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84,725</w:t>
            </w:r>
          </w:p>
        </w:tc>
        <w:tc>
          <w:tcPr>
            <w:tcW w:w="0" w:type="dxa"/>
            <w:vAlign w:val="bottom"/>
          </w:tcPr>
          <w:p>
            <w:pPr>
              <w:spacing w:after="0"/>
              <w:rPr>
                <w:sz w:val="1"/>
                <w:szCs w:val="1"/>
                <w:color w:val="auto"/>
              </w:rPr>
            </w:pPr>
          </w:p>
        </w:tc>
      </w:tr>
      <w:tr>
        <w:trPr>
          <w:trHeight w:val="219"/>
        </w:trPr>
        <w:tc>
          <w:tcPr>
            <w:tcW w:w="28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w:t>
            </w:r>
          </w:p>
        </w:tc>
        <w:tc>
          <w:tcPr>
            <w:tcW w:w="0" w:type="dxa"/>
            <w:vAlign w:val="bottom"/>
          </w:tcPr>
          <w:p>
            <w:pPr>
              <w:spacing w:after="0"/>
              <w:rPr>
                <w:sz w:val="1"/>
                <w:szCs w:val="1"/>
                <w:color w:val="auto"/>
              </w:rPr>
            </w:pPr>
          </w:p>
        </w:tc>
      </w:tr>
      <w:tr>
        <w:trPr>
          <w:trHeight w:val="207"/>
        </w:trPr>
        <w:tc>
          <w:tcPr>
            <w:tcW w:w="286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165,597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55,445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222,435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222,435</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61,364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22,712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84,076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84,076</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7,754</w:t>
            </w:r>
          </w:p>
        </w:tc>
        <w:tc>
          <w:tcPr>
            <w:tcW w:w="0" w:type="dxa"/>
            <w:vAlign w:val="bottom"/>
          </w:tcPr>
          <w:p>
            <w:pPr>
              <w:spacing w:after="0"/>
              <w:rPr>
                <w:sz w:val="1"/>
                <w:szCs w:val="1"/>
                <w:color w:val="auto"/>
              </w:rPr>
            </w:pPr>
          </w:p>
        </w:tc>
      </w:tr>
      <w:tr>
        <w:trPr>
          <w:trHeight w:val="219"/>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07"/>
        </w:trPr>
        <w:tc>
          <w:tcPr>
            <w:tcW w:w="286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99,478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29,734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130,069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130,069</w:t>
            </w:r>
          </w:p>
        </w:tc>
        <w:tc>
          <w:tcPr>
            <w:tcW w:w="0" w:type="dxa"/>
            <w:vAlign w:val="bottom"/>
          </w:tcPr>
          <w:p>
            <w:pPr>
              <w:spacing w:after="0"/>
              <w:rPr>
                <w:sz w:val="1"/>
                <w:szCs w:val="1"/>
                <w:color w:val="auto"/>
              </w:rPr>
            </w:pPr>
          </w:p>
        </w:tc>
      </w:tr>
      <w:tr>
        <w:trPr>
          <w:trHeight w:val="183"/>
        </w:trPr>
        <w:tc>
          <w:tcPr>
            <w:tcW w:w="286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68,059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19,983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89,275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89,275</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18,839</w:t>
            </w:r>
          </w:p>
        </w:tc>
        <w:tc>
          <w:tcPr>
            <w:tcW w:w="0" w:type="dxa"/>
            <w:vAlign w:val="bottom"/>
          </w:tcPr>
          <w:p>
            <w:pPr>
              <w:spacing w:after="0"/>
              <w:rPr>
                <w:sz w:val="1"/>
                <w:szCs w:val="1"/>
                <w:color w:val="auto"/>
              </w:rPr>
            </w:pPr>
          </w:p>
        </w:tc>
      </w:tr>
      <w:tr>
        <w:trPr>
          <w:trHeight w:val="183"/>
        </w:trPr>
        <w:tc>
          <w:tcPr>
            <w:tcW w:w="2860" w:type="dxa"/>
            <w:vAlign w:val="bottom"/>
          </w:tcPr>
          <w:p>
            <w:pPr>
              <w:ind w:left="220"/>
              <w:spacing w:after="0"/>
              <w:rPr>
                <w:sz w:val="20"/>
                <w:szCs w:val="20"/>
                <w:color w:val="auto"/>
              </w:rPr>
            </w:pPr>
            <w:r>
              <w:rPr>
                <w:rFonts w:ascii="Arial" w:cs="Arial" w:eastAsia="Arial" w:hAnsi="Arial"/>
                <w:sz w:val="16"/>
                <w:szCs w:val="16"/>
                <w:color w:val="auto"/>
              </w:rPr>
              <w:t>Impairment of goodwill, intangible</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20"/>
              <w:spacing w:after="0"/>
              <w:rPr>
                <w:sz w:val="20"/>
                <w:szCs w:val="20"/>
                <w:color w:val="auto"/>
              </w:rPr>
            </w:pPr>
            <w:r>
              <w:rPr>
                <w:rFonts w:ascii="Arial" w:cs="Arial" w:eastAsia="Arial" w:hAnsi="Arial"/>
                <w:sz w:val="16"/>
                <w:szCs w:val="16"/>
                <w:color w:val="auto"/>
              </w:rPr>
              <w:t>and other assets</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7,733</w:t>
            </w:r>
          </w:p>
        </w:tc>
        <w:tc>
          <w:tcPr>
            <w:tcW w:w="0" w:type="dxa"/>
            <w:vAlign w:val="bottom"/>
          </w:tcPr>
          <w:p>
            <w:pPr>
              <w:spacing w:after="0"/>
              <w:rPr>
                <w:sz w:val="1"/>
                <w:szCs w:val="1"/>
                <w:color w:val="auto"/>
              </w:rPr>
            </w:pPr>
          </w:p>
        </w:tc>
      </w:tr>
      <w:tr>
        <w:trPr>
          <w:trHeight w:val="183"/>
        </w:trPr>
        <w:tc>
          <w:tcPr>
            <w:tcW w:w="2860" w:type="dxa"/>
            <w:vAlign w:val="bottom"/>
          </w:tcPr>
          <w:p>
            <w:pPr>
              <w:ind w:left="220"/>
              <w:spacing w:after="0"/>
              <w:rPr>
                <w:sz w:val="20"/>
                <w:szCs w:val="20"/>
                <w:color w:val="auto"/>
              </w:rPr>
            </w:pPr>
            <w:r>
              <w:rPr>
                <w:rFonts w:ascii="Arial" w:cs="Arial" w:eastAsia="Arial" w:hAnsi="Arial"/>
                <w:sz w:val="16"/>
                <w:szCs w:val="16"/>
                <w:color w:val="auto"/>
              </w:rPr>
              <w:t>Loss on sale or disposal of assets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5,329</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183"/>
        </w:trPr>
        <w:tc>
          <w:tcPr>
            <w:tcW w:w="2860" w:type="dxa"/>
            <w:vAlign w:val="bottom"/>
          </w:tcPr>
          <w:p>
            <w:pPr>
              <w:ind w:left="220"/>
              <w:spacing w:after="0"/>
              <w:rPr>
                <w:sz w:val="20"/>
                <w:szCs w:val="20"/>
                <w:color w:val="auto"/>
              </w:rPr>
            </w:pPr>
            <w:r>
              <w:rPr>
                <w:rFonts w:ascii="Arial" w:cs="Arial" w:eastAsia="Arial" w:hAnsi="Arial"/>
                <w:sz w:val="16"/>
                <w:szCs w:val="16"/>
                <w:color w:val="auto"/>
              </w:rPr>
              <w:t>Equity in net loss of unconsolidated</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5,897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5,897</w:t>
            </w:r>
          </w:p>
        </w:tc>
        <w:tc>
          <w:tcPr>
            <w:tcW w:w="0" w:type="dxa"/>
            <w:vAlign w:val="bottom"/>
          </w:tcPr>
          <w:p>
            <w:pPr>
              <w:spacing w:after="0"/>
              <w:rPr>
                <w:sz w:val="1"/>
                <w:szCs w:val="1"/>
                <w:color w:val="auto"/>
              </w:rPr>
            </w:pPr>
          </w:p>
        </w:tc>
      </w:tr>
      <w:tr>
        <w:trPr>
          <w:trHeight w:val="219"/>
        </w:trPr>
        <w:tc>
          <w:tcPr>
            <w:tcW w:w="28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expense (income)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0"/>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28,554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8,127</w:t>
            </w: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(6,476)</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30,205</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30,205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(27,208)</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040" w:type="dxa"/>
            <w:vAlign w:val="bottom"/>
          </w:tcPr>
          <w:p>
            <w:pPr>
              <w:spacing w:after="0"/>
              <w:rPr>
                <w:sz w:val="18"/>
                <w:szCs w:val="18"/>
                <w:color w:val="auto"/>
              </w:rPr>
            </w:pPr>
          </w:p>
        </w:tc>
        <w:tc>
          <w:tcPr>
            <w:tcW w:w="41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December 31, 2020</w:t>
            </w:r>
          </w:p>
        </w:tc>
        <w:tc>
          <w:tcPr>
            <w:tcW w:w="0" w:type="dxa"/>
            <w:vAlign w:val="bottom"/>
          </w:tcPr>
          <w:p>
            <w:pPr>
              <w:spacing w:after="0"/>
              <w:rPr>
                <w:sz w:val="1"/>
                <w:szCs w:val="1"/>
                <w:color w:val="auto"/>
              </w:rPr>
            </w:pPr>
          </w:p>
        </w:tc>
      </w:tr>
      <w:tr>
        <w:trPr>
          <w:trHeight w:val="158"/>
        </w:trPr>
        <w:tc>
          <w:tcPr>
            <w:tcW w:w="7040" w:type="dxa"/>
            <w:vAlign w:val="bottom"/>
          </w:tcPr>
          <w:p>
            <w:pPr>
              <w:spacing w:after="0"/>
              <w:rPr>
                <w:sz w:val="13"/>
                <w:szCs w:val="13"/>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U.S. Pawn</w:t>
            </w: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70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Pawn</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040" w:type="dxa"/>
            <w:vAlign w:val="bottom"/>
          </w:tcPr>
          <w:p>
            <w:pPr>
              <w:spacing w:after="0"/>
              <w:rPr>
                <w:sz w:val="20"/>
                <w:szCs w:val="20"/>
                <w:color w:val="auto"/>
              </w:rPr>
            </w:pPr>
            <w:r>
              <w:rPr>
                <w:rFonts w:ascii="Arial" w:cs="Arial" w:eastAsia="Arial" w:hAnsi="Arial"/>
                <w:sz w:val="16"/>
                <w:szCs w:val="16"/>
                <w:color w:val="auto"/>
              </w:rPr>
              <w:t>As of September 30, 2020</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6"/>
                <w:szCs w:val="16"/>
                <w:color w:val="auto"/>
              </w:rPr>
              <w:t>New locations opened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As of December 31, 2020</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3"/>
        </w:trPr>
        <w:tc>
          <w:tcPr>
            <w:tcW w:w="70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rPr>
              <w:t>Three Months Ended December 31, 2019</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2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U.S. Pawn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Latin America</w:t>
            </w:r>
          </w:p>
        </w:tc>
        <w:tc>
          <w:tcPr>
            <w:tcW w:w="1540" w:type="dxa"/>
            <w:vAlign w:val="bottom"/>
            <w:gridSpan w:val="3"/>
          </w:tcPr>
          <w:p>
            <w:pPr>
              <w:ind w:left="460"/>
              <w:spacing w:after="0" w:line="158" w:lineRule="exact"/>
              <w:rPr>
                <w:sz w:val="20"/>
                <w:szCs w:val="20"/>
                <w:color w:val="auto"/>
              </w:rPr>
            </w:pPr>
            <w:r>
              <w:rPr>
                <w:rFonts w:ascii="Arial" w:cs="Arial" w:eastAsia="Arial" w:hAnsi="Arial"/>
                <w:sz w:val="16"/>
                <w:szCs w:val="16"/>
                <w:b w:val="1"/>
                <w:bCs w:val="1"/>
                <w:color w:val="auto"/>
              </w:rPr>
              <w:t>Other</w:t>
            </w:r>
          </w:p>
        </w:tc>
        <w:tc>
          <w:tcPr>
            <w:tcW w:w="12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56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International</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620" w:type="dxa"/>
            <w:vAlign w:val="bottom"/>
          </w:tcPr>
          <w:p>
            <w:pPr>
              <w:spacing w:after="0"/>
              <w:rPr>
                <w:sz w:val="20"/>
                <w:szCs w:val="20"/>
                <w:color w:val="auto"/>
              </w:rPr>
            </w:pPr>
            <w:r>
              <w:rPr>
                <w:rFonts w:ascii="Arial" w:cs="Arial" w:eastAsia="Arial" w:hAnsi="Arial"/>
                <w:sz w:val="16"/>
                <w:szCs w:val="16"/>
                <w:color w:val="auto"/>
              </w:rPr>
              <w:t>As of September 30, 2019</w:t>
            </w:r>
          </w:p>
        </w:tc>
        <w:tc>
          <w:tcPr>
            <w:tcW w:w="1240" w:type="dxa"/>
            <w:vAlign w:val="bottom"/>
          </w:tcPr>
          <w:p>
            <w:pPr>
              <w:jc w:val="right"/>
              <w:spacing w:after="0"/>
              <w:rPr>
                <w:sz w:val="20"/>
                <w:szCs w:val="20"/>
                <w:color w:val="auto"/>
              </w:rPr>
            </w:pPr>
            <w:r>
              <w:rPr>
                <w:rFonts w:ascii="Arial" w:cs="Arial" w:eastAsia="Arial" w:hAnsi="Arial"/>
                <w:sz w:val="16"/>
                <w:szCs w:val="16"/>
                <w:color w:val="auto"/>
              </w:rPr>
              <w:t>512</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6"/>
                <w:szCs w:val="16"/>
                <w:color w:val="auto"/>
              </w:rPr>
              <w:t>New locations opened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Arial" w:cs="Arial" w:eastAsia="Arial" w:hAnsi="Arial"/>
                <w:sz w:val="16"/>
                <w:szCs w:val="16"/>
                <w:color w:val="auto"/>
              </w:rPr>
              <w:t>As of December 31, 2019</w:t>
            </w:r>
          </w:p>
        </w:tc>
        <w:tc>
          <w:tcPr>
            <w:tcW w:w="1240" w:type="dxa"/>
            <w:vAlign w:val="bottom"/>
          </w:tcPr>
          <w:p>
            <w:pPr>
              <w:jc w:val="right"/>
              <w:spacing w:after="0"/>
              <w:rPr>
                <w:sz w:val="20"/>
                <w:szCs w:val="20"/>
                <w:color w:val="auto"/>
              </w:rPr>
            </w:pPr>
            <w:r>
              <w:rPr>
                <w:rFonts w:ascii="Arial" w:cs="Arial" w:eastAsia="Arial" w:hAnsi="Arial"/>
                <w:sz w:val="16"/>
                <w:szCs w:val="16"/>
                <w:color w:val="auto"/>
              </w:rPr>
              <w:t>512</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months ended December 31, 2020 and 2019 and September 30, 2020 and 2019 were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2360" w:type="dxa"/>
            <w:vAlign w:val="bottom"/>
            <w:gridSpan w:val="4"/>
            <w:vMerge w:val="restart"/>
          </w:tcPr>
          <w:p>
            <w:pPr>
              <w:ind w:left="600"/>
              <w:spacing w:after="0"/>
              <w:rPr>
                <w:sz w:val="20"/>
                <w:szCs w:val="20"/>
                <w:color w:val="auto"/>
              </w:rPr>
            </w:pPr>
            <w:r>
              <w:rPr>
                <w:rFonts w:ascii="Arial" w:cs="Arial" w:eastAsia="Arial" w:hAnsi="Arial"/>
                <w:sz w:val="16"/>
                <w:szCs w:val="16"/>
                <w:b w:val="1"/>
                <w:bCs w:val="1"/>
                <w:color w:val="auto"/>
              </w:rPr>
              <w:t>December 31,</w:t>
            </w:r>
          </w:p>
        </w:tc>
        <w:tc>
          <w:tcPr>
            <w:tcW w:w="2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Three Months Ended</w:t>
            </w:r>
          </w:p>
        </w:tc>
        <w:tc>
          <w:tcPr>
            <w:tcW w:w="2380" w:type="dxa"/>
            <w:vAlign w:val="bottom"/>
            <w:gridSpan w:val="4"/>
            <w:vMerge w:val="restart"/>
          </w:tcPr>
          <w:p>
            <w:pPr>
              <w:ind w:left="580"/>
              <w:spacing w:after="0"/>
              <w:rPr>
                <w:sz w:val="20"/>
                <w:szCs w:val="20"/>
                <w:color w:val="auto"/>
              </w:rPr>
            </w:pPr>
            <w:r>
              <w:rPr>
                <w:rFonts w:ascii="Arial" w:cs="Arial" w:eastAsia="Arial" w:hAnsi="Arial"/>
                <w:sz w:val="16"/>
                <w:szCs w:val="16"/>
                <w:b w:val="1"/>
                <w:bCs w:val="1"/>
                <w:color w:val="auto"/>
              </w:rPr>
              <w:t>September 30,</w:t>
            </w:r>
          </w:p>
        </w:tc>
        <w:tc>
          <w:tcPr>
            <w:tcW w:w="230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182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2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December 31,</w:t>
            </w:r>
          </w:p>
        </w:tc>
        <w:tc>
          <w:tcPr>
            <w:tcW w:w="2380" w:type="dxa"/>
            <w:vAlign w:val="bottom"/>
            <w:gridSpan w:val="4"/>
            <w:vMerge w:val="continue"/>
          </w:tcPr>
          <w:p>
            <w:pPr>
              <w:spacing w:after="0"/>
              <w:rPr>
                <w:sz w:val="18"/>
                <w:szCs w:val="18"/>
                <w:color w:val="auto"/>
              </w:rPr>
            </w:pPr>
          </w:p>
        </w:tc>
        <w:tc>
          <w:tcPr>
            <w:tcW w:w="230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45"/>
        </w:trPr>
        <w:tc>
          <w:tcPr>
            <w:tcW w:w="1820" w:type="dxa"/>
            <w:vAlign w:val="bottom"/>
          </w:tcPr>
          <w:p>
            <w:pPr>
              <w:spacing w:after="0"/>
              <w:rPr>
                <w:sz w:val="20"/>
                <w:szCs w:val="20"/>
                <w:color w:val="auto"/>
              </w:rPr>
            </w:pPr>
            <w:r>
              <w:rPr>
                <w:rFonts w:ascii="Arial" w:cs="Arial" w:eastAsia="Arial" w:hAnsi="Arial"/>
                <w:sz w:val="16"/>
                <w:szCs w:val="16"/>
                <w:color w:val="auto"/>
              </w:rPr>
              <w:t>Mexican peso</w:t>
            </w:r>
          </w:p>
        </w:tc>
        <w:tc>
          <w:tcPr>
            <w:tcW w:w="106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1"/>
                <w:szCs w:val="21"/>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20.5</w:t>
            </w:r>
          </w:p>
        </w:tc>
        <w:tc>
          <w:tcPr>
            <w:tcW w:w="98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6"/>
                <w:szCs w:val="16"/>
                <w:color w:val="auto"/>
              </w:rPr>
              <w:t>Guatemalan quetzal</w:t>
            </w:r>
          </w:p>
        </w:tc>
        <w:tc>
          <w:tcPr>
            <w:tcW w:w="10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7.6</w:t>
            </w:r>
          </w:p>
        </w:tc>
        <w:tc>
          <w:tcPr>
            <w:tcW w:w="9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6"/>
                <w:szCs w:val="16"/>
                <w:color w:val="auto"/>
              </w:rPr>
              <w:t>Honduran lempira</w:t>
            </w:r>
          </w:p>
        </w:tc>
        <w:tc>
          <w:tcPr>
            <w:tcW w:w="10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24.1</w:t>
            </w:r>
          </w:p>
        </w:tc>
        <w:tc>
          <w:tcPr>
            <w:tcW w:w="98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6"/>
                <w:szCs w:val="16"/>
                <w:color w:val="auto"/>
              </w:rPr>
              <w:t>Peruvian sol</w:t>
            </w: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3.6</w:t>
            </w: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w:t>
      </w:r>
    </w:p>
    <w:p>
      <w:pPr>
        <w:sectPr>
          <w:pgSz w:w="11900" w:h="16838" w:orient="portrait"/>
          <w:cols w:equalWidth="0" w:num="1">
            <w:col w:w="11240"/>
          </w:cols>
          <w:pgMar w:left="320" w:top="93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8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 Q1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7"/>
              </w:rPr>
              <w:t>2020 Q1</w:t>
            </w:r>
          </w:p>
        </w:tc>
      </w:tr>
      <w:tr>
        <w:trPr>
          <w:trHeight w:val="247"/>
        </w:trPr>
        <w:tc>
          <w:tcPr>
            <w:tcW w:w="8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millions)</w:t>
            </w:r>
          </w:p>
        </w:tc>
        <w:tc>
          <w:tcPr>
            <w:tcW w:w="980" w:type="dxa"/>
            <w:vAlign w:val="bottom"/>
          </w:tcPr>
          <w:p>
            <w:pPr>
              <w:spacing w:after="0"/>
              <w:rPr>
                <w:sz w:val="21"/>
                <w:szCs w:val="2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844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844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6"/>
        </w:trPr>
        <w:tc>
          <w:tcPr>
            <w:tcW w:w="844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84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07"/>
        </w:trPr>
        <w:tc>
          <w:tcPr>
            <w:tcW w:w="8440" w:type="dxa"/>
            <w:vAlign w:val="bottom"/>
          </w:tcPr>
          <w:p>
            <w:pPr>
              <w:ind w:left="200"/>
              <w:spacing w:after="0"/>
              <w:rPr>
                <w:sz w:val="20"/>
                <w:szCs w:val="20"/>
                <w:color w:val="auto"/>
              </w:rPr>
            </w:pPr>
            <w:r>
              <w:rPr>
                <w:rFonts w:ascii="Arial" w:cs="Arial" w:eastAsia="Arial" w:hAnsi="Arial"/>
                <w:sz w:val="16"/>
                <w:szCs w:val="16"/>
                <w:color w:val="auto"/>
              </w:rPr>
              <w:t>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15.2</w:t>
            </w:r>
          </w:p>
        </w:tc>
      </w:tr>
    </w:tbl>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Net</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spacing w:after="0"/>
              <w:rPr>
                <w:sz w:val="16"/>
                <w:szCs w:val="16"/>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5"/>
        </w:trPr>
        <w:tc>
          <w:tcPr>
            <w:tcW w:w="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40" w:type="dxa"/>
            <w:vAlign w:val="bottom"/>
          </w:tcPr>
          <w:p>
            <w:pPr>
              <w:spacing w:after="0"/>
              <w:rPr>
                <w:sz w:val="20"/>
                <w:szCs w:val="20"/>
                <w:color w:val="auto"/>
              </w:rPr>
            </w:pPr>
            <w:r>
              <w:rPr>
                <w:rFonts w:ascii="Arial" w:cs="Arial" w:eastAsia="Arial" w:hAnsi="Arial"/>
                <w:sz w:val="16"/>
                <w:szCs w:val="16"/>
                <w:color w:val="auto"/>
              </w:rPr>
              <w:t>2021 Q1</w:t>
            </w:r>
          </w:p>
        </w:tc>
        <w:tc>
          <w:tcPr>
            <w:tcW w:w="2220" w:type="dxa"/>
            <w:vAlign w:val="bottom"/>
          </w:tcPr>
          <w:p>
            <w:pPr>
              <w:ind w:left="40"/>
              <w:spacing w:after="0"/>
              <w:rPr>
                <w:sz w:val="20"/>
                <w:szCs w:val="20"/>
                <w:color w:val="auto"/>
              </w:rPr>
            </w:pPr>
            <w:r>
              <w:rPr>
                <w:rFonts w:ascii="Arial" w:cs="Arial" w:eastAsia="Arial" w:hAnsi="Arial"/>
                <w:sz w:val="16"/>
                <w:szCs w:val="16"/>
                <w:color w:val="auto"/>
              </w:rPr>
              <w:t>Reported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38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324"/>
        </w:trPr>
        <w:tc>
          <w:tcPr>
            <w:tcW w:w="2860" w:type="dxa"/>
            <w:vAlign w:val="bottom"/>
            <w:gridSpan w:val="2"/>
          </w:tcPr>
          <w:p>
            <w:pPr>
              <w:spacing w:after="0"/>
              <w:rPr>
                <w:sz w:val="20"/>
                <w:szCs w:val="20"/>
                <w:color w:val="auto"/>
              </w:rPr>
            </w:pPr>
            <w:r>
              <w:rPr>
                <w:rFonts w:ascii="Arial" w:cs="Arial" w:eastAsia="Arial" w:hAnsi="Arial"/>
                <w:sz w:val="16"/>
                <w:szCs w:val="16"/>
                <w:color w:val="auto"/>
              </w:rPr>
              <w:t>Contract termination costs</w:t>
            </w:r>
          </w:p>
        </w:tc>
        <w:tc>
          <w:tcPr>
            <w:tcW w:w="1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6"/>
                <w:szCs w:val="16"/>
                <w:color w:val="auto"/>
              </w:rPr>
              <w:t>Non cash interest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tcPr>
          <w:p>
            <w:pPr>
              <w:spacing w:after="0"/>
              <w:rPr>
                <w:sz w:val="20"/>
                <w:szCs w:val="20"/>
                <w:color w:val="auto"/>
              </w:rPr>
            </w:pPr>
            <w:r>
              <w:rPr>
                <w:rFonts w:ascii="Arial" w:cs="Arial" w:eastAsia="Arial" w:hAnsi="Arial"/>
                <w:sz w:val="16"/>
                <w:szCs w:val="16"/>
                <w:color w:val="auto"/>
              </w:rPr>
              <w:t>Other adjustments</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6"/>
                <w:szCs w:val="16"/>
                <w:color w:val="auto"/>
              </w:rPr>
              <w:t>Constant currency impact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20"/>
                <w:szCs w:val="20"/>
                <w:color w:val="auto"/>
              </w:rPr>
            </w:pPr>
            <w:r>
              <w:rPr>
                <w:rFonts w:ascii="Arial" w:cs="Arial" w:eastAsia="Arial" w:hAnsi="Arial"/>
                <w:sz w:val="16"/>
                <w:szCs w:val="16"/>
                <w:color w:val="auto"/>
              </w:rPr>
              <w:t>2021 Q1</w:t>
            </w:r>
          </w:p>
        </w:tc>
        <w:tc>
          <w:tcPr>
            <w:tcW w:w="2220" w:type="dxa"/>
            <w:vAlign w:val="bottom"/>
          </w:tcPr>
          <w:p>
            <w:pPr>
              <w:ind w:left="40"/>
              <w:spacing w:after="0"/>
              <w:rPr>
                <w:sz w:val="20"/>
                <w:szCs w:val="20"/>
                <w:color w:val="auto"/>
              </w:rPr>
            </w:pPr>
            <w:r>
              <w:rPr>
                <w:rFonts w:ascii="Arial" w:cs="Arial" w:eastAsia="Arial" w:hAnsi="Arial"/>
                <w:sz w:val="16"/>
                <w:szCs w:val="16"/>
                <w:color w:val="auto"/>
              </w:rPr>
              <w:t>Adjusted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Net</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24"/>
                <w:szCs w:val="24"/>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spacing w:after="0"/>
              <w:rPr>
                <w:sz w:val="24"/>
                <w:szCs w:val="24"/>
                <w:color w:val="auto"/>
              </w:rPr>
            </w:pPr>
          </w:p>
        </w:tc>
        <w:tc>
          <w:tcPr>
            <w:tcW w:w="88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5"/>
        </w:trPr>
        <w:tc>
          <w:tcPr>
            <w:tcW w:w="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40" w:type="dxa"/>
            <w:vAlign w:val="bottom"/>
          </w:tcPr>
          <w:p>
            <w:pPr>
              <w:spacing w:after="0"/>
              <w:rPr>
                <w:sz w:val="20"/>
                <w:szCs w:val="20"/>
                <w:color w:val="auto"/>
              </w:rPr>
            </w:pPr>
            <w:r>
              <w:rPr>
                <w:rFonts w:ascii="Arial" w:cs="Arial" w:eastAsia="Arial" w:hAnsi="Arial"/>
                <w:sz w:val="16"/>
                <w:szCs w:val="16"/>
                <w:color w:val="auto"/>
              </w:rPr>
              <w:t>2020 Q1</w:t>
            </w:r>
          </w:p>
        </w:tc>
        <w:tc>
          <w:tcPr>
            <w:tcW w:w="2220" w:type="dxa"/>
            <w:vAlign w:val="bottom"/>
          </w:tcPr>
          <w:p>
            <w:pPr>
              <w:ind w:left="40"/>
              <w:spacing w:after="0"/>
              <w:rPr>
                <w:sz w:val="20"/>
                <w:szCs w:val="20"/>
                <w:color w:val="auto"/>
              </w:rPr>
            </w:pPr>
            <w:r>
              <w:rPr>
                <w:rFonts w:ascii="Arial" w:cs="Arial" w:eastAsia="Arial" w:hAnsi="Arial"/>
                <w:sz w:val="16"/>
                <w:szCs w:val="16"/>
                <w:color w:val="auto"/>
              </w:rPr>
              <w:t>Reported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38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2"/>
        </w:trPr>
        <w:tc>
          <w:tcPr>
            <w:tcW w:w="2860" w:type="dxa"/>
            <w:vAlign w:val="bottom"/>
            <w:gridSpan w:val="2"/>
          </w:tcPr>
          <w:p>
            <w:pPr>
              <w:spacing w:after="0"/>
              <w:rPr>
                <w:sz w:val="20"/>
                <w:szCs w:val="20"/>
                <w:color w:val="auto"/>
              </w:rPr>
            </w:pPr>
            <w:r>
              <w:rPr>
                <w:rFonts w:ascii="Arial" w:cs="Arial" w:eastAsia="Arial" w:hAnsi="Arial"/>
                <w:sz w:val="16"/>
                <w:szCs w:val="16"/>
                <w:color w:val="auto"/>
              </w:rPr>
              <w:t>Impact on CCV earnings from litigation</w:t>
            </w:r>
          </w:p>
        </w:tc>
        <w:tc>
          <w:tcPr>
            <w:tcW w:w="140" w:type="dxa"/>
            <w:vAlign w:val="bottom"/>
          </w:tcPr>
          <w:p>
            <w:pPr>
              <w:spacing w:after="0"/>
              <w:rPr>
                <w:sz w:val="23"/>
                <w:szCs w:val="23"/>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1"/>
        </w:trPr>
        <w:tc>
          <w:tcPr>
            <w:tcW w:w="2860" w:type="dxa"/>
            <w:vAlign w:val="bottom"/>
            <w:gridSpan w:val="2"/>
          </w:tcPr>
          <w:p>
            <w:pPr>
              <w:spacing w:after="0"/>
              <w:rPr>
                <w:sz w:val="20"/>
                <w:szCs w:val="20"/>
                <w:color w:val="auto"/>
              </w:rPr>
            </w:pPr>
            <w:r>
              <w:rPr>
                <w:rFonts w:ascii="Arial" w:cs="Arial" w:eastAsia="Arial" w:hAnsi="Arial"/>
                <w:sz w:val="16"/>
                <w:szCs w:val="16"/>
                <w:color w:val="auto"/>
              </w:rPr>
              <w:t>settlement</w:t>
            </w: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860" w:type="dxa"/>
            <w:vAlign w:val="bottom"/>
            <w:gridSpan w:val="2"/>
          </w:tcPr>
          <w:p>
            <w:pPr>
              <w:spacing w:after="0" w:line="178" w:lineRule="exact"/>
              <w:rPr>
                <w:sz w:val="20"/>
                <w:szCs w:val="20"/>
                <w:color w:val="auto"/>
              </w:rPr>
            </w:pPr>
            <w:r>
              <w:rPr>
                <w:rFonts w:ascii="Arial" w:cs="Arial" w:eastAsia="Arial" w:hAnsi="Arial"/>
                <w:sz w:val="16"/>
                <w:szCs w:val="16"/>
                <w:color w:val="auto"/>
              </w:rPr>
              <w:t>Termination of non-core software</w:t>
            </w:r>
          </w:p>
        </w:tc>
        <w:tc>
          <w:tcPr>
            <w:tcW w:w="140" w:type="dxa"/>
            <w:vAlign w:val="bottom"/>
          </w:tcPr>
          <w:p>
            <w:pPr>
              <w:spacing w:after="0"/>
              <w:rPr>
                <w:sz w:val="15"/>
                <w:szCs w:val="15"/>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1"/>
        </w:trPr>
        <w:tc>
          <w:tcPr>
            <w:tcW w:w="640" w:type="dxa"/>
            <w:vAlign w:val="bottom"/>
          </w:tcPr>
          <w:p>
            <w:pPr>
              <w:spacing w:after="0"/>
              <w:rPr>
                <w:sz w:val="20"/>
                <w:szCs w:val="20"/>
                <w:color w:val="auto"/>
              </w:rPr>
            </w:pPr>
            <w:r>
              <w:rPr>
                <w:rFonts w:ascii="Arial" w:cs="Arial" w:eastAsia="Arial" w:hAnsi="Arial"/>
                <w:sz w:val="16"/>
                <w:szCs w:val="16"/>
                <w:color w:val="auto"/>
              </w:rPr>
              <w:t>project</w:t>
            </w:r>
          </w:p>
        </w:tc>
        <w:tc>
          <w:tcPr>
            <w:tcW w:w="2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6"/>
                <w:szCs w:val="16"/>
                <w:color w:val="auto"/>
              </w:rPr>
              <w:t>Non cash interest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6"/>
                <w:szCs w:val="16"/>
                <w:color w:val="auto"/>
              </w:rPr>
              <w:t>Constant currency impact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20"/>
                <w:szCs w:val="20"/>
                <w:color w:val="auto"/>
              </w:rPr>
            </w:pPr>
            <w:r>
              <w:rPr>
                <w:rFonts w:ascii="Arial" w:cs="Arial" w:eastAsia="Arial" w:hAnsi="Arial"/>
                <w:sz w:val="16"/>
                <w:szCs w:val="16"/>
                <w:color w:val="auto"/>
              </w:rPr>
              <w:t>2020 Q1</w:t>
            </w:r>
          </w:p>
        </w:tc>
        <w:tc>
          <w:tcPr>
            <w:tcW w:w="2220" w:type="dxa"/>
            <w:vAlign w:val="bottom"/>
          </w:tcPr>
          <w:p>
            <w:pPr>
              <w:ind w:left="40"/>
              <w:spacing w:after="0"/>
              <w:rPr>
                <w:sz w:val="20"/>
                <w:szCs w:val="20"/>
                <w:color w:val="auto"/>
              </w:rPr>
            </w:pPr>
            <w:r>
              <w:rPr>
                <w:rFonts w:ascii="Arial" w:cs="Arial" w:eastAsia="Arial" w:hAnsi="Arial"/>
                <w:sz w:val="16"/>
                <w:szCs w:val="16"/>
                <w:color w:val="auto"/>
              </w:rPr>
              <w:t>Adjusted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40" w:type="dxa"/>
            <w:vAlign w:val="bottom"/>
            <w:vMerge w:val="restart"/>
          </w:tcPr>
          <w:p>
            <w:pPr>
              <w:spacing w:after="0"/>
              <w:rPr>
                <w:sz w:val="20"/>
                <w:szCs w:val="20"/>
                <w:color w:val="auto"/>
              </w:rPr>
            </w:pPr>
            <w:r>
              <w:rPr>
                <w:rFonts w:ascii="Arial" w:cs="Arial" w:eastAsia="Arial" w:hAnsi="Arial"/>
                <w:sz w:val="16"/>
                <w:szCs w:val="16"/>
                <w:b w:val="1"/>
                <w:bCs w:val="1"/>
                <w:color w:val="auto"/>
              </w:rPr>
              <w:t>2021 Q1:</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U.S. Dollar</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5"/>
        </w:trPr>
        <w:tc>
          <w:tcPr>
            <w:tcW w:w="87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 YOY</w:t>
            </w:r>
          </w:p>
        </w:tc>
        <w:tc>
          <w:tcPr>
            <w:tcW w:w="0" w:type="dxa"/>
            <w:vAlign w:val="bottom"/>
          </w:tcPr>
          <w:p>
            <w:pPr>
              <w:spacing w:after="0"/>
              <w:rPr>
                <w:sz w:val="1"/>
                <w:szCs w:val="1"/>
                <w:color w:val="auto"/>
              </w:rPr>
            </w:pPr>
          </w:p>
        </w:tc>
      </w:tr>
      <w:tr>
        <w:trPr>
          <w:trHeight w:val="245"/>
        </w:trPr>
        <w:tc>
          <w:tcPr>
            <w:tcW w:w="8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i w:val="1"/>
                <w:iCs w:val="1"/>
                <w:color w:val="auto"/>
              </w:rPr>
              <w:t>(in millions)</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6"/>
                <w:szCs w:val="16"/>
                <w:color w:val="auto"/>
              </w:rPr>
              <w:t>Consolidated revenue (three months ended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178.1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consolidated revenue (three months ended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180.1</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Consolidated net revenue (three months ended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consolidated net revenue (three months ended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109.5</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Consolidated net inventory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consolidated net inventory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95.7</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10"/>
        </w:trPr>
        <w:tc>
          <w:tcPr>
            <w:tcW w:w="8740" w:type="dxa"/>
            <w:vAlign w:val="bottom"/>
          </w:tcPr>
          <w:p>
            <w:pPr>
              <w:spacing w:after="0"/>
              <w:rPr>
                <w:sz w:val="20"/>
                <w:szCs w:val="20"/>
                <w:color w:val="auto"/>
              </w:rPr>
            </w:pPr>
            <w:r>
              <w:rPr>
                <w:rFonts w:ascii="Arial" w:cs="Arial" w:eastAsia="Arial" w:hAnsi="Arial"/>
                <w:sz w:val="16"/>
                <w:szCs w:val="16"/>
                <w:color w:val="auto"/>
              </w:rPr>
              <w:t>Latin America Pawn net revenue (three months ended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Latin America Pawn net revenue (three months ended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Latin America Pawn PLO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Latin America Pawn PLO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Latin America Pawn PSC revenues (three months ended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Latin America Pawn PSC revenues (three months ended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Latin America Pawn merchandise sales (three months ended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Latin America Pawn merchandise sales (three months ended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Latin America Pawn segment profit before tax (three months ended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Latin America Pawn segment profit before tax (three months ended December 31,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04"/>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2021-02-03T15:30:17Z</dcterms:created>
  <dcterms:modified xsi:type="dcterms:W3CDTF">2021-02-03T15:30:17Z</dcterms:modified>
</cp:coreProperties>
</file>