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210820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81915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74" w:lineRule="exact"/>
        <w:rPr>
          <w:sz w:val="24"/>
          <w:szCs w:val="24"/>
          <w:color w:val="auto"/>
        </w:rPr>
      </w:pPr>
    </w:p>
    <w:p>
      <w:pPr>
        <w:ind w:left="620" w:right="260" w:hanging="585"/>
        <w:spacing w:after="0" w:line="262" w:lineRule="auto"/>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9" w:lineRule="exact"/>
        <w:rPr>
          <w:sz w:val="24"/>
          <w:szCs w:val="24"/>
          <w:color w:val="auto"/>
        </w:rPr>
      </w:pPr>
    </w:p>
    <w:p>
      <w:pPr>
        <w:ind w:left="620" w:right="260" w:hanging="585"/>
        <w:spacing w:after="0" w:line="262"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7"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345"/>
        </w:trPr>
        <w:tc>
          <w:tcPr>
            <w:tcW w:w="700" w:type="dxa"/>
            <w:vAlign w:val="bottom"/>
          </w:tcPr>
          <w:p>
            <w:pPr>
              <w:spacing w:after="0"/>
              <w:rPr>
                <w:sz w:val="24"/>
                <w:szCs w:val="24"/>
                <w:color w:val="auto"/>
              </w:rPr>
            </w:pPr>
          </w:p>
        </w:tc>
        <w:tc>
          <w:tcPr>
            <w:tcW w:w="30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Commission File No. 0-19424</w:t>
            </w:r>
          </w:p>
        </w:tc>
        <w:tc>
          <w:tcPr>
            <w:tcW w:w="800" w:type="dxa"/>
            <w:vAlign w:val="bottom"/>
          </w:tcPr>
          <w:p>
            <w:pPr>
              <w:spacing w:after="0"/>
              <w:rPr>
                <w:sz w:val="24"/>
                <w:szCs w:val="24"/>
                <w:color w:val="auto"/>
              </w:rPr>
            </w:pPr>
          </w:p>
        </w:tc>
      </w:tr>
      <w:tr>
        <w:trPr>
          <w:trHeight w:val="135"/>
        </w:trPr>
        <w:tc>
          <w:tcPr>
            <w:tcW w:w="70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bl>
    <w:p>
      <w:pPr>
        <w:spacing w:after="0" w:line="297" w:lineRule="exact"/>
        <w:rPr>
          <w:sz w:val="24"/>
          <w:szCs w:val="24"/>
          <w:color w:val="auto"/>
        </w:rPr>
      </w:pPr>
    </w:p>
    <w:tbl>
      <w:tblPr>
        <w:tblLayout w:type="fixed"/>
        <w:tblInd w:w="1220" w:type="dxa"/>
        <w:tblCellMar>
          <w:top w:w="0" w:type="dxa"/>
          <w:left w:w="0" w:type="dxa"/>
          <w:bottom w:w="0" w:type="dxa"/>
          <w:right w:w="0" w:type="dxa"/>
        </w:tblCellMar>
      </w:tblPr>
      <w:tr>
        <w:trPr>
          <w:trHeight w:val="525"/>
        </w:trPr>
        <w:tc>
          <w:tcPr>
            <w:tcW w:w="6640" w:type="dxa"/>
            <w:vAlign w:val="bottom"/>
          </w:tcPr>
          <w:p>
            <w:pPr>
              <w:jc w:val="center"/>
              <w:ind w:left="2264"/>
              <w:spacing w:after="0"/>
              <w:rPr>
                <w:sz w:val="20"/>
                <w:szCs w:val="20"/>
                <w:color w:val="auto"/>
              </w:rPr>
            </w:pPr>
            <w:r>
              <w:rPr>
                <w:rFonts w:ascii="Times New Roman" w:cs="Times New Roman" w:eastAsia="Times New Roman" w:hAnsi="Times New Roman"/>
                <w:sz w:val="40"/>
                <w:szCs w:val="40"/>
                <w:b w:val="1"/>
                <w:bCs w:val="1"/>
                <w:color w:val="auto"/>
                <w:w w:val="97"/>
              </w:rPr>
              <w:t>EZCORP, INC.</w:t>
            </w:r>
          </w:p>
        </w:tc>
        <w:tc>
          <w:tcPr>
            <w:tcW w:w="1280" w:type="dxa"/>
            <w:vAlign w:val="bottom"/>
          </w:tcPr>
          <w:p>
            <w:pPr>
              <w:spacing w:after="0"/>
              <w:rPr>
                <w:sz w:val="24"/>
                <w:szCs w:val="24"/>
                <w:color w:val="auto"/>
              </w:rPr>
            </w:pPr>
          </w:p>
        </w:tc>
      </w:tr>
      <w:tr>
        <w:trPr>
          <w:trHeight w:val="366"/>
        </w:trPr>
        <w:tc>
          <w:tcPr>
            <w:tcW w:w="6640" w:type="dxa"/>
            <w:vAlign w:val="bottom"/>
          </w:tcPr>
          <w:p>
            <w:pPr>
              <w:jc w:val="center"/>
              <w:ind w:left="2244"/>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4"/>
                <w:szCs w:val="24"/>
                <w:color w:val="auto"/>
              </w:rPr>
            </w:pPr>
          </w:p>
        </w:tc>
      </w:tr>
      <w:tr>
        <w:trPr>
          <w:trHeight w:val="378"/>
        </w:trPr>
        <w:tc>
          <w:tcPr>
            <w:tcW w:w="6640" w:type="dxa"/>
            <w:vAlign w:val="bottom"/>
          </w:tcPr>
          <w:p>
            <w:pPr>
              <w:jc w:val="center"/>
              <w:ind w:right="32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74-2540145</w:t>
            </w:r>
          </w:p>
        </w:tc>
      </w:tr>
      <w:tr>
        <w:trPr>
          <w:trHeight w:val="178"/>
        </w:trPr>
        <w:tc>
          <w:tcPr>
            <w:tcW w:w="6640" w:type="dxa"/>
            <w:vAlign w:val="bottom"/>
          </w:tcPr>
          <w:p>
            <w:pPr>
              <w:jc w:val="center"/>
              <w:ind w:right="32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640" w:type="dxa"/>
            <w:vAlign w:val="bottom"/>
          </w:tcPr>
          <w:p>
            <w:pPr>
              <w:jc w:val="center"/>
              <w:ind w:right="326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6640" w:type="dxa"/>
            <w:vAlign w:val="bottom"/>
          </w:tcPr>
          <w:p>
            <w:pPr>
              <w:jc w:val="center"/>
              <w:ind w:right="3304"/>
              <w:spacing w:after="0"/>
              <w:rPr>
                <w:sz w:val="20"/>
                <w:szCs w:val="20"/>
                <w:color w:val="auto"/>
              </w:rPr>
            </w:pPr>
            <w:r>
              <w:rPr>
                <w:rFonts w:ascii="Times New Roman" w:cs="Times New Roman" w:eastAsia="Times New Roman" w:hAnsi="Times New Roman"/>
                <w:sz w:val="18"/>
                <w:szCs w:val="18"/>
                <w:b w:val="1"/>
                <w:bCs w:val="1"/>
                <w:color w:val="auto"/>
                <w:w w:val="99"/>
              </w:rPr>
              <w:t>2500 Bee Cave Road, Building 1, Suite 200</w:t>
            </w:r>
          </w:p>
        </w:tc>
        <w:tc>
          <w:tcPr>
            <w:tcW w:w="1280" w:type="dxa"/>
            <w:vAlign w:val="bottom"/>
          </w:tcPr>
          <w:p>
            <w:pPr>
              <w:spacing w:after="0"/>
              <w:rPr>
                <w:sz w:val="24"/>
                <w:szCs w:val="24"/>
                <w:color w:val="auto"/>
              </w:rPr>
            </w:pPr>
          </w:p>
        </w:tc>
      </w:tr>
      <w:tr>
        <w:trPr>
          <w:trHeight w:val="238"/>
        </w:trPr>
        <w:tc>
          <w:tcPr>
            <w:tcW w:w="6640" w:type="dxa"/>
            <w:vAlign w:val="bottom"/>
          </w:tcPr>
          <w:p>
            <w:pPr>
              <w:jc w:val="center"/>
              <w:ind w:right="3244"/>
              <w:spacing w:after="0"/>
              <w:rPr>
                <w:sz w:val="20"/>
                <w:szCs w:val="20"/>
                <w:color w:val="auto"/>
              </w:rPr>
            </w:pPr>
            <w:r>
              <w:rPr>
                <w:rFonts w:ascii="Times New Roman" w:cs="Times New Roman" w:eastAsia="Times New Roman" w:hAnsi="Times New Roman"/>
                <w:sz w:val="18"/>
                <w:szCs w:val="18"/>
                <w:b w:val="1"/>
                <w:bCs w:val="1"/>
                <w:color w:val="auto"/>
                <w:w w:val="99"/>
              </w:rPr>
              <w:t>Rollingwood, Texas</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78746</w:t>
            </w:r>
          </w:p>
        </w:tc>
      </w:tr>
      <w:tr>
        <w:trPr>
          <w:trHeight w:val="220"/>
        </w:trPr>
        <w:tc>
          <w:tcPr>
            <w:tcW w:w="6640" w:type="dxa"/>
            <w:vAlign w:val="bottom"/>
          </w:tcPr>
          <w:p>
            <w:pPr>
              <w:jc w:val="center"/>
              <w:ind w:right="32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6640" w:type="dxa"/>
            <w:vAlign w:val="bottom"/>
          </w:tcPr>
          <w:p>
            <w:pPr>
              <w:jc w:val="center"/>
              <w:ind w:left="2264"/>
              <w:spacing w:after="0"/>
              <w:rPr>
                <w:sz w:val="20"/>
                <w:szCs w:val="20"/>
                <w:color w:val="auto"/>
              </w:rPr>
            </w:pPr>
            <w:r>
              <w:rPr>
                <w:rFonts w:ascii="Times New Roman" w:cs="Times New Roman" w:eastAsia="Times New Roman" w:hAnsi="Times New Roman"/>
                <w:sz w:val="18"/>
                <w:szCs w:val="18"/>
                <w:b w:val="1"/>
                <w:bCs w:val="1"/>
                <w:color w:val="auto"/>
                <w:w w:val="99"/>
              </w:rPr>
              <w:t>(512) 314-3400</w:t>
            </w:r>
          </w:p>
        </w:tc>
        <w:tc>
          <w:tcPr>
            <w:tcW w:w="1280" w:type="dxa"/>
            <w:vAlign w:val="bottom"/>
          </w:tcPr>
          <w:p>
            <w:pPr>
              <w:spacing w:after="0"/>
              <w:rPr>
                <w:sz w:val="24"/>
                <w:szCs w:val="24"/>
                <w:color w:val="auto"/>
              </w:rPr>
            </w:pPr>
          </w:p>
        </w:tc>
      </w:tr>
    </w:tbl>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119380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 x</w:t>
      </w:r>
    </w:p>
    <w:p>
      <w:pPr>
        <w:spacing w:after="0" w:line="209"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x</w:t>
      </w:r>
    </w:p>
    <w:p>
      <w:pPr>
        <w:spacing w:after="0" w:line="124" w:lineRule="exact"/>
        <w:rPr>
          <w:sz w:val="24"/>
          <w:szCs w:val="24"/>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5" w:right="279" w:bottom="1440" w:gutter="0" w:footer="0" w:header="0"/>
        </w:sectPr>
      </w:pPr>
    </w:p>
    <w:p>
      <w:pPr>
        <w:spacing w:after="0" w:line="1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940" w:space="720"/>
            <w:col w:w="3520" w:space="720"/>
            <w:col w:w="3380" w:space="720"/>
            <w:col w:w="380"/>
          </w:cols>
          <w:pgMar w:left="240" w:top="225" w:right="27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940" w:space="720"/>
            <w:col w:w="160" w:space="80"/>
            <w:col w:w="3280" w:space="720"/>
            <w:col w:w="3380" w:space="720"/>
            <w:col w:w="380"/>
          </w:cols>
          <w:pgMar w:left="240" w:top="225" w:right="279" w:bottom="1440" w:gutter="0" w:footer="0" w:header="0"/>
          <w:type w:val="continuous"/>
        </w:sect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 x</w:t>
      </w:r>
    </w:p>
    <w:p>
      <w:pPr>
        <w:spacing w:after="0" w:line="13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color w:val="auto"/>
        </w:rPr>
        <w:t>APPLICABLE ONLY TO CORPORATE ISSUERS:</w:t>
      </w:r>
    </w:p>
    <w:p>
      <w:pPr>
        <w:spacing w:after="0" w:line="221"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63" w:lineRule="exact"/>
        <w:rPr>
          <w:sz w:val="24"/>
          <w:szCs w:val="24"/>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As of December 31, 2014, 50,680,358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380"/>
          </w:cols>
          <w:pgMar w:left="240" w:top="22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8"/>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6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6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 TO FORM 10-Q/A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18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EXPLANATORY NOTE</w:t>
              </w:r>
            </w:hyperlink>
          </w:p>
        </w:tc>
        <w:tc>
          <w:tcPr>
            <w:tcW w:w="9360" w:type="dxa"/>
            <w:vAlign w:val="bottom"/>
            <w:gridSpan w:val="2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2">
              <w:r>
                <w:rPr>
                  <w:rFonts w:ascii="Times New Roman" w:cs="Times New Roman" w:eastAsia="Times New Roman" w:hAnsi="Times New Roman"/>
                  <w:sz w:val="18"/>
                  <w:szCs w:val="18"/>
                  <w:color w:val="0000EE"/>
                  <w:w w:val="88"/>
                </w:rPr>
                <w:t>1</w:t>
              </w:r>
            </w:hyperlink>
          </w:p>
        </w:tc>
      </w:tr>
      <w:tr>
        <w:trPr>
          <w:trHeight w:val="588"/>
        </w:trPr>
        <w:tc>
          <w:tcPr>
            <w:tcW w:w="40" w:type="dxa"/>
            <w:vAlign w:val="bottom"/>
          </w:tcPr>
          <w:p>
            <w:pPr>
              <w:spacing w:after="0"/>
              <w:rPr>
                <w:sz w:val="24"/>
                <w:szCs w:val="24"/>
                <w:color w:val="auto"/>
              </w:rPr>
            </w:pPr>
          </w:p>
        </w:tc>
        <w:tc>
          <w:tcPr>
            <w:tcW w:w="30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PART I —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12"/>
          </w:tcPr>
          <w:p>
            <w:pPr>
              <w:spacing w:after="0"/>
              <w:rPr>
                <w:rFonts w:ascii="Times New Roman" w:cs="Times New Roman" w:eastAsia="Times New Roman" w:hAnsi="Times New Roman"/>
                <w:sz w:val="18"/>
                <w:szCs w:val="18"/>
                <w:i w:val="1"/>
                <w:iCs w:val="1"/>
                <w:color w:val="0000EE"/>
                <w:w w:val="99"/>
              </w:rPr>
            </w:pPr>
            <w:hyperlink w:anchor="page4">
              <w:r>
                <w:rPr>
                  <w:rFonts w:ascii="Times New Roman" w:cs="Times New Roman" w:eastAsia="Times New Roman" w:hAnsi="Times New Roman"/>
                  <w:sz w:val="18"/>
                  <w:szCs w:val="18"/>
                  <w:i w:val="1"/>
                  <w:iCs w:val="1"/>
                  <w:color w:val="0000EE"/>
                  <w:w w:val="99"/>
                </w:rPr>
                <w:t>Item 1. Financial Statements</w:t>
              </w:r>
            </w:hyperlink>
          </w:p>
        </w:tc>
        <w:tc>
          <w:tcPr>
            <w:tcW w:w="876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December 31, 2014 (Unaudited and As Restated) and 2013 (Unaudited) and</w:t>
              </w:r>
            </w:hyperlink>
          </w:p>
        </w:tc>
        <w:tc>
          <w:tcPr>
            <w:tcW w:w="166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September 30, 2014</w:t>
              </w:r>
            </w:hyperlink>
          </w:p>
        </w:tc>
        <w:tc>
          <w:tcPr>
            <w:tcW w:w="9060" w:type="dxa"/>
            <w:vAlign w:val="bottom"/>
            <w:gridSpan w:val="18"/>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for the Three Months Ended December 31, 2014 (Unaudited and As Restated)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and 2013 (Unaudited)</w:t>
              </w:r>
            </w:hyperlink>
          </w:p>
        </w:tc>
        <w:tc>
          <w:tcPr>
            <w:tcW w:w="7740" w:type="dxa"/>
            <w:vAlign w:val="bottom"/>
            <w:tcBorders>
              <w:top w:val="single" w:sz="8" w:color="0000EE"/>
            </w:tcBorders>
            <w:gridSpan w:val="11"/>
          </w:tcPr>
          <w:p>
            <w:pPr>
              <w:spacing w:after="0"/>
              <w:rPr>
                <w:sz w:val="17"/>
                <w:szCs w:val="17"/>
                <w:color w:val="auto"/>
              </w:rPr>
            </w:pPr>
          </w:p>
        </w:tc>
        <w:tc>
          <w:tcPr>
            <w:tcW w:w="118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Comprehensive (Loss) Income for the Three Months Ended December 31, 2014 (Unaudited</w:t>
              </w:r>
            </w:hyperlink>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gridSpan w:val="25"/>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and As Restated) and 2013 (Unaudited)</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Cash Flows for the Three Months Ended December 31, 2014 (Unaudited and As Restated)</w:t>
              </w:r>
            </w:hyperlink>
          </w:p>
        </w:tc>
        <w:tc>
          <w:tcPr>
            <w:tcW w:w="1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and 2013 (Unaudited)</w:t>
              </w:r>
            </w:hyperlink>
          </w:p>
        </w:tc>
        <w:tc>
          <w:tcPr>
            <w:tcW w:w="892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Condensed Consolidated Statements of Stockholders’ Equity for the Three Months Ended December 31, 2014 (Unaudited and As</w:t>
              </w:r>
            </w:hyperlink>
          </w:p>
        </w:tc>
        <w:tc>
          <w:tcPr>
            <w:tcW w:w="11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Restated) and 2013 (Unaudited)</w:t>
              </w:r>
            </w:hyperlink>
          </w:p>
        </w:tc>
        <w:tc>
          <w:tcPr>
            <w:tcW w:w="820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Notes to Interim Condensed Consolidated Financial Statements (Unaudited and As Restated)</w:t>
              </w:r>
            </w:hyperlink>
          </w:p>
        </w:tc>
        <w:tc>
          <w:tcPr>
            <w:tcW w:w="380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9"/>
          </w:tcPr>
          <w:p>
            <w:pPr>
              <w:spacing w:after="0"/>
              <w:rPr>
                <w:rFonts w:ascii="Times New Roman" w:cs="Times New Roman" w:eastAsia="Times New Roman" w:hAnsi="Times New Roman"/>
                <w:sz w:val="18"/>
                <w:szCs w:val="18"/>
                <w:i w:val="1"/>
                <w:iCs w:val="1"/>
                <w:color w:val="0000EE"/>
                <w:w w:val="99"/>
              </w:rPr>
            </w:pPr>
            <w:hyperlink w:anchor="page55">
              <w:r>
                <w:rPr>
                  <w:rFonts w:ascii="Times New Roman" w:cs="Times New Roman" w:eastAsia="Times New Roman" w:hAnsi="Times New Roman"/>
                  <w:sz w:val="18"/>
                  <w:szCs w:val="18"/>
                  <w:i w:val="1"/>
                  <w:iCs w:val="1"/>
                  <w:color w:val="0000EE"/>
                  <w:w w:val="99"/>
                </w:rPr>
                <w:t>Item 2. Management’s Discussion and Analysis of Financial Condition and Results of Operations</w:t>
              </w:r>
            </w:hyperlink>
          </w:p>
        </w:tc>
        <w:tc>
          <w:tcPr>
            <w:tcW w:w="382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53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6"/>
          </w:tcPr>
          <w:p>
            <w:pPr>
              <w:spacing w:after="0"/>
              <w:rPr>
                <w:rFonts w:ascii="Times New Roman" w:cs="Times New Roman" w:eastAsia="Times New Roman" w:hAnsi="Times New Roman"/>
                <w:sz w:val="18"/>
                <w:szCs w:val="18"/>
                <w:i w:val="1"/>
                <w:iCs w:val="1"/>
                <w:color w:val="0000EE"/>
              </w:rPr>
            </w:pPr>
            <w:hyperlink w:anchor="page73">
              <w:r>
                <w:rPr>
                  <w:rFonts w:ascii="Times New Roman" w:cs="Times New Roman" w:eastAsia="Times New Roman" w:hAnsi="Times New Roman"/>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i w:val="1"/>
                <w:iCs w:val="1"/>
                <w:color w:val="0000EE"/>
                <w:w w:val="98"/>
              </w:rPr>
            </w:pPr>
            <w:hyperlink w:anchor="page73">
              <w:r>
                <w:rPr>
                  <w:rFonts w:ascii="Times New Roman" w:cs="Times New Roman" w:eastAsia="Times New Roman" w:hAnsi="Times New Roman"/>
                  <w:sz w:val="18"/>
                  <w:szCs w:val="18"/>
                  <w:i w:val="1"/>
                  <w:iCs w:val="1"/>
                  <w:color w:val="0000EE"/>
                  <w:w w:val="98"/>
                </w:rPr>
                <w:t>Item 4. Controls and Procedures</w:t>
              </w:r>
            </w:hyperlink>
          </w:p>
        </w:tc>
        <w:tc>
          <w:tcPr>
            <w:tcW w:w="2520" w:type="dxa"/>
            <w:vAlign w:val="bottom"/>
            <w:tcBorders>
              <w:top w:val="single" w:sz="8" w:color="0000EE"/>
            </w:tcBorders>
            <w:gridSpan w:val="5"/>
          </w:tcPr>
          <w:p>
            <w:pPr>
              <w:spacing w:after="0"/>
              <w:rPr>
                <w:sz w:val="24"/>
                <w:szCs w:val="24"/>
                <w:color w:val="auto"/>
              </w:rPr>
            </w:pPr>
          </w:p>
        </w:tc>
        <w:tc>
          <w:tcPr>
            <w:tcW w:w="596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70</w:t>
              </w:r>
            </w:hyperlink>
          </w:p>
        </w:tc>
      </w:tr>
      <w:tr>
        <w:trPr>
          <w:trHeight w:val="372"/>
        </w:trPr>
        <w:tc>
          <w:tcPr>
            <w:tcW w:w="40" w:type="dxa"/>
            <w:vAlign w:val="bottom"/>
          </w:tcPr>
          <w:p>
            <w:pPr>
              <w:spacing w:after="0"/>
              <w:rPr>
                <w:sz w:val="24"/>
                <w:szCs w:val="24"/>
                <w:color w:val="auto"/>
              </w:rPr>
            </w:pPr>
          </w:p>
        </w:tc>
        <w:tc>
          <w:tcPr>
            <w:tcW w:w="11180" w:type="dxa"/>
            <w:vAlign w:val="bottom"/>
            <w:gridSpan w:val="27"/>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i w:val="1"/>
                <w:iCs w:val="1"/>
                <w:color w:val="0000EE"/>
                <w:w w:val="98"/>
              </w:rPr>
            </w:pPr>
            <w:hyperlink w:anchor="page75">
              <w:r>
                <w:rPr>
                  <w:rFonts w:ascii="Times New Roman" w:cs="Times New Roman" w:eastAsia="Times New Roman" w:hAnsi="Times New Roman"/>
                  <w:sz w:val="18"/>
                  <w:szCs w:val="18"/>
                  <w:i w:val="1"/>
                  <w:iCs w:val="1"/>
                  <w:color w:val="0000EE"/>
                  <w:w w:val="98"/>
                </w:rPr>
                <w:t>Item 1. Legal Proceedings</w:t>
              </w:r>
            </w:hyperlink>
          </w:p>
        </w:tc>
        <w:tc>
          <w:tcPr>
            <w:tcW w:w="500" w:type="dxa"/>
            <w:vAlign w:val="bottom"/>
            <w:tcBorders>
              <w:top w:val="single" w:sz="8" w:color="0000EE"/>
            </w:tcBorders>
            <w:gridSpan w:val="4"/>
          </w:tcPr>
          <w:p>
            <w:pPr>
              <w:spacing w:after="0"/>
              <w:rPr>
                <w:sz w:val="24"/>
                <w:szCs w:val="24"/>
                <w:color w:val="auto"/>
              </w:rPr>
            </w:pPr>
          </w:p>
        </w:tc>
        <w:tc>
          <w:tcPr>
            <w:tcW w:w="844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72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Times New Roman" w:cs="Times New Roman" w:eastAsia="Times New Roman" w:hAnsi="Times New Roman"/>
                <w:sz w:val="18"/>
                <w:szCs w:val="18"/>
                <w:i w:val="1"/>
                <w:iCs w:val="1"/>
                <w:color w:val="0000EE"/>
                <w:w w:val="99"/>
              </w:rPr>
            </w:pPr>
            <w:hyperlink w:anchor="page76">
              <w:r>
                <w:rPr>
                  <w:rFonts w:ascii="Times New Roman" w:cs="Times New Roman" w:eastAsia="Times New Roman" w:hAnsi="Times New Roman"/>
                  <w:sz w:val="18"/>
                  <w:szCs w:val="18"/>
                  <w:i w:val="1"/>
                  <w:iCs w:val="1"/>
                  <w:color w:val="0000EE"/>
                  <w:w w:val="99"/>
                </w:rPr>
                <w:t>Item 1A. Risk Factors</w:t>
              </w:r>
            </w:hyperlink>
          </w:p>
        </w:tc>
        <w:tc>
          <w:tcPr>
            <w:tcW w:w="9260" w:type="dxa"/>
            <w:vAlign w:val="bottom"/>
            <w:gridSpan w:val="1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Borders>
              <w:bottom w:val="single" w:sz="8" w:color="0000EE"/>
            </w:tcBorders>
            <w:gridSpan w:val="9"/>
          </w:tcPr>
          <w:p>
            <w:pPr>
              <w:spacing w:after="0"/>
              <w:rPr>
                <w:rFonts w:ascii="Times New Roman" w:cs="Times New Roman" w:eastAsia="Times New Roman" w:hAnsi="Times New Roman"/>
                <w:sz w:val="18"/>
                <w:szCs w:val="18"/>
                <w:i w:val="1"/>
                <w:iCs w:val="1"/>
                <w:color w:val="0000EE"/>
                <w:w w:val="99"/>
              </w:rPr>
            </w:pPr>
            <w:hyperlink w:anchor="page76">
              <w:r>
                <w:rPr>
                  <w:rFonts w:ascii="Times New Roman" w:cs="Times New Roman" w:eastAsia="Times New Roman" w:hAnsi="Times New Roman"/>
                  <w:sz w:val="18"/>
                  <w:szCs w:val="18"/>
                  <w:i w:val="1"/>
                  <w:iCs w:val="1"/>
                  <w:color w:val="0000EE"/>
                  <w:w w:val="99"/>
                </w:rPr>
                <w:t>Item 5. Other Information</w:t>
              </w:r>
            </w:hyperlink>
          </w:p>
        </w:tc>
        <w:tc>
          <w:tcPr>
            <w:tcW w:w="896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6"/>
          </w:tcPr>
          <w:p>
            <w:pPr>
              <w:spacing w:after="0"/>
              <w:rPr>
                <w:rFonts w:ascii="Times New Roman" w:cs="Times New Roman" w:eastAsia="Times New Roman" w:hAnsi="Times New Roman"/>
                <w:sz w:val="18"/>
                <w:szCs w:val="18"/>
                <w:i w:val="1"/>
                <w:iCs w:val="1"/>
                <w:color w:val="0000EE"/>
              </w:rPr>
            </w:pPr>
            <w:hyperlink w:anchor="page76">
              <w:r>
                <w:rPr>
                  <w:rFonts w:ascii="Times New Roman" w:cs="Times New Roman" w:eastAsia="Times New Roman" w:hAnsi="Times New Roman"/>
                  <w:sz w:val="18"/>
                  <w:szCs w:val="18"/>
                  <w:i w:val="1"/>
                  <w:iCs w:val="1"/>
                  <w:color w:val="0000EE"/>
                </w:rPr>
                <w:t>Item 6. 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74</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700" w:type="dxa"/>
            <w:vAlign w:val="bottom"/>
            <w:gridSpan w:val="21"/>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77">
              <w:r>
                <w:rPr>
                  <w:rFonts w:ascii="Times New Roman" w:cs="Times New Roman" w:eastAsia="Times New Roman" w:hAnsi="Times New Roman"/>
                  <w:sz w:val="18"/>
                  <w:szCs w:val="18"/>
                  <w:color w:val="0000EE"/>
                  <w:w w:val="96"/>
                </w:rPr>
                <w:t>SIGNATURES</w:t>
              </w:r>
            </w:hyperlink>
          </w:p>
        </w:tc>
        <w:tc>
          <w:tcPr>
            <w:tcW w:w="10080" w:type="dxa"/>
            <w:vAlign w:val="bottom"/>
            <w:gridSpan w:val="2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77">
              <w:r>
                <w:rPr>
                  <w:rFonts w:ascii="Times New Roman" w:cs="Times New Roman" w:eastAsia="Times New Roman" w:hAnsi="Times New Roman"/>
                  <w:sz w:val="18"/>
                  <w:szCs w:val="18"/>
                  <w:color w:val="0000EE"/>
                  <w:w w:val="88"/>
                </w:rPr>
                <w:t>75</w:t>
              </w:r>
            </w:hyperlink>
          </w:p>
        </w:tc>
      </w:tr>
      <w:tr>
        <w:trPr>
          <w:trHeight w:val="372"/>
        </w:trPr>
        <w:tc>
          <w:tcPr>
            <w:tcW w:w="4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78">
              <w:r>
                <w:rPr>
                  <w:rFonts w:ascii="Times New Roman" w:cs="Times New Roman" w:eastAsia="Times New Roman" w:hAnsi="Times New Roman"/>
                  <w:sz w:val="18"/>
                  <w:szCs w:val="18"/>
                  <w:color w:val="0000EE"/>
                  <w:w w:val="98"/>
                </w:rPr>
                <w:t>EXHIBIT INDEX</w:t>
              </w:r>
            </w:hyperlink>
          </w:p>
        </w:tc>
        <w:tc>
          <w:tcPr>
            <w:tcW w:w="9860" w:type="dxa"/>
            <w:vAlign w:val="bottom"/>
            <w:gridSpan w:val="2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78">
              <w:r>
                <w:rPr>
                  <w:rFonts w:ascii="Times New Roman" w:cs="Times New Roman" w:eastAsia="Times New Roman" w:hAnsi="Times New Roman"/>
                  <w:sz w:val="18"/>
                  <w:szCs w:val="18"/>
                  <w:color w:val="0000EE"/>
                  <w:w w:val="88"/>
                </w:rPr>
                <w:t>76</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Consolidated Financial Statements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restated our financial statements for the fiscal years ended September 30, 2014, 2013 and 2012 (including the unaudited quarterly periods within those years, other than the first quarter of fiscal 2012), and are restating our financial statements for the first quarter of fiscal 2015, in order to correct certain accounting errors related to our Grupo Finmart loan portfolio. For a discussion of the Grupo Finmart portfolio review, the accounting errors identified and the impact of the restatement adjustments on the financial statements for the first quarter of fiscal 2015, see "Part I, Item 2 — Management's Discussion and Analysis of Financial Condition and Results of Operations — Grupo Finmart Portfolio Review and Restatement" and Note 2 of Notes to Interim Condensed Consolidated Financial Statements included in "Part I, Item 1 —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Management reassessed its evaluation of the effectiveness of our internal control over financial reporting as of September 30, 2014, and concluded that a number of deficiencies in the design and operating effectiveness of our internal controls, collectively, represent material weaknesses in our internal control over financial reporting and, therefore, that we did not maintain effective internal control over financial reporting as of September 30, 2014, September 30, 2013 and September 30, 2012. For a description of the material weaknesses identified by management and management’s plan to remediate those material weaknesses, see “Part I, Item 4 — Controls and Procedures.”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Reports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concurrently filing an Amended Annual Report on Form 10-K/A for the fiscal year ended September 30, 2014 (the "Amended FY14 Annual Report"), which contains the restated financial statements for fiscal 2014, 2013 and 2012 (including the restated quarterly periods within those years), as well as our Quarterly Reports on Form 10-Q for the fiscal quarters ended March 31, 2015 and June 30, 2015, all of which reflect the effects of the restatement.</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Amended Quarterly Report on Form 10-Q/A does not reflect events occurring after the original filing date of February 7, 2015, and does not modify or update disclosures in the original filing that may have been affected by subsequent events, except for the effects of the restatement and the other subsequent events described in Note 18 of Notes to Interim Condensed Consolidated Financial Statement included in "Part I, Item 1 — Financial Statements." Other disclosures not affected by the restatement are unchanged and reflect the disclosures made at the time of original filing.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Amended Quarterly Report on Form 10-Q/A reflects amendments to the following items:</w:t>
      </w:r>
    </w:p>
    <w:p>
      <w:pPr>
        <w:spacing w:after="0" w:line="17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1 —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2 — Management's Discussion and Analysis of Financial Condition and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4 — Controls and Procedures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6 — Exhibits</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are providing currently dated certifications in connection with this Amended Quarterly Report on Form 10-Q/A. See Exhibits 31.1, 31.2 and 32.1.</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118" w:right="27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59"/>
        </w:trPr>
        <w:tc>
          <w:tcPr>
            <w:tcW w:w="7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77,599</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55,325</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60,218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63,495</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Pawn loans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150,930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153,421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162,444</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Consumer loans, net</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61,347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62,653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63,995</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Pawn service charges receivable, net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30,241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31,044</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Consumer loan fees and interest receivable, net</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13,199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12,647</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Inventory, net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132,659</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142,159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138,175</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Deferred tax asset</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17,572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17,572</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Prepaid income taxes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52,823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21,204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57,069</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Receivables, prepaid expenses and other current assets</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34,075</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42,895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33,097</w:t>
            </w:r>
          </w:p>
        </w:tc>
        <w:tc>
          <w:tcPr>
            <w:tcW w:w="0" w:type="dxa"/>
            <w:vAlign w:val="bottom"/>
          </w:tcPr>
          <w:p>
            <w:pPr>
              <w:spacing w:after="0"/>
              <w:rPr>
                <w:sz w:val="1"/>
                <w:szCs w:val="1"/>
                <w:color w:val="auto"/>
              </w:rPr>
            </w:pPr>
          </w:p>
        </w:tc>
      </w:tr>
      <w:tr>
        <w:trPr>
          <w:trHeight w:val="255"/>
        </w:trPr>
        <w:tc>
          <w:tcPr>
            <w:tcW w:w="76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630,663</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526,951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634,863</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99,219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97,424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91,781</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104,353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114,539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105,900</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4,310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5,070</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337,498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434,835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346,577</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62,077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66,749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66,086</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Non-current consumer loans, net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78,362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78,686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85,004</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tax asset</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10,617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12,142</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 net</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77,352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28,935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63,121</w:t>
            </w:r>
          </w:p>
        </w:tc>
        <w:tc>
          <w:tcPr>
            <w:tcW w:w="0" w:type="dxa"/>
            <w:vAlign w:val="bottom"/>
          </w:tcPr>
          <w:p>
            <w:pPr>
              <w:spacing w:after="0"/>
              <w:rPr>
                <w:sz w:val="1"/>
                <w:szCs w:val="1"/>
                <w:color w:val="auto"/>
              </w:rPr>
            </w:pPr>
          </w:p>
        </w:tc>
      </w:tr>
      <w:tr>
        <w:trPr>
          <w:trHeight w:val="282"/>
        </w:trPr>
        <w:tc>
          <w:tcPr>
            <w:tcW w:w="76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Total assets (1)(3)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1,404,451</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1,359,851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1,410,544</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74,832</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36,111</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Current capital lease obligations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81,417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77,880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94,993</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8,595</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Customer layaway deposits</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5,133</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5,782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8,097</w:t>
            </w:r>
          </w:p>
        </w:tc>
        <w:tc>
          <w:tcPr>
            <w:tcW w:w="0" w:type="dxa"/>
            <w:vAlign w:val="bottom"/>
          </w:tcPr>
          <w:p>
            <w:pPr>
              <w:spacing w:after="0"/>
              <w:rPr>
                <w:sz w:val="1"/>
                <w:szCs w:val="1"/>
                <w:color w:val="auto"/>
              </w:rPr>
            </w:pPr>
          </w:p>
        </w:tc>
      </w:tr>
      <w:tr>
        <w:trPr>
          <w:trHeight w:val="255"/>
        </w:trPr>
        <w:tc>
          <w:tcPr>
            <w:tcW w:w="76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167,640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119,699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148,214</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387,154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246,852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392,054</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Long-term capital lease obligations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Deferred gains and other long-term liabilities</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8,446</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28,524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15,172</w:t>
            </w:r>
          </w:p>
        </w:tc>
        <w:tc>
          <w:tcPr>
            <w:tcW w:w="0" w:type="dxa"/>
            <w:vAlign w:val="bottom"/>
          </w:tcPr>
          <w:p>
            <w:pPr>
              <w:spacing w:after="0"/>
              <w:rPr>
                <w:sz w:val="1"/>
                <w:szCs w:val="1"/>
                <w:color w:val="auto"/>
              </w:rPr>
            </w:pPr>
          </w:p>
        </w:tc>
      </w:tr>
      <w:tr>
        <w:trPr>
          <w:trHeight w:val="255"/>
        </w:trPr>
        <w:tc>
          <w:tcPr>
            <w:tcW w:w="76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liabilities (2)(4)</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563,240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395,328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555,440</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Temporary equity:</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18,550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22,800</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6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Class A Non-voting Common Stock, par value $.01 per share; shares authorized: 100 million as of December 31, 2014;</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56 million as of December 31, 2013; and 100 million as of September 30, 2014; issued and outstanding: 50,680,358 as of</w:t>
            </w:r>
          </w:p>
        </w:tc>
        <w:tc>
          <w:tcPr>
            <w:tcW w:w="120" w:type="dxa"/>
            <w:vAlign w:val="bottom"/>
          </w:tcPr>
          <w:p>
            <w:pPr>
              <w:spacing w:after="0"/>
              <w:rPr>
                <w:sz w:val="12"/>
                <w:szCs w:val="12"/>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93"/>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December 31, 2014; 51,389,307 as of December 31, 2013; and 50,614,767 as of September 30, 2014</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60" w:type="dxa"/>
            <w:vAlign w:val="bottom"/>
            <w:shd w:val="clear" w:color="auto" w:fill="CCEEFF"/>
          </w:tcPr>
          <w:p>
            <w:pPr>
              <w:ind w:left="600"/>
              <w:spacing w:after="0" w:line="158" w:lineRule="exact"/>
              <w:rPr>
                <w:sz w:val="20"/>
                <w:szCs w:val="20"/>
                <w:color w:val="auto"/>
              </w:rPr>
            </w:pPr>
            <w:r>
              <w:rPr>
                <w:rFonts w:ascii="Times New Roman" w:cs="Times New Roman" w:eastAsia="Times New Roman" w:hAnsi="Times New Roman"/>
                <w:sz w:val="14"/>
                <w:szCs w:val="14"/>
                <w:color w:val="auto"/>
              </w:rPr>
              <w:t>Class B Voting Common Stock, convertible, par value $.01 per share; 3 million shares authorized; issued and outstanding:</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2,970,171</w:t>
            </w: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329,443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321,354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332,264</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521,198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599,978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509,586</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(28,516)</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(10,082)</w:t>
            </w:r>
          </w:p>
        </w:tc>
        <w:tc>
          <w:tcPr>
            <w:tcW w:w="0" w:type="dxa"/>
            <w:vAlign w:val="bottom"/>
          </w:tcPr>
          <w:p>
            <w:pPr>
              <w:spacing w:after="0"/>
              <w:rPr>
                <w:sz w:val="1"/>
                <w:szCs w:val="1"/>
                <w:color w:val="auto"/>
              </w:rPr>
            </w:pPr>
          </w:p>
        </w:tc>
      </w:tr>
      <w:tr>
        <w:trPr>
          <w:trHeight w:val="250"/>
        </w:trPr>
        <w:tc>
          <w:tcPr>
            <w:tcW w:w="76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EZCORP, Inc. stockholders’ equity</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822,661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918,698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832,304</w:t>
            </w:r>
          </w:p>
        </w:tc>
        <w:tc>
          <w:tcPr>
            <w:tcW w:w="0" w:type="dxa"/>
            <w:vAlign w:val="bottom"/>
          </w:tcPr>
          <w:p>
            <w:pPr>
              <w:spacing w:after="0"/>
              <w:rPr>
                <w:sz w:val="1"/>
                <w:szCs w:val="1"/>
                <w:color w:val="auto"/>
              </w:rPr>
            </w:pPr>
          </w:p>
        </w:tc>
      </w:tr>
      <w:tr>
        <w:trPr>
          <w:trHeight w:val="242"/>
        </w:trPr>
        <w:tc>
          <w:tcPr>
            <w:tcW w:w="76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1,404,451</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1,359,851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1,410,544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interim condensed consolidated financial statements.</w:t>
      </w:r>
    </w:p>
    <w:p>
      <w:pPr>
        <w:sectPr>
          <w:pgSz w:w="11900" w:h="16838" w:orient="portrait"/>
          <w:cols w:equalWidth="0" w:num="1">
            <w:col w:w="11420"/>
          </w:cols>
          <w:pgMar w:left="240" w:top="118" w:right="239"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121" w:right="1440"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Assets and Liabilities of Consolidated Variable Interest Entities (See Note 17)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Our consolidated assets as of December 31, 2014 and 2013 and September 30, 2014 include the following assets of our consolidated variable interest entities: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9"/>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7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1020" w:type="dxa"/>
            <w:vAlign w:val="bottom"/>
          </w:tcPr>
          <w:p>
            <w:pPr>
              <w:spacing w:after="0"/>
              <w:rPr>
                <w:sz w:val="23"/>
                <w:szCs w:val="23"/>
                <w:color w:val="auto"/>
              </w:rPr>
            </w:pPr>
          </w:p>
        </w:tc>
      </w:tr>
      <w:tr>
        <w:trPr>
          <w:trHeight w:val="208"/>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5"/>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1,921</w:t>
            </w:r>
          </w:p>
        </w:tc>
      </w:tr>
      <w:tr>
        <w:trPr>
          <w:trHeight w:val="265"/>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Consumer loans, net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3,393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16,465</w:t>
            </w:r>
          </w:p>
        </w:tc>
      </w:tr>
      <w:tr>
        <w:trPr>
          <w:trHeight w:val="275"/>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Consumer loan fees and interest receivable, net</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3,058</w:t>
            </w:r>
          </w:p>
        </w:tc>
      </w:tr>
      <w:tr>
        <w:trPr>
          <w:trHeight w:val="265"/>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Non-current consumer loans, net</w:t>
            </w:r>
          </w:p>
        </w:tc>
        <w:tc>
          <w:tcPr>
            <w:tcW w:w="1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36,297</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7,829</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35,780</w:t>
            </w:r>
          </w:p>
        </w:tc>
      </w:tr>
      <w:tr>
        <w:trPr>
          <w:trHeight w:val="242"/>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58,589</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57,224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Our consolidated liabilities as of December 31, 2014 and 2013 and September 30, 2014 include the following liabilities of our consolidated variable interest entities: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9"/>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7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1020" w:type="dxa"/>
            <w:vAlign w:val="bottom"/>
          </w:tcPr>
          <w:p>
            <w:pPr>
              <w:spacing w:after="0"/>
              <w:rPr>
                <w:sz w:val="23"/>
                <w:szCs w:val="23"/>
                <w:color w:val="auto"/>
              </w:rPr>
            </w:pPr>
          </w:p>
        </w:tc>
      </w:tr>
      <w:tr>
        <w:trPr>
          <w:trHeight w:val="275"/>
        </w:trPr>
        <w:tc>
          <w:tcPr>
            <w:tcW w:w="7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2,105</w:t>
            </w:r>
          </w:p>
        </w:tc>
      </w:tr>
      <w:tr>
        <w:trPr>
          <w:trHeight w:val="265"/>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6,778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25,438</w:t>
            </w:r>
          </w:p>
        </w:tc>
      </w:tr>
      <w:tr>
        <w:trPr>
          <w:trHeight w:val="27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63,125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11,563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35,624</w:t>
            </w:r>
          </w:p>
        </w:tc>
      </w:tr>
      <w:tr>
        <w:trPr>
          <w:trHeight w:val="242"/>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116,175</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63,167</w:t>
            </w:r>
          </w:p>
        </w:tc>
      </w:tr>
      <w:tr>
        <w:trPr>
          <w:trHeight w:val="20"/>
        </w:trPr>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Assets and Liabilities of Grupo Finmart Securitization Trust</w:t>
      </w:r>
    </w:p>
    <w:p>
      <w:pPr>
        <w:spacing w:after="0" w:line="192" w:lineRule="exact"/>
        <w:rPr>
          <w:sz w:val="20"/>
          <w:szCs w:val="20"/>
          <w:color w:val="auto"/>
        </w:rPr>
      </w:pPr>
    </w:p>
    <w:p>
      <w:pPr>
        <w:ind w:right="540" w:firstLine="8"/>
        <w:spacing w:after="0" w:line="362" w:lineRule="auto"/>
        <w:tabs>
          <w:tab w:leader="none" w:pos="20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consolidated assets as of December 31, 2014 and 2013 and September 30, 2014 include the following assets of Grupo Finmart’s Securitization trust that can only be used to settle its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9"/>
        </w:trPr>
        <w:tc>
          <w:tcPr>
            <w:tcW w:w="7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5"/>
        </w:trPr>
        <w:tc>
          <w:tcPr>
            <w:tcW w:w="7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23,592</w:t>
            </w:r>
          </w:p>
        </w:tc>
      </w:tr>
      <w:tr>
        <w:trPr>
          <w:trHeight w:val="26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Consumer loans,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34,123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41,588</w:t>
            </w:r>
          </w:p>
        </w:tc>
      </w:tr>
      <w:tr>
        <w:trPr>
          <w:trHeight w:val="275"/>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Consumer loan fees and interest receivable,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7,060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5,489</w:t>
            </w:r>
          </w:p>
        </w:tc>
      </w:tr>
      <w:tr>
        <w:trPr>
          <w:trHeight w:val="26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r>
      <w:tr>
        <w:trPr>
          <w:trHeight w:val="270"/>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 net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2,847</w:t>
            </w:r>
          </w:p>
        </w:tc>
      </w:tr>
      <w:tr>
        <w:trPr>
          <w:trHeight w:val="242"/>
        </w:trPr>
        <w:tc>
          <w:tcPr>
            <w:tcW w:w="7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65,131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47,370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73,649</w:t>
            </w: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0" w:firstLine="8"/>
        <w:spacing w:after="0" w:line="362"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consolidated liabilities as of December 31, 2014 and 2013 and September 30, 2014 include the following liabilities for which the creditors of Grupo Finmart’s securitization trust do not have recourse to the general credit of EZCORP, Inc.: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9"/>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5"/>
        </w:trPr>
        <w:tc>
          <w:tcPr>
            <w:tcW w:w="7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32,147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54,045</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interim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3500" w:type="dxa"/>
            <w:vAlign w:val="bottom"/>
            <w:tcBorders>
              <w:bottom w:val="single" w:sz="8" w:color="auto"/>
            </w:tcBorders>
            <w:gridSpan w:val="4"/>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20" w:type="dxa"/>
            <w:vAlign w:val="bottom"/>
            <w:tcBorders>
              <w:bottom w:val="single" w:sz="8" w:color="auto"/>
            </w:tcBorders>
          </w:tcPr>
          <w:p>
            <w:pPr>
              <w:spacing w:after="0"/>
              <w:rPr>
                <w:sz w:val="16"/>
                <w:szCs w:val="16"/>
                <w:color w:val="auto"/>
              </w:rPr>
            </w:pPr>
          </w:p>
        </w:tc>
      </w:tr>
      <w:tr>
        <w:trPr>
          <w:trHeight w:val="385"/>
        </w:trPr>
        <w:tc>
          <w:tcPr>
            <w:tcW w:w="7200" w:type="dxa"/>
            <w:vAlign w:val="bottom"/>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spacing w:after="0"/>
              <w:rPr>
                <w:sz w:val="24"/>
                <w:szCs w:val="24"/>
                <w:color w:val="auto"/>
              </w:rPr>
            </w:pPr>
          </w:p>
        </w:tc>
      </w:tr>
      <w:tr>
        <w:trPr>
          <w:trHeight w:val="380"/>
        </w:trPr>
        <w:tc>
          <w:tcPr>
            <w:tcW w:w="7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20" w:type="dxa"/>
            <w:vAlign w:val="bottom"/>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24"/>
                <w:szCs w:val="24"/>
                <w:color w:val="auto"/>
              </w:rPr>
            </w:pPr>
          </w:p>
        </w:tc>
      </w:tr>
      <w:tr>
        <w:trPr>
          <w:trHeight w:val="270"/>
        </w:trPr>
        <w:tc>
          <w:tcPr>
            <w:tcW w:w="7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20" w:type="dxa"/>
            <w:vAlign w:val="bottom"/>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720" w:type="dxa"/>
            <w:vAlign w:val="bottom"/>
          </w:tcPr>
          <w:p>
            <w:pPr>
              <w:spacing w:after="0"/>
              <w:rPr>
                <w:sz w:val="23"/>
                <w:szCs w:val="23"/>
                <w:color w:val="auto"/>
              </w:rPr>
            </w:pPr>
          </w:p>
        </w:tc>
      </w:tr>
      <w:tr>
        <w:trPr>
          <w:trHeight w:val="208"/>
        </w:trPr>
        <w:tc>
          <w:tcPr>
            <w:tcW w:w="7200" w:type="dxa"/>
            <w:vAlign w:val="bottom"/>
          </w:tcPr>
          <w:p>
            <w:pPr>
              <w:spacing w:after="0"/>
              <w:rPr>
                <w:sz w:val="18"/>
                <w:szCs w:val="18"/>
                <w:color w:val="auto"/>
              </w:rPr>
            </w:pPr>
          </w:p>
        </w:tc>
        <w:tc>
          <w:tcPr>
            <w:tcW w:w="3500" w:type="dxa"/>
            <w:vAlign w:val="bottom"/>
            <w:gridSpan w:val="4"/>
          </w:tcPr>
          <w:p>
            <w:pPr>
              <w:jc w:val="center"/>
              <w:ind w:left="688"/>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720" w:type="dxa"/>
            <w:vAlign w:val="bottom"/>
          </w:tcPr>
          <w:p>
            <w:pPr>
              <w:spacing w:after="0"/>
              <w:rPr>
                <w:sz w:val="18"/>
                <w:szCs w:val="18"/>
                <w:color w:val="auto"/>
              </w:rPr>
            </w:pPr>
          </w:p>
        </w:tc>
      </w:tr>
      <w:tr>
        <w:trPr>
          <w:trHeight w:val="275"/>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5"/>
        </w:trPr>
        <w:tc>
          <w:tcPr>
            <w:tcW w:w="7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Merchandise sales</w:t>
            </w:r>
          </w:p>
        </w:tc>
        <w:tc>
          <w:tcPr>
            <w:tcW w:w="128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109,639</w:t>
            </w:r>
          </w:p>
        </w:tc>
        <w:tc>
          <w:tcPr>
            <w:tcW w:w="100" w:type="dxa"/>
            <w:vAlign w:val="bottom"/>
          </w:tcPr>
          <w:p>
            <w:pPr>
              <w:spacing w:after="0"/>
              <w:rPr>
                <w:sz w:val="23"/>
                <w:szCs w:val="23"/>
                <w:color w:val="auto"/>
              </w:rPr>
            </w:pPr>
          </w:p>
        </w:tc>
        <w:tc>
          <w:tcPr>
            <w:tcW w:w="13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105,587</w:t>
            </w:r>
          </w:p>
        </w:tc>
      </w:tr>
      <w:tr>
        <w:trPr>
          <w:trHeight w:val="27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Jewelry scrapping sales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18,534</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27,703</w:t>
            </w:r>
          </w:p>
        </w:tc>
      </w:tr>
      <w:tr>
        <w:trPr>
          <w:trHeight w:val="265"/>
        </w:trPr>
        <w:tc>
          <w:tcPr>
            <w:tcW w:w="7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Pawn service charges</w:t>
            </w:r>
          </w:p>
        </w:tc>
        <w:tc>
          <w:tcPr>
            <w:tcW w:w="12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64,927</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64,133</w:t>
            </w:r>
          </w:p>
        </w:tc>
      </w:tr>
      <w:tr>
        <w:trPr>
          <w:trHeight w:val="27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loan fees and interest</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58,847</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55,204</w:t>
            </w:r>
          </w:p>
        </w:tc>
      </w:tr>
      <w:tr>
        <w:trPr>
          <w:trHeight w:val="265"/>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revenues</w:t>
            </w:r>
          </w:p>
        </w:tc>
        <w:tc>
          <w:tcPr>
            <w:tcW w:w="1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1,129</w:t>
            </w:r>
          </w:p>
        </w:tc>
      </w:tr>
      <w:tr>
        <w:trPr>
          <w:trHeight w:val="255"/>
        </w:trPr>
        <w:tc>
          <w:tcPr>
            <w:tcW w:w="7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revenues</w:t>
            </w:r>
          </w:p>
        </w:tc>
        <w:tc>
          <w:tcPr>
            <w:tcW w:w="12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252,818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253,756</w:t>
            </w:r>
          </w:p>
        </w:tc>
      </w:tr>
      <w:tr>
        <w:trPr>
          <w:trHeight w:val="265"/>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Merchandise cost of goods sold</w:t>
            </w:r>
          </w:p>
        </w:tc>
        <w:tc>
          <w:tcPr>
            <w:tcW w:w="12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72,478</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64,141</w:t>
            </w:r>
          </w:p>
        </w:tc>
      </w:tr>
      <w:tr>
        <w:trPr>
          <w:trHeight w:val="275"/>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Jewelry scrapping cost of goods sold</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14,675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20,020</w:t>
            </w:r>
          </w:p>
        </w:tc>
      </w:tr>
      <w:tr>
        <w:trPr>
          <w:trHeight w:val="265"/>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Consumer loan bad debt</w:t>
            </w:r>
          </w:p>
        </w:tc>
        <w:tc>
          <w:tcPr>
            <w:tcW w:w="1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22,050</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18,188</w:t>
            </w:r>
          </w:p>
        </w:tc>
      </w:tr>
      <w:tr>
        <w:trPr>
          <w:trHeight w:val="255"/>
        </w:trPr>
        <w:tc>
          <w:tcPr>
            <w:tcW w:w="7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revenues</w:t>
            </w:r>
          </w:p>
        </w:tc>
        <w:tc>
          <w:tcPr>
            <w:tcW w:w="12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143,615</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151,407</w:t>
            </w:r>
          </w:p>
        </w:tc>
      </w:tr>
      <w:tr>
        <w:trPr>
          <w:trHeight w:val="265"/>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Operations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103,694</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105,361</w:t>
            </w:r>
          </w:p>
        </w:tc>
      </w:tr>
      <w:tr>
        <w:trPr>
          <w:trHeight w:val="265"/>
        </w:trPr>
        <w:tc>
          <w:tcPr>
            <w:tcW w:w="7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Administrative</w:t>
            </w:r>
          </w:p>
        </w:tc>
        <w:tc>
          <w:tcPr>
            <w:tcW w:w="12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8,352</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15,724</w:t>
            </w:r>
          </w:p>
        </w:tc>
      </w:tr>
      <w:tr>
        <w:trPr>
          <w:trHeight w:val="27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7,340</w:t>
            </w:r>
          </w:p>
        </w:tc>
      </w:tr>
      <w:tr>
        <w:trPr>
          <w:trHeight w:val="265"/>
        </w:trPr>
        <w:tc>
          <w:tcPr>
            <w:tcW w:w="7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2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1,365</w:t>
            </w:r>
          </w:p>
        </w:tc>
      </w:tr>
      <w:tr>
        <w:trPr>
          <w:trHeight w:val="27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(gain) on sale or disposal of assets</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(6,290)</w:t>
            </w:r>
          </w:p>
        </w:tc>
      </w:tr>
      <w:tr>
        <w:trPr>
          <w:trHeight w:val="210"/>
        </w:trPr>
        <w:tc>
          <w:tcPr>
            <w:tcW w:w="72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121,335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123,500</w:t>
            </w:r>
          </w:p>
        </w:tc>
      </w:tr>
      <w:tr>
        <w:trPr>
          <w:trHeight w:val="255"/>
        </w:trPr>
        <w:tc>
          <w:tcPr>
            <w:tcW w:w="7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Operating income</w:t>
            </w:r>
          </w:p>
        </w:tc>
        <w:tc>
          <w:tcPr>
            <w:tcW w:w="12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22,280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27,907</w:t>
            </w:r>
          </w:p>
        </w:tc>
      </w:tr>
      <w:tr>
        <w:trPr>
          <w:trHeight w:val="265"/>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12,034</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5,051</w:t>
            </w:r>
          </w:p>
        </w:tc>
      </w:tr>
      <w:tr>
        <w:trPr>
          <w:trHeight w:val="275"/>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265"/>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net income of unconsolidated affiliates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70"/>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expense (income)</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50"/>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28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12,213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24,492</w:t>
            </w:r>
          </w:p>
        </w:tc>
      </w:tr>
      <w:tr>
        <w:trPr>
          <w:trHeight w:val="270"/>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3,578</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4,823</w:t>
            </w:r>
          </w:p>
        </w:tc>
      </w:tr>
      <w:tr>
        <w:trPr>
          <w:trHeight w:val="250"/>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net of tax</w:t>
            </w:r>
          </w:p>
        </w:tc>
        <w:tc>
          <w:tcPr>
            <w:tcW w:w="128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8,635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19,669</w:t>
            </w:r>
          </w:p>
        </w:tc>
      </w:tr>
      <w:tr>
        <w:trPr>
          <w:trHeight w:val="270"/>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r>
      <w:tr>
        <w:trPr>
          <w:trHeight w:val="250"/>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16,934</w:t>
            </w:r>
          </w:p>
        </w:tc>
      </w:tr>
      <w:tr>
        <w:trPr>
          <w:trHeight w:val="270"/>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from continuing operations attributable to redeemable noncontrolling interest</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r>
      <w:tr>
        <w:trPr>
          <w:trHeight w:val="255"/>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128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11,612</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18,730</w:t>
            </w:r>
          </w:p>
        </w:tc>
      </w:tr>
      <w:tr>
        <w:trPr>
          <w:trHeight w:val="251"/>
        </w:trPr>
        <w:tc>
          <w:tcPr>
            <w:tcW w:w="7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65"/>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Basic earnings (loss) per share attributable to EZCORP, Inc.:</w:t>
            </w: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7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Continuing operations</w:t>
            </w:r>
          </w:p>
        </w:tc>
        <w:tc>
          <w:tcPr>
            <w:tcW w:w="128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0.40</w:t>
            </w:r>
          </w:p>
        </w:tc>
      </w:tr>
      <w:tr>
        <w:trPr>
          <w:trHeight w:val="265"/>
        </w:trPr>
        <w:tc>
          <w:tcPr>
            <w:tcW w:w="72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42"/>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0.35</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1"/>
        </w:trPr>
        <w:tc>
          <w:tcPr>
            <w:tcW w:w="7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earnings (loss) per share attributable to EZCORP, Inc.:</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5"/>
        </w:trPr>
        <w:tc>
          <w:tcPr>
            <w:tcW w:w="72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Continuing operations</w:t>
            </w:r>
          </w:p>
        </w:tc>
        <w:tc>
          <w:tcPr>
            <w:tcW w:w="128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23"/>
                <w:szCs w:val="23"/>
                <w:color w:val="auto"/>
              </w:rPr>
            </w:pPr>
          </w:p>
        </w:tc>
        <w:tc>
          <w:tcPr>
            <w:tcW w:w="13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0.39</w:t>
            </w:r>
          </w:p>
        </w:tc>
      </w:tr>
      <w:tr>
        <w:trPr>
          <w:trHeight w:val="270"/>
        </w:trPr>
        <w:tc>
          <w:tcPr>
            <w:tcW w:w="7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82"/>
        </w:trPr>
        <w:tc>
          <w:tcPr>
            <w:tcW w:w="72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28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0.34</w:t>
            </w:r>
          </w:p>
        </w:tc>
      </w:tr>
      <w:tr>
        <w:trPr>
          <w:trHeight w:val="251"/>
        </w:trPr>
        <w:tc>
          <w:tcPr>
            <w:tcW w:w="7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65"/>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7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Basic</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53,650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54,332</w:t>
            </w:r>
          </w:p>
        </w:tc>
      </w:tr>
      <w:tr>
        <w:trPr>
          <w:trHeight w:val="265"/>
        </w:trPr>
        <w:tc>
          <w:tcPr>
            <w:tcW w:w="72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Diluted</w:t>
            </w:r>
          </w:p>
        </w:tc>
        <w:tc>
          <w:tcPr>
            <w:tcW w:w="12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53,698</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54,362</w:t>
            </w:r>
          </w:p>
        </w:tc>
      </w:tr>
      <w:tr>
        <w:trPr>
          <w:trHeight w:val="275"/>
        </w:trPr>
        <w:tc>
          <w:tcPr>
            <w:tcW w:w="7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5"/>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from continuing operations attributable to EZCORP, Inc.</w:t>
            </w:r>
          </w:p>
        </w:tc>
        <w:tc>
          <w:tcPr>
            <w:tcW w:w="128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10,569</w:t>
            </w:r>
          </w:p>
        </w:tc>
        <w:tc>
          <w:tcPr>
            <w:tcW w:w="100" w:type="dxa"/>
            <w:vAlign w:val="bottom"/>
          </w:tcPr>
          <w:p>
            <w:pPr>
              <w:spacing w:after="0"/>
              <w:rPr>
                <w:sz w:val="23"/>
                <w:szCs w:val="23"/>
                <w:color w:val="auto"/>
              </w:rPr>
            </w:pPr>
          </w:p>
        </w:tc>
        <w:tc>
          <w:tcPr>
            <w:tcW w:w="13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21,465</w:t>
            </w:r>
          </w:p>
        </w:tc>
      </w:tr>
      <w:tr>
        <w:trPr>
          <w:trHeight w:val="270"/>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attributable to EZCORP, Inc.</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r>
      <w:tr>
        <w:trPr>
          <w:trHeight w:val="242"/>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128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11,612</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18,730</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interim condensed consolidated financial statements.</w:t>
      </w:r>
    </w:p>
    <w:p>
      <w:pPr>
        <w:sectPr>
          <w:pgSz w:w="11900" w:h="16838" w:orient="portrait"/>
          <w:cols w:equalWidth="0" w:num="1">
            <w:col w:w="11420"/>
          </w:cols>
          <w:pgMar w:left="240" w:top="118" w:right="239" w:bottom="0"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 INCOME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40" w:type="dxa"/>
            <w:vAlign w:val="bottom"/>
          </w:tcPr>
          <w:p>
            <w:pPr>
              <w:spacing w:after="0"/>
              <w:rPr>
                <w:sz w:val="16"/>
                <w:szCs w:val="16"/>
                <w:color w:val="auto"/>
              </w:rPr>
            </w:pPr>
          </w:p>
        </w:tc>
        <w:tc>
          <w:tcPr>
            <w:tcW w:w="3440" w:type="dxa"/>
            <w:vAlign w:val="bottom"/>
            <w:tcBorders>
              <w:bottom w:val="single" w:sz="8" w:color="auto"/>
            </w:tcBorders>
            <w:gridSpan w:val="4"/>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7040" w:type="dxa"/>
            <w:vAlign w:val="bottom"/>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2014</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r>
      <w:tr>
        <w:trPr>
          <w:trHeight w:val="394"/>
        </w:trPr>
        <w:tc>
          <w:tcPr>
            <w:tcW w:w="7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gridSpan w:val="3"/>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Pr>
          <w:p>
            <w:pPr>
              <w:spacing w:after="0"/>
              <w:rPr>
                <w:sz w:val="24"/>
                <w:szCs w:val="24"/>
                <w:color w:val="auto"/>
              </w:rPr>
            </w:pPr>
          </w:p>
        </w:tc>
      </w:tr>
      <w:tr>
        <w:trPr>
          <w:trHeight w:val="270"/>
        </w:trPr>
        <w:tc>
          <w:tcPr>
            <w:tcW w:w="7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0" w:type="dxa"/>
            <w:vAlign w:val="bottom"/>
            <w:gridSpan w:val="3"/>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680" w:type="dxa"/>
            <w:vAlign w:val="bottom"/>
          </w:tcPr>
          <w:p>
            <w:pPr>
              <w:spacing w:after="0"/>
              <w:rPr>
                <w:sz w:val="23"/>
                <w:szCs w:val="23"/>
                <w:color w:val="auto"/>
              </w:rPr>
            </w:pPr>
          </w:p>
        </w:tc>
      </w:tr>
      <w:tr>
        <w:trPr>
          <w:trHeight w:val="208"/>
        </w:trPr>
        <w:tc>
          <w:tcPr>
            <w:tcW w:w="7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0" w:type="dxa"/>
            <w:vAlign w:val="bottom"/>
            <w:gridSpan w:val="3"/>
          </w:tcPr>
          <w:p>
            <w:pPr>
              <w:jc w:val="center"/>
              <w:ind w:right="44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8"/>
                <w:szCs w:val="18"/>
                <w:color w:val="auto"/>
              </w:rPr>
            </w:pPr>
          </w:p>
        </w:tc>
      </w:tr>
      <w:tr>
        <w:trPr>
          <w:trHeight w:val="275"/>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9,678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16,934</w:t>
            </w:r>
          </w:p>
        </w:tc>
      </w:tr>
      <w:tr>
        <w:trPr>
          <w:trHeight w:val="265"/>
        </w:trPr>
        <w:tc>
          <w:tcPr>
            <w:tcW w:w="7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5"/>
        </w:trPr>
        <w:tc>
          <w:tcPr>
            <w:tcW w:w="7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(loss) gain</w:t>
            </w:r>
          </w:p>
        </w:tc>
        <w:tc>
          <w:tcPr>
            <w:tcW w:w="1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(21,521)</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4,565</w:t>
            </w:r>
          </w:p>
        </w:tc>
      </w:tr>
      <w:tr>
        <w:trPr>
          <w:trHeight w:val="265"/>
        </w:trPr>
        <w:tc>
          <w:tcPr>
            <w:tcW w:w="7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flow hedges:</w:t>
            </w:r>
          </w:p>
        </w:tc>
        <w:tc>
          <w:tcPr>
            <w:tcW w:w="1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5"/>
        </w:trPr>
        <w:tc>
          <w:tcPr>
            <w:tcW w:w="7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Unrealized loss before reclassifications</w:t>
            </w:r>
          </w:p>
        </w:tc>
        <w:tc>
          <w:tcPr>
            <w:tcW w:w="1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65"/>
        </w:trPr>
        <w:tc>
          <w:tcPr>
            <w:tcW w:w="70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1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r>
      <w:tr>
        <w:trPr>
          <w:trHeight w:val="275"/>
        </w:trPr>
        <w:tc>
          <w:tcPr>
            <w:tcW w:w="7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Unrealized holding loss on available-for-sale arising during period</w:t>
            </w:r>
          </w:p>
        </w:tc>
        <w:tc>
          <w:tcPr>
            <w:tcW w:w="1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65"/>
        </w:trPr>
        <w:tc>
          <w:tcPr>
            <w:tcW w:w="70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250"/>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(20,750)</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3,592</w:t>
            </w:r>
          </w:p>
        </w:tc>
      </w:tr>
      <w:tr>
        <w:trPr>
          <w:trHeight w:val="250"/>
        </w:trPr>
        <w:tc>
          <w:tcPr>
            <w:tcW w:w="7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24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(11,072)</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20,526</w:t>
            </w:r>
          </w:p>
        </w:tc>
      </w:tr>
      <w:tr>
        <w:trPr>
          <w:trHeight w:val="269"/>
        </w:trPr>
        <w:tc>
          <w:tcPr>
            <w:tcW w:w="7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Attributable to redeemable noncontrolling interest:</w:t>
            </w:r>
          </w:p>
        </w:tc>
        <w:tc>
          <w:tcPr>
            <w:tcW w:w="1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5"/>
        </w:trPr>
        <w:tc>
          <w:tcPr>
            <w:tcW w:w="70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r>
      <w:tr>
        <w:trPr>
          <w:trHeight w:val="275"/>
        </w:trPr>
        <w:tc>
          <w:tcPr>
            <w:tcW w:w="7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Foreign currency translation (loss) gain</w:t>
            </w:r>
          </w:p>
        </w:tc>
        <w:tc>
          <w:tcPr>
            <w:tcW w:w="1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324</w:t>
            </w:r>
          </w:p>
        </w:tc>
      </w:tr>
      <w:tr>
        <w:trPr>
          <w:trHeight w:val="265"/>
        </w:trPr>
        <w:tc>
          <w:tcPr>
            <w:tcW w:w="70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1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loss attributable to redeemable noncontrolling interest</w:t>
            </w:r>
          </w:p>
        </w:tc>
        <w:tc>
          <w:tcPr>
            <w:tcW w:w="1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r>
      <w:tr>
        <w:trPr>
          <w:trHeight w:val="242"/>
        </w:trPr>
        <w:tc>
          <w:tcPr>
            <w:tcW w:w="7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(loss) income attributable to EZCORP, Inc.</w:t>
            </w:r>
          </w:p>
        </w:tc>
        <w:tc>
          <w:tcPr>
            <w:tcW w:w="124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21,998</w:t>
            </w:r>
          </w:p>
        </w:tc>
      </w:tr>
      <w:tr>
        <w:trPr>
          <w:trHeight w:val="20"/>
        </w:trPr>
        <w:tc>
          <w:tcPr>
            <w:tcW w:w="7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240" w:top="118" w:right="49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380"/>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24"/>
                <w:szCs w:val="24"/>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r>
      <w:tr>
        <w:trPr>
          <w:trHeight w:val="208"/>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left="62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8"/>
                <w:szCs w:val="18"/>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9,678</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16,934</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9,030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9,363</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Amortization (accretion) of debt discount (premium) and consumer loan premium (discount), net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Consumer loan loss provision</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7,590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11,231</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694</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890</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Amortization of prepaid commissions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3,013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2,226</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Loss (gain) on sale or disposal of assets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Stock compensation (benefit) expense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1,207</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Income from investments in unconsolidated affiliates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Service charges and fees receivable</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3,179</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Inventory</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Receivables. prepaid expenses, other current assets and other assets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(7,824)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(17,870)</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Accounts payable and other accrued expenses and deferred gains and other long-term liabilities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(8,488)</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Customer layaway deposits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Change in restricted cash</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Prepaid income taxes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4,099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2,544</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of restructuring charges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Dividends from unconsolidated affiliates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2,597</w:t>
            </w:r>
          </w:p>
        </w:tc>
      </w:tr>
      <w:tr>
        <w:trPr>
          <w:trHeight w:val="250"/>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13,491</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Loans made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(223,748)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(232,294)</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repaid</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166,771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154,576</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Recovery of pawn loan principal through sale of forfeited collateral</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69,886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64,776</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(8,954)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(5,615)</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(10,395)</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(12,140)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9,882</w:t>
            </w:r>
          </w:p>
        </w:tc>
      </w:tr>
      <w:tr>
        <w:trPr>
          <w:trHeight w:val="255"/>
        </w:trPr>
        <w:tc>
          <w:tcPr>
            <w:tcW w:w="8580" w:type="dxa"/>
            <w:vAlign w:val="bottom"/>
            <w:tcBorders>
              <w:top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(8,185)</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4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Payout of deferred and contingent consideration</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settlement of forward currency contracts</w:t>
            </w:r>
          </w:p>
        </w:tc>
        <w:tc>
          <w:tcPr>
            <w:tcW w:w="4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Change in restricted cash</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revolving line of credit</w:t>
            </w:r>
          </w:p>
        </w:tc>
        <w:tc>
          <w:tcPr>
            <w:tcW w:w="4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80,887</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Payments on revolving line of credit</w:t>
            </w:r>
          </w:p>
        </w:tc>
        <w:tc>
          <w:tcPr>
            <w:tcW w:w="4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(74,908)</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4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35,838</w:t>
            </w:r>
          </w:p>
        </w:tc>
      </w:tr>
      <w:tr>
        <w:trPr>
          <w:trHeight w:val="270"/>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Payments on borrowings and capital lease obligations</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(34,650)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(18,289)</w:t>
            </w:r>
          </w:p>
        </w:tc>
      </w:tr>
      <w:tr>
        <w:trPr>
          <w:trHeight w:val="250"/>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6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9,102</w:t>
            </w: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r>
      <w:tr>
        <w:trPr>
          <w:trHeight w:val="250"/>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46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3,589</w:t>
            </w: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55,325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29,100</w:t>
            </w:r>
          </w:p>
        </w:tc>
      </w:tr>
      <w:tr>
        <w:trPr>
          <w:trHeight w:val="282"/>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77,599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32,689</w:t>
            </w:r>
          </w:p>
        </w:tc>
      </w:tr>
      <w:tr>
        <w:trPr>
          <w:trHeight w:val="264"/>
        </w:trPr>
        <w:tc>
          <w:tcPr>
            <w:tcW w:w="85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Pawn loans forfeited and transferred to inventory</w:t>
            </w:r>
          </w:p>
        </w:tc>
        <w:tc>
          <w:tcPr>
            <w:tcW w:w="4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66,699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63,256</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consideration</w:t>
            </w:r>
          </w:p>
        </w:tc>
        <w:tc>
          <w:tcPr>
            <w:tcW w:w="4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5,350</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Contingent consideration</w:t>
            </w:r>
          </w:p>
        </w:tc>
        <w:tc>
          <w:tcPr>
            <w:tcW w:w="4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4,792</w:t>
            </w:r>
          </w:p>
        </w:tc>
      </w:tr>
      <w:tr>
        <w:trPr>
          <w:trHeight w:val="260"/>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Note receivable from sale of assets</w:t>
            </w:r>
          </w:p>
        </w:tc>
        <w:tc>
          <w:tcPr>
            <w:tcW w:w="4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interim condensed consolidated 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7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EZCORP, Inc.</w:t>
            </w:r>
          </w:p>
        </w:tc>
        <w:tc>
          <w:tcPr>
            <w:tcW w:w="0" w:type="dxa"/>
            <w:vAlign w:val="bottom"/>
          </w:tcPr>
          <w:p>
            <w:pPr>
              <w:spacing w:after="0"/>
              <w:rPr>
                <w:sz w:val="1"/>
                <w:szCs w:val="1"/>
                <w:color w:val="auto"/>
              </w:rPr>
            </w:pPr>
          </w:p>
        </w:tc>
      </w:tr>
      <w:tr>
        <w:trPr>
          <w:trHeight w:val="165"/>
        </w:trPr>
        <w:tc>
          <w:tcPr>
            <w:tcW w:w="470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102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80"/>
        </w:trPr>
        <w:tc>
          <w:tcPr>
            <w:tcW w:w="4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11"/>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(Unaudited, except balances as of September 30, 2014 and 2013)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20" w:type="dxa"/>
            <w:vAlign w:val="bottom"/>
            <w:gridSpan w:val="5"/>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as of September 30, 2013</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54,240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320,537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581,248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895,883</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 compensation</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Release of restricted stock</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Tax deficiency of stock compensation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Effective portion of cash flow hedge</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3,375</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18,730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18,730</w:t>
            </w:r>
          </w:p>
        </w:tc>
        <w:tc>
          <w:tcPr>
            <w:tcW w:w="0" w:type="dxa"/>
            <w:vAlign w:val="bottom"/>
          </w:tcPr>
          <w:p>
            <w:pPr>
              <w:spacing w:after="0"/>
              <w:rPr>
                <w:sz w:val="1"/>
                <w:szCs w:val="1"/>
                <w:color w:val="auto"/>
              </w:rPr>
            </w:pPr>
          </w:p>
        </w:tc>
      </w:tr>
      <w:tr>
        <w:trPr>
          <w:trHeight w:val="242"/>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as of December 31, 2013</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321,354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599,978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918,698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as of September 30, 2014</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53,585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332,264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509,586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832,304</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 compensation benefit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Release of restricted stock</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Tax deficiency of stock compensation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(18,700)</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11,612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11,612</w:t>
            </w:r>
          </w:p>
        </w:tc>
        <w:tc>
          <w:tcPr>
            <w:tcW w:w="0" w:type="dxa"/>
            <w:vAlign w:val="bottom"/>
          </w:tcPr>
          <w:p>
            <w:pPr>
              <w:spacing w:after="0"/>
              <w:rPr>
                <w:sz w:val="1"/>
                <w:szCs w:val="1"/>
                <w:color w:val="auto"/>
              </w:rPr>
            </w:pPr>
          </w:p>
        </w:tc>
      </w:tr>
      <w:tr>
        <w:trPr>
          <w:trHeight w:val="242"/>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as of December 31, 2014 (As Restated)</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53,650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329,443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521,198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822,661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interim condensed consolidated 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49" w:lineRule="exact"/>
        <w:rPr>
          <w:sz w:val="20"/>
          <w:szCs w:val="20"/>
          <w:color w:val="auto"/>
        </w:rPr>
      </w:pPr>
    </w:p>
    <w:p>
      <w:pPr>
        <w:ind w:right="40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1: ORGANIZATION AND SUMMARY OF SIGNIFICANT ACCOUNTING POLICIES </w:t>
      </w:r>
      <w:r>
        <w:rPr>
          <w:rFonts w:ascii="Times New Roman" w:cs="Times New Roman" w:eastAsia="Times New Roman" w:hAnsi="Times New Roman"/>
          <w:sz w:val="18"/>
          <w:szCs w:val="18"/>
          <w:i w:val="1"/>
          <w:iCs w:val="1"/>
          <w:color w:val="auto"/>
        </w:rPr>
        <w:t>Organization</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leading provider of specialty consumer financial services. With approximately 7,000 teammates and approximately 1,400 locations and branches, we provide collateralized, non-recourse loans, commonly known as pawn loans, and a variety of short-term and long-term consumer loans including single-payment and multiple-payment unsecured loans and single-payment and multiple-payment auto title loans, or fee-based credit services to customers seeking loans in the United States, Mexico and Canada.</w:t>
      </w:r>
    </w:p>
    <w:p>
      <w:pPr>
        <w:spacing w:after="0" w:line="12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In addition, we are the franchisor for four Cash Converters stores in Canada pursuant to our acquisition of the Cash Converters master franchise in that country. We also own approximately 32% of Cash Converters International Limited ("Cash Converters International"), which is based in Australia and franchises and operates a worldwide network of over 750 locations that provide financial services and buy and sell second-hand goods.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3). Furthermore, certain reclassifications of prior period amounts have been made to conform to the current period presentation. These reclassifications did not have a material impact on our financial position, results of operations or cash flows.</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should be read in conjunction with the consolidated financial statements and notes included in our Amended Annual Report on Form 10-K/A for the year ended September 30, 2014. The balance sheet as of September 30, 2014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months ended December 31, 2014 (the "current quarter") are not necessarily indicative of the results of operations for the full fiscal year.</w:t>
      </w:r>
    </w:p>
    <w:p>
      <w:pPr>
        <w:spacing w:after="0" w:line="13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EZCORP, Inc. ("EZCORP") and its consolidated subsidiaries. All inter-company accounts and transactions have been eliminated in consolidation.</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2014, we owned 76% of the outstanding equity interests in Prestaciones Finmart, S.A.P.I. de C.V., SOFOM, E.N.R. ("Grupo Finmart"), doing business under the brands "Crediamigo" and "Adex," and 59% of Renueva Comercial S.A.P.I. de C.V. ("TUYO"), and therefore, include their results in our condensed consolidated financial statements.</w:t>
      </w:r>
    </w:p>
    <w:p>
      <w:pPr>
        <w:spacing w:after="0" w:line="12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 Grupo Finmart has completed several transfers of consumer loans to various securitization trusts. We consolidate those securitization trusts under the VIE model. See Note 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account for our investment in Cash Converters International using the equity method.</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significant accounting policies as described in our Amended Annual Report on Form 10-K/A for the year ended September 30, 2014.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and Assumptions</w:t>
      </w:r>
    </w:p>
    <w:p>
      <w:pPr>
        <w:spacing w:after="0" w:line="17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30" w:lineRule="exact"/>
        <w:rPr>
          <w:sz w:val="20"/>
          <w:szCs w:val="20"/>
          <w:color w:val="auto"/>
        </w:rPr>
      </w:pPr>
    </w:p>
    <w:p>
      <w:pPr>
        <w:ind w:right="40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2: RESTATEMENT OF CONDENSED CONSOLIDATED FINANCIAL STATEMENTS </w:t>
      </w:r>
      <w:r>
        <w:rPr>
          <w:rFonts w:ascii="Times New Roman" w:cs="Times New Roman" w:eastAsia="Times New Roman" w:hAnsi="Times New Roman"/>
          <w:sz w:val="18"/>
          <w:szCs w:val="18"/>
          <w:i w:val="1"/>
          <w:iCs w:val="1"/>
          <w:color w:val="auto"/>
        </w:rPr>
        <w:t>Correction of Accounting Errors</w:t>
      </w:r>
    </w:p>
    <w:p>
      <w:pPr>
        <w:spacing w:after="0" w:line="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Subsequent to the filing of our Quarterly Report on Form 10-Q for the fiscal quarter ended December 31, 2014, management identified the following accounting errors relating to the Company’s Grupo Finmart loan portfolio:</w:t>
      </w:r>
    </w:p>
    <w:p>
      <w:pPr>
        <w:spacing w:after="0" w:line="108" w:lineRule="exact"/>
        <w:rPr>
          <w:sz w:val="20"/>
          <w:szCs w:val="20"/>
          <w:color w:val="auto"/>
        </w:rPr>
      </w:pPr>
    </w:p>
    <w:p>
      <w:pPr>
        <w:ind w:left="660" w:right="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2014 and the first quarter of fiscal 2015, Grupo Finmart completed six structured asset sales pursuant to which a portion of Grupo Finmart’s consumer loan portfolio was sold to special purpose trusts for the benefit of third parties. These transactions were previously accounted for as sales. Management has now concluded that the special purpose trusts should be consolidated variable interest entities and the transactions should be accounted for as transfers of financial assets to those consolidated variable interest entities. See Note 17.</w:t>
      </w:r>
    </w:p>
    <w:p>
      <w:pPr>
        <w:spacing w:after="0" w:line="1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also concluded that the Company has incorrectly accounted for accrued interest revenue and bad debt expense on loans with respect to which Grupo Finmart was not currently receiving payments (“non-performing” loans). Specifically:</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determined that the non-performing loans included out-of-payroll loans that had not been correctly classified and recognized as such, causing an understatement of bad debt expense and an overstatement of accrued interest revenue;</w:t>
      </w:r>
    </w:p>
    <w:p>
      <w:pPr>
        <w:spacing w:after="0" w:line="107" w:lineRule="exact"/>
        <w:rPr>
          <w:rFonts w:ascii="Times New Roman" w:cs="Times New Roman" w:eastAsia="Times New Roman" w:hAnsi="Times New Roman"/>
          <w:sz w:val="18"/>
          <w:szCs w:val="18"/>
          <w:color w:val="auto"/>
        </w:rPr>
      </w:pPr>
    </w:p>
    <w:p>
      <w:pPr>
        <w:ind w:left="1300" w:right="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determined it was appropriate to (1) accrue and recognize interest income over the period that payments are expected to be received rather than over the stated term of the loan and (2) apply a 100% reserve policy on in-payroll loans that have been in non-performing status for 180 consecutive days; and</w:t>
      </w:r>
    </w:p>
    <w:p>
      <w:pPr>
        <w:spacing w:after="0" w:line="12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determined it was appropriate to expense certain brokerage commission costs as incurred rather than amortize those costs over future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Restatement Adjustments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to correcting the accounting errors discussed above, our restated financial statements for the affected periods include adjustments for certain other accounting errors. When the financial statements were originally issued, we assessed the impact of these errors and concluded that they were not material to the financial statements for the affected periods. However, in conjunction with the restatement of our financial statements to correct the errors described above, we have determined that it is appropriate to make adjustments for all such previously unrecorded errors. These adjustments for the first quarter of fiscal 2015 are primarily to correct for immaterial timing differences related to stock compensation charges, impairment charges and inventory reserve estimates.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Restatement Adjustments on Unaudited Quarterly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the restatement adjustments for the first quarter of fiscal 2015 (ended December 31, 2014):</w:t>
      </w:r>
    </w:p>
    <w:p>
      <w:pPr>
        <w:spacing w:after="0" w:line="31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 December</w:t>
            </w:r>
          </w:p>
        </w:tc>
        <w:tc>
          <w:tcPr>
            <w:tcW w:w="0" w:type="dxa"/>
            <w:vAlign w:val="bottom"/>
          </w:tcPr>
          <w:p>
            <w:pPr>
              <w:spacing w:after="0"/>
              <w:rPr>
                <w:sz w:val="1"/>
                <w:szCs w:val="1"/>
                <w:color w:val="auto"/>
              </w:rPr>
            </w:pPr>
          </w:p>
        </w:tc>
      </w:tr>
      <w:tr>
        <w:trPr>
          <w:trHeight w:val="195"/>
        </w:trPr>
        <w:tc>
          <w:tcPr>
            <w:tcW w:w="8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31, 2014</w:t>
            </w:r>
          </w:p>
        </w:tc>
        <w:tc>
          <w:tcPr>
            <w:tcW w:w="0" w:type="dxa"/>
            <w:vAlign w:val="bottom"/>
          </w:tcPr>
          <w:p>
            <w:pPr>
              <w:spacing w:after="0"/>
              <w:rPr>
                <w:sz w:val="1"/>
                <w:szCs w:val="1"/>
                <w:color w:val="auto"/>
              </w:rPr>
            </w:pPr>
          </w:p>
        </w:tc>
      </w:tr>
      <w:tr>
        <w:trPr>
          <w:trHeight w:val="196"/>
        </w:trPr>
        <w:tc>
          <w:tcPr>
            <w:tcW w:w="8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 (as previously reported)</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20,435</w:t>
            </w:r>
          </w:p>
        </w:tc>
        <w:tc>
          <w:tcPr>
            <w:tcW w:w="0" w:type="dxa"/>
            <w:vAlign w:val="bottom"/>
          </w:tcPr>
          <w:p>
            <w:pPr>
              <w:spacing w:after="0"/>
              <w:rPr>
                <w:sz w:val="1"/>
                <w:szCs w:val="1"/>
                <w:color w:val="auto"/>
              </w:rPr>
            </w:pPr>
          </w:p>
        </w:tc>
      </w:tr>
      <w:tr>
        <w:trPr>
          <w:trHeight w:val="243"/>
        </w:trPr>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sale impact</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Portfolio review impact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0" w:type="dxa"/>
            <w:vAlign w:val="bottom"/>
          </w:tcPr>
          <w:p>
            <w:pPr>
              <w:spacing w:after="0"/>
              <w:rPr>
                <w:sz w:val="1"/>
                <w:szCs w:val="1"/>
                <w:color w:val="auto"/>
              </w:rPr>
            </w:pPr>
          </w:p>
        </w:tc>
      </w:tr>
      <w:tr>
        <w:trPr>
          <w:trHeight w:val="243"/>
        </w:trPr>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impacts</w:t>
            </w:r>
          </w:p>
        </w:tc>
        <w:tc>
          <w:tcPr>
            <w:tcW w:w="2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impact of adjustments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0" w:type="dxa"/>
            <w:vAlign w:val="bottom"/>
          </w:tcPr>
          <w:p>
            <w:pPr>
              <w:spacing w:after="0"/>
              <w:rPr>
                <w:sz w:val="1"/>
                <w:szCs w:val="1"/>
                <w:color w:val="auto"/>
              </w:rPr>
            </w:pPr>
          </w:p>
        </w:tc>
      </w:tr>
      <w:tr>
        <w:trPr>
          <w:trHeight w:val="257"/>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 (as restated)</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12,213</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520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118" w:right="6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effects of the restatement on our unaudited condensed consolidated financial statements as of and for the quarter ended December 31, 2014 are set forth below.</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4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77,599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77,599</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60,218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60,218</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Pawn loans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150,930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150,930</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Consumer loans, net</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62,380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61,347</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Pawn service charges receivable,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30,241</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Consumer loan fees and interest receivable, net</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13,199</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Inventory,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133,986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132,659</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Deferred tax asset</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17,572</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Prepaid income taxes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23,790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29,033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52,823</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Receivables, prepaid expenses and other current assets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34,195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34,075</w:t>
            </w: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622,552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630,663</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99,219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99,219</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104,353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104,353</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4,310</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337,498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337,498</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60,739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62,077</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Non-current consumer loans,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36,449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41,913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78,362</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tax asset</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10,617</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75,489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77,352</w:t>
            </w: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1,351,383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53,068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1,404,451</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24,789</w:t>
            </w:r>
          </w:p>
        </w:tc>
        <w:tc>
          <w:tcPr>
            <w:tcW w:w="12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50,043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74,832</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Current capital lease obligations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80,314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81,417</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Customer layaway deposits</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5,133</w:t>
            </w:r>
          </w:p>
        </w:tc>
        <w:tc>
          <w:tcPr>
            <w:tcW w:w="0" w:type="dxa"/>
            <w:vAlign w:val="bottom"/>
          </w:tcPr>
          <w:p>
            <w:pPr>
              <w:spacing w:after="0"/>
              <w:rPr>
                <w:sz w:val="1"/>
                <w:szCs w:val="1"/>
                <w:color w:val="auto"/>
              </w:rPr>
            </w:pPr>
          </w:p>
        </w:tc>
      </w:tr>
      <w:tr>
        <w:trPr>
          <w:trHeight w:val="215"/>
        </w:trPr>
        <w:tc>
          <w:tcPr>
            <w:tcW w:w="7660" w:type="dxa"/>
            <w:vAlign w:val="bottom"/>
            <w:tcBorders>
              <w:top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116,494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51,146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167,640</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324,029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63,125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387,154</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Long-term capital lease obligations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Deferred gains and other long-term liabilities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10,803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8,446</w:t>
            </w: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451,326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111,914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563,240</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Temporary equity:</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31,868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18,550</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6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Class A Non-voting Common Stock, par value $.01 per share; shares authorized: 100 million as of December 31, 2014;</w:t>
            </w:r>
          </w:p>
        </w:tc>
        <w:tc>
          <w:tcPr>
            <w:tcW w:w="140" w:type="dxa"/>
            <w:vAlign w:val="bottom"/>
          </w:tcPr>
          <w:p>
            <w:pPr>
              <w:spacing w:after="0"/>
              <w:rPr>
                <w:sz w:val="13"/>
                <w:szCs w:val="13"/>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93"/>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issued and outstanding: 50,680,358 as of December 31, 2014</w:t>
            </w: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60" w:type="dxa"/>
            <w:vAlign w:val="bottom"/>
            <w:shd w:val="clear" w:color="auto" w:fill="CCEEFF"/>
          </w:tcPr>
          <w:p>
            <w:pPr>
              <w:ind w:left="600"/>
              <w:spacing w:after="0" w:line="158" w:lineRule="exact"/>
              <w:rPr>
                <w:sz w:val="20"/>
                <w:szCs w:val="20"/>
                <w:color w:val="auto"/>
              </w:rPr>
            </w:pPr>
            <w:r>
              <w:rPr>
                <w:rFonts w:ascii="Times New Roman" w:cs="Times New Roman" w:eastAsia="Times New Roman" w:hAnsi="Times New Roman"/>
                <w:sz w:val="14"/>
                <w:szCs w:val="14"/>
                <w:color w:val="auto"/>
              </w:rPr>
              <w:t>Class B Voting Common Stock, convertible, par value $.01 per share; 3 million shares authorized; issued and outstanding:</w:t>
            </w: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2,970,171</w:t>
            </w: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338,667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329,443</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562,437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521,198</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(33,451)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4,935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(28,516)</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EZCORP, Inc.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868,189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822,661</w:t>
            </w:r>
          </w:p>
        </w:tc>
        <w:tc>
          <w:tcPr>
            <w:tcW w:w="0" w:type="dxa"/>
            <w:vAlign w:val="bottom"/>
          </w:tcPr>
          <w:p>
            <w:pPr>
              <w:spacing w:after="0"/>
              <w:rPr>
                <w:sz w:val="1"/>
                <w:szCs w:val="1"/>
                <w:color w:val="auto"/>
              </w:rPr>
            </w:pPr>
          </w:p>
        </w:tc>
      </w:tr>
      <w:tr>
        <w:trPr>
          <w:trHeight w:val="215"/>
        </w:trPr>
        <w:tc>
          <w:tcPr>
            <w:tcW w:w="76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1,351,383</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53,068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1,404,451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617"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617"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6"/>
          </w:tcPr>
          <w:p>
            <w:pPr>
              <w:jc w:val="center"/>
              <w:ind w:left="1188"/>
              <w:spacing w:after="0"/>
              <w:rPr>
                <w:sz w:val="20"/>
                <w:szCs w:val="20"/>
                <w:color w:val="auto"/>
              </w:rPr>
            </w:pPr>
            <w:r>
              <w:rPr>
                <w:rFonts w:ascii="Times New Roman" w:cs="Times New Roman" w:eastAsia="Times New Roman" w:hAnsi="Times New Roman"/>
                <w:sz w:val="14"/>
                <w:szCs w:val="14"/>
                <w:b w:val="1"/>
                <w:bCs w:val="1"/>
                <w:color w:val="auto"/>
              </w:rPr>
              <w:t>Three Months Ended December 31, 2014</w:t>
            </w:r>
          </w:p>
        </w:tc>
        <w:tc>
          <w:tcPr>
            <w:tcW w:w="1380" w:type="dxa"/>
            <w:vAlign w:val="bottom"/>
            <w:tcBorders>
              <w:bottom w:val="single" w:sz="8" w:color="auto"/>
            </w:tcBorders>
          </w:tcPr>
          <w:p>
            <w:pPr>
              <w:spacing w:after="0"/>
              <w:rPr>
                <w:sz w:val="16"/>
                <w:szCs w:val="16"/>
                <w:color w:val="auto"/>
              </w:rPr>
            </w:pPr>
          </w:p>
        </w:tc>
      </w:tr>
      <w:tr>
        <w:trPr>
          <w:trHeight w:val="245"/>
        </w:trPr>
        <w:tc>
          <w:tcPr>
            <w:tcW w:w="5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gridSpan w:val="6"/>
          </w:tcPr>
          <w:p>
            <w:pPr>
              <w:jc w:val="center"/>
              <w:ind w:left="1208"/>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380" w:type="dxa"/>
            <w:vAlign w:val="bottom"/>
          </w:tcPr>
          <w:p>
            <w:pPr>
              <w:spacing w:after="0"/>
              <w:rPr>
                <w:sz w:val="17"/>
                <w:szCs w:val="17"/>
                <w:color w:val="auto"/>
              </w:rPr>
            </w:pPr>
          </w:p>
        </w:tc>
      </w:tr>
      <w:tr>
        <w:trPr>
          <w:trHeight w:val="424"/>
        </w:trPr>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Restatement Adjustments</w:t>
            </w:r>
          </w:p>
        </w:tc>
        <w:tc>
          <w:tcPr>
            <w:tcW w:w="380" w:type="dxa"/>
            <w:vAlign w:val="bottom"/>
          </w:tcPr>
          <w:p>
            <w:pPr>
              <w:spacing w:after="0"/>
              <w:rPr>
                <w:sz w:val="24"/>
                <w:szCs w:val="24"/>
                <w:color w:val="auto"/>
              </w:rPr>
            </w:pPr>
          </w:p>
        </w:tc>
        <w:tc>
          <w:tcPr>
            <w:tcW w:w="13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75"/>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5"/>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Merchandise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109,639</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109,639</w:t>
            </w:r>
          </w:p>
        </w:tc>
      </w:tr>
      <w:tr>
        <w:trPr>
          <w:trHeight w:val="27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Jewelry scrapping sales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18,534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18,534</w:t>
            </w:r>
          </w:p>
        </w:tc>
      </w:tr>
      <w:tr>
        <w:trPr>
          <w:trHeight w:val="265"/>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Pawn service charges</w:t>
            </w:r>
          </w:p>
        </w:tc>
        <w:tc>
          <w:tcPr>
            <w:tcW w:w="14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64,927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64,927</w:t>
            </w:r>
          </w:p>
        </w:tc>
      </w:tr>
      <w:tr>
        <w:trPr>
          <w:trHeight w:val="27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loan fees and interest</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52,232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6,615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58,847</w:t>
            </w:r>
          </w:p>
        </w:tc>
      </w:tr>
      <w:tr>
        <w:trPr>
          <w:trHeight w:val="265"/>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revenues</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7,312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871</w:t>
            </w:r>
          </w:p>
        </w:tc>
      </w:tr>
      <w:tr>
        <w:trPr>
          <w:trHeight w:val="255"/>
        </w:trPr>
        <w:tc>
          <w:tcPr>
            <w:tcW w:w="5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252,644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252,818</w:t>
            </w:r>
          </w:p>
        </w:tc>
      </w:tr>
      <w:tr>
        <w:trPr>
          <w:trHeight w:val="265"/>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Merchandise cost of goods sold</w:t>
            </w:r>
          </w:p>
        </w:tc>
        <w:tc>
          <w:tcPr>
            <w:tcW w:w="14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72,388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72,478</w:t>
            </w:r>
          </w:p>
        </w:tc>
      </w:tr>
      <w:tr>
        <w:trPr>
          <w:trHeight w:val="275"/>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Jewelry scrapping cost of goods sold</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14,675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14,675</w:t>
            </w:r>
          </w:p>
        </w:tc>
      </w:tr>
      <w:tr>
        <w:trPr>
          <w:trHeight w:val="265"/>
        </w:trPr>
        <w:tc>
          <w:tcPr>
            <w:tcW w:w="5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Consumer loan bad debt</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15,251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6,799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22,050</w:t>
            </w:r>
          </w:p>
        </w:tc>
      </w:tr>
      <w:tr>
        <w:trPr>
          <w:trHeight w:val="255"/>
        </w:trPr>
        <w:tc>
          <w:tcPr>
            <w:tcW w:w="5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revenues</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150,330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143,615</w:t>
            </w:r>
          </w:p>
        </w:tc>
      </w:tr>
      <w:tr>
        <w:trPr>
          <w:trHeight w:val="265"/>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Operations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103,656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103,694</w:t>
            </w:r>
          </w:p>
        </w:tc>
      </w:tr>
      <w:tr>
        <w:trPr>
          <w:trHeight w:val="265"/>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Administrative</w:t>
            </w:r>
          </w:p>
        </w:tc>
        <w:tc>
          <w:tcPr>
            <w:tcW w:w="14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8,352</w:t>
            </w:r>
          </w:p>
        </w:tc>
      </w:tr>
      <w:tr>
        <w:trPr>
          <w:trHeight w:val="27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7,573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7,573</w:t>
            </w:r>
          </w:p>
        </w:tc>
      </w:tr>
      <w:tr>
        <w:trPr>
          <w:trHeight w:val="265"/>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1,457</w:t>
            </w:r>
          </w:p>
        </w:tc>
      </w:tr>
      <w:tr>
        <w:trPr>
          <w:trHeight w:val="27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sale or disposal of assets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w:t>
            </w:r>
          </w:p>
        </w:tc>
      </w:tr>
      <w:tr>
        <w:trPr>
          <w:trHeight w:val="250"/>
        </w:trPr>
        <w:tc>
          <w:tcPr>
            <w:tcW w:w="56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123,119</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121,335</w:t>
            </w:r>
          </w:p>
        </w:tc>
      </w:tr>
      <w:tr>
        <w:trPr>
          <w:trHeight w:val="255"/>
        </w:trPr>
        <w:tc>
          <w:tcPr>
            <w:tcW w:w="5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22,280</w:t>
            </w:r>
          </w:p>
        </w:tc>
      </w:tr>
      <w:tr>
        <w:trPr>
          <w:trHeight w:val="265"/>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12,034</w:t>
            </w:r>
          </w:p>
        </w:tc>
      </w:tr>
      <w:tr>
        <w:trPr>
          <w:trHeight w:val="275"/>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r>
      <w:tr>
        <w:trPr>
          <w:trHeight w:val="265"/>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net income of unconsolidated affiliates</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r>
      <w:tr>
        <w:trPr>
          <w:trHeight w:val="270"/>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expense</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759</w:t>
            </w:r>
          </w:p>
        </w:tc>
      </w:tr>
      <w:tr>
        <w:trPr>
          <w:trHeight w:val="250"/>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4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12,213</w:t>
            </w:r>
          </w:p>
        </w:tc>
      </w:tr>
      <w:tr>
        <w:trPr>
          <w:trHeight w:val="270"/>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6,365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3,578</w:t>
            </w:r>
          </w:p>
        </w:tc>
      </w:tr>
      <w:tr>
        <w:trPr>
          <w:trHeight w:val="250"/>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net of tax</w:t>
            </w:r>
          </w:p>
        </w:tc>
        <w:tc>
          <w:tcPr>
            <w:tcW w:w="14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8,635</w:t>
            </w:r>
          </w:p>
        </w:tc>
      </w:tr>
      <w:tr>
        <w:trPr>
          <w:trHeight w:val="270"/>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1,043</w:t>
            </w:r>
          </w:p>
        </w:tc>
      </w:tr>
      <w:tr>
        <w:trPr>
          <w:trHeight w:val="250"/>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15,113</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9,678</w:t>
            </w:r>
          </w:p>
        </w:tc>
      </w:tr>
      <w:tr>
        <w:trPr>
          <w:trHeight w:val="270"/>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from continuing operations attributable to redeemable noncontrolling interest</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r>
      <w:tr>
        <w:trPr>
          <w:trHeight w:val="282"/>
        </w:trPr>
        <w:tc>
          <w:tcPr>
            <w:tcW w:w="5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15,260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11,612</w:t>
            </w:r>
          </w:p>
        </w:tc>
      </w:tr>
      <w:tr>
        <w:trPr>
          <w:trHeight w:val="251"/>
        </w:trPr>
        <w:tc>
          <w:tcPr>
            <w:tcW w:w="5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65"/>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Basic earnings per share attributable to EZCORP, Inc.:</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5"/>
        </w:trPr>
        <w:tc>
          <w:tcPr>
            <w:tcW w:w="5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0.20</w:t>
            </w:r>
          </w:p>
        </w:tc>
      </w:tr>
      <w:tr>
        <w:trPr>
          <w:trHeight w:val="265"/>
        </w:trPr>
        <w:tc>
          <w:tcPr>
            <w:tcW w:w="5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4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0.02</w:t>
            </w:r>
          </w:p>
        </w:tc>
      </w:tr>
      <w:tr>
        <w:trPr>
          <w:trHeight w:val="242"/>
        </w:trPr>
        <w:tc>
          <w:tcPr>
            <w:tcW w:w="56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5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earnings per share attributable to EZCORP, Inc.:</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5"/>
        </w:trPr>
        <w:tc>
          <w:tcPr>
            <w:tcW w:w="5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0.26</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0.20</w:t>
            </w:r>
          </w:p>
        </w:tc>
      </w:tr>
      <w:tr>
        <w:trPr>
          <w:trHeight w:val="270"/>
        </w:trPr>
        <w:tc>
          <w:tcPr>
            <w:tcW w:w="5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0.02</w:t>
            </w:r>
          </w:p>
        </w:tc>
      </w:tr>
      <w:tr>
        <w:trPr>
          <w:trHeight w:val="282"/>
        </w:trPr>
        <w:tc>
          <w:tcPr>
            <w:tcW w:w="56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0.28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r>
      <w:tr>
        <w:trPr>
          <w:trHeight w:val="251"/>
        </w:trPr>
        <w:tc>
          <w:tcPr>
            <w:tcW w:w="5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65"/>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from continuing operations attributable to EZCORP, Inc.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14,217</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10,569</w:t>
            </w:r>
          </w:p>
        </w:tc>
      </w:tr>
      <w:tr>
        <w:trPr>
          <w:trHeight w:val="270"/>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discontinued operations attributable to EZCORP, Inc.</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1,043</w:t>
            </w:r>
          </w:p>
        </w:tc>
      </w:tr>
      <w:tr>
        <w:trPr>
          <w:trHeight w:val="242"/>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15,260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11,612</w:t>
            </w: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40" w:top="118" w:right="499" w:bottom="1440" w:gutter="0" w:footer="0" w:header="0"/>
        </w:sect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240" w:top="118" w:right="49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COMPREHENSIVE (LOSS) INCOME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6"/>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Three Months Ended December 31, 2014</w:t>
            </w:r>
          </w:p>
        </w:tc>
        <w:tc>
          <w:tcPr>
            <w:tcW w:w="1320" w:type="dxa"/>
            <w:vAlign w:val="bottom"/>
            <w:tcBorders>
              <w:bottom w:val="single" w:sz="8" w:color="auto"/>
            </w:tcBorders>
          </w:tcPr>
          <w:p>
            <w:pPr>
              <w:spacing w:after="0"/>
              <w:rPr>
                <w:sz w:val="16"/>
                <w:szCs w:val="16"/>
                <w:color w:val="auto"/>
              </w:rPr>
            </w:pPr>
          </w:p>
        </w:tc>
      </w:tr>
      <w:tr>
        <w:trPr>
          <w:trHeight w:val="245"/>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3"/>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24"/>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Restatement Adjustments</w:t>
            </w:r>
          </w:p>
        </w:tc>
        <w:tc>
          <w:tcPr>
            <w:tcW w:w="260" w:type="dxa"/>
            <w:vAlign w:val="bottom"/>
          </w:tcPr>
          <w:p>
            <w:pPr>
              <w:spacing w:after="0"/>
              <w:rPr>
                <w:sz w:val="24"/>
                <w:szCs w:val="24"/>
                <w:color w:val="auto"/>
              </w:rPr>
            </w:pPr>
          </w:p>
        </w:tc>
        <w:tc>
          <w:tcPr>
            <w:tcW w:w="13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75"/>
        </w:trPr>
        <w:tc>
          <w:tcPr>
            <w:tcW w:w="5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15,113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9,678</w:t>
            </w:r>
          </w:p>
        </w:tc>
      </w:tr>
      <w:tr>
        <w:trPr>
          <w:trHeight w:val="265"/>
        </w:trPr>
        <w:tc>
          <w:tcPr>
            <w:tcW w:w="5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5"/>
        </w:trPr>
        <w:tc>
          <w:tcPr>
            <w:tcW w:w="5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(21,521)</w:t>
            </w:r>
          </w:p>
        </w:tc>
      </w:tr>
      <w:tr>
        <w:trPr>
          <w:trHeight w:val="265"/>
        </w:trPr>
        <w:tc>
          <w:tcPr>
            <w:tcW w:w="59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flow hedges:</w:t>
            </w: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5"/>
        </w:trPr>
        <w:tc>
          <w:tcPr>
            <w:tcW w:w="5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352</w:t>
            </w:r>
          </w:p>
        </w:tc>
      </w:tr>
      <w:tr>
        <w:trPr>
          <w:trHeight w:val="265"/>
        </w:trPr>
        <w:tc>
          <w:tcPr>
            <w:tcW w:w="5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Income tax benefit</w:t>
            </w:r>
          </w:p>
        </w:tc>
        <w:tc>
          <w:tcPr>
            <w:tcW w:w="1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2,050</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419</w:t>
            </w:r>
          </w:p>
        </w:tc>
      </w:tr>
      <w:tr>
        <w:trPr>
          <w:trHeight w:val="250"/>
        </w:trPr>
        <w:tc>
          <w:tcPr>
            <w:tcW w:w="5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(24,743)</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3,993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(20,750)</w:t>
            </w:r>
          </w:p>
        </w:tc>
      </w:tr>
      <w:tr>
        <w:trPr>
          <w:trHeight w:val="282"/>
        </w:trPr>
        <w:tc>
          <w:tcPr>
            <w:tcW w:w="5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(9,630)</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(11,072)</w:t>
            </w:r>
          </w:p>
        </w:tc>
      </w:tr>
      <w:tr>
        <w:trPr>
          <w:trHeight w:val="251"/>
        </w:trPr>
        <w:tc>
          <w:tcPr>
            <w:tcW w:w="5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Attributable to redeemable noncontrolling interest:</w:t>
            </w: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5"/>
        </w:trPr>
        <w:tc>
          <w:tcPr>
            <w:tcW w:w="59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w:t>
            </w:r>
          </w:p>
        </w:tc>
      </w:tr>
      <w:tr>
        <w:trPr>
          <w:trHeight w:val="275"/>
        </w:trPr>
        <w:tc>
          <w:tcPr>
            <w:tcW w:w="5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r>
      <w:tr>
        <w:trPr>
          <w:trHeight w:val="265"/>
        </w:trPr>
        <w:tc>
          <w:tcPr>
            <w:tcW w:w="59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160" w:type="dxa"/>
            <w:vAlign w:val="bottom"/>
          </w:tcPr>
          <w:p>
            <w:pPr>
              <w:spacing w:after="0"/>
              <w:rPr>
                <w:sz w:val="23"/>
                <w:szCs w:val="23"/>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w:t>
            </w:r>
          </w:p>
        </w:tc>
      </w:tr>
      <w:tr>
        <w:trPr>
          <w:trHeight w:val="250"/>
        </w:trPr>
        <w:tc>
          <w:tcPr>
            <w:tcW w:w="59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loss attributable to redeemable noncontrolling interest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r>
      <w:tr>
        <w:trPr>
          <w:trHeight w:val="242"/>
        </w:trPr>
        <w:tc>
          <w:tcPr>
            <w:tcW w:w="5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loss attributable to EZCORP, Inc.</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(6,822)</w:t>
            </w: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6"/>
          </w:tcPr>
          <w:p>
            <w:pPr>
              <w:jc w:val="center"/>
              <w:ind w:left="1208"/>
              <w:spacing w:after="0"/>
              <w:rPr>
                <w:sz w:val="20"/>
                <w:szCs w:val="20"/>
                <w:color w:val="auto"/>
              </w:rPr>
            </w:pPr>
            <w:r>
              <w:rPr>
                <w:rFonts w:ascii="Times New Roman" w:cs="Times New Roman" w:eastAsia="Times New Roman" w:hAnsi="Times New Roman"/>
                <w:sz w:val="14"/>
                <w:szCs w:val="14"/>
                <w:b w:val="1"/>
                <w:bCs w:val="1"/>
                <w:color w:val="auto"/>
              </w:rPr>
              <w:t>Three Months Ended December 31, 2014</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Restatement Adjustments</w:t>
            </w:r>
          </w:p>
        </w:tc>
        <w:tc>
          <w:tcPr>
            <w:tcW w:w="380" w:type="dxa"/>
            <w:vAlign w:val="bottom"/>
          </w:tcPr>
          <w:p>
            <w:pPr>
              <w:spacing w:after="0"/>
              <w:rPr>
                <w:sz w:val="23"/>
                <w:szCs w:val="23"/>
                <w:color w:val="auto"/>
              </w:rPr>
            </w:pPr>
          </w:p>
        </w:tc>
        <w:tc>
          <w:tcPr>
            <w:tcW w:w="14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15,113</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120" w:type="dxa"/>
            <w:vAlign w:val="bottom"/>
          </w:tcPr>
          <w:p>
            <w:pPr>
              <w:spacing w:after="0"/>
              <w:rPr>
                <w:sz w:val="23"/>
                <w:szCs w:val="23"/>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9,678</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23"/>
                <w:szCs w:val="23"/>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9,030</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Amortization of debt discount and consumer loan premium</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1,982</w:t>
            </w:r>
          </w:p>
        </w:tc>
        <w:tc>
          <w:tcPr>
            <w:tcW w:w="0" w:type="dxa"/>
            <w:vAlign w:val="bottom"/>
          </w:tcPr>
          <w:p>
            <w:pPr>
              <w:spacing w:after="0"/>
              <w:rPr>
                <w:sz w:val="1"/>
                <w:szCs w:val="1"/>
                <w:color w:val="auto"/>
              </w:rPr>
            </w:pPr>
          </w:p>
        </w:tc>
      </w:tr>
      <w:tr>
        <w:trPr>
          <w:trHeight w:val="265"/>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Consumer loan loss provision</w:t>
            </w:r>
          </w:p>
        </w:tc>
        <w:tc>
          <w:tcPr>
            <w:tcW w:w="180" w:type="dxa"/>
            <w:vAlign w:val="bottom"/>
          </w:tcPr>
          <w:p>
            <w:pPr>
              <w:spacing w:after="0"/>
              <w:rPr>
                <w:sz w:val="23"/>
                <w:szCs w:val="23"/>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7,590</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1,498</w:t>
            </w:r>
          </w:p>
        </w:tc>
        <w:tc>
          <w:tcPr>
            <w:tcW w:w="0" w:type="dxa"/>
            <w:vAlign w:val="bottom"/>
          </w:tcPr>
          <w:p>
            <w:pPr>
              <w:spacing w:after="0"/>
              <w:rPr>
                <w:sz w:val="1"/>
                <w:szCs w:val="1"/>
                <w:color w:val="auto"/>
              </w:rPr>
            </w:pPr>
          </w:p>
        </w:tc>
      </w:tr>
      <w:tr>
        <w:trPr>
          <w:trHeight w:val="265"/>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80" w:type="dxa"/>
            <w:vAlign w:val="bottom"/>
          </w:tcPr>
          <w:p>
            <w:pPr>
              <w:spacing w:after="0"/>
              <w:rPr>
                <w:sz w:val="23"/>
                <w:szCs w:val="23"/>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1,633</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Amortization of prepaid commissions</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3,013</w:t>
            </w:r>
          </w:p>
        </w:tc>
        <w:tc>
          <w:tcPr>
            <w:tcW w:w="0" w:type="dxa"/>
            <w:vAlign w:val="bottom"/>
          </w:tcPr>
          <w:p>
            <w:pPr>
              <w:spacing w:after="0"/>
              <w:rPr>
                <w:sz w:val="1"/>
                <w:szCs w:val="1"/>
                <w:color w:val="auto"/>
              </w:rPr>
            </w:pPr>
          </w:p>
        </w:tc>
      </w:tr>
      <w:tr>
        <w:trPr>
          <w:trHeight w:val="265"/>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Other adjustments</w:t>
            </w:r>
          </w:p>
        </w:tc>
        <w:tc>
          <w:tcPr>
            <w:tcW w:w="180" w:type="dxa"/>
            <w:vAlign w:val="bottom"/>
          </w:tcPr>
          <w:p>
            <w:pPr>
              <w:spacing w:after="0"/>
              <w:rPr>
                <w:sz w:val="23"/>
                <w:szCs w:val="23"/>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Loss on sale or disposal of assets</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65"/>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Gain on sale of loan portfolio</w:t>
            </w:r>
          </w:p>
        </w:tc>
        <w:tc>
          <w:tcPr>
            <w:tcW w:w="180" w:type="dxa"/>
            <w:vAlign w:val="bottom"/>
          </w:tcPr>
          <w:p>
            <w:pPr>
              <w:spacing w:after="0"/>
              <w:rPr>
                <w:sz w:val="23"/>
                <w:szCs w:val="23"/>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(6,576)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Stock compensation benefit</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0" w:type="dxa"/>
            <w:vAlign w:val="bottom"/>
          </w:tcPr>
          <w:p>
            <w:pPr>
              <w:spacing w:after="0"/>
              <w:rPr>
                <w:sz w:val="1"/>
                <w:szCs w:val="1"/>
                <w:color w:val="auto"/>
              </w:rPr>
            </w:pPr>
          </w:p>
        </w:tc>
      </w:tr>
      <w:tr>
        <w:trPr>
          <w:trHeight w:val="265"/>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Income from investments in unconsolidated affiliates</w:t>
            </w:r>
          </w:p>
        </w:tc>
        <w:tc>
          <w:tcPr>
            <w:tcW w:w="180" w:type="dxa"/>
            <w:vAlign w:val="bottom"/>
          </w:tcPr>
          <w:p>
            <w:pPr>
              <w:spacing w:after="0"/>
              <w:rPr>
                <w:sz w:val="23"/>
                <w:szCs w:val="23"/>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Tax provision from stock compensation</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5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 net of business acquisitions:</w:t>
            </w: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Service charges and fees receivable</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0" w:type="dxa"/>
            <w:vAlign w:val="bottom"/>
          </w:tcPr>
          <w:p>
            <w:pPr>
              <w:spacing w:after="0"/>
              <w:rPr>
                <w:sz w:val="1"/>
                <w:szCs w:val="1"/>
                <w:color w:val="auto"/>
              </w:rPr>
            </w:pPr>
          </w:p>
        </w:tc>
      </w:tr>
      <w:tr>
        <w:trPr>
          <w:trHeight w:val="265"/>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Inventory</w:t>
            </w:r>
          </w:p>
        </w:tc>
        <w:tc>
          <w:tcPr>
            <w:tcW w:w="180" w:type="dxa"/>
            <w:vAlign w:val="bottom"/>
          </w:tcPr>
          <w:p>
            <w:pPr>
              <w:spacing w:after="0"/>
              <w:rPr>
                <w:sz w:val="23"/>
                <w:szCs w:val="23"/>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Receivables. prepaid expenses, other current assets and other assets</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0" w:type="dxa"/>
            <w:vAlign w:val="bottom"/>
          </w:tcPr>
          <w:p>
            <w:pPr>
              <w:spacing w:after="0"/>
              <w:rPr>
                <w:sz w:val="1"/>
                <w:szCs w:val="1"/>
                <w:color w:val="auto"/>
              </w:rPr>
            </w:pPr>
          </w:p>
        </w:tc>
      </w:tr>
      <w:tr>
        <w:trPr>
          <w:trHeight w:val="153"/>
        </w:trPr>
        <w:tc>
          <w:tcPr>
            <w:tcW w:w="5720" w:type="dxa"/>
            <w:vAlign w:val="bottom"/>
          </w:tcPr>
          <w:p>
            <w:pPr>
              <w:ind w:left="720"/>
              <w:spacing w:after="0" w:line="153" w:lineRule="exact"/>
              <w:rPr>
                <w:sz w:val="20"/>
                <w:szCs w:val="20"/>
                <w:color w:val="auto"/>
              </w:rPr>
            </w:pPr>
            <w:r>
              <w:rPr>
                <w:rFonts w:ascii="Times New Roman" w:cs="Times New Roman" w:eastAsia="Times New Roman" w:hAnsi="Times New Roman"/>
                <w:sz w:val="14"/>
                <w:szCs w:val="14"/>
                <w:color w:val="auto"/>
              </w:rPr>
              <w:t>Accounts payable and other accrued expenses and deferred gains and other long-term</w:t>
            </w:r>
          </w:p>
        </w:tc>
        <w:tc>
          <w:tcPr>
            <w:tcW w:w="180" w:type="dxa"/>
            <w:vAlign w:val="bottom"/>
          </w:tcPr>
          <w:p>
            <w:pPr>
              <w:spacing w:after="0"/>
              <w:rPr>
                <w:sz w:val="13"/>
                <w:szCs w:val="13"/>
                <w:color w:val="auto"/>
              </w:rPr>
            </w:pPr>
          </w:p>
        </w:tc>
        <w:tc>
          <w:tcPr>
            <w:tcW w:w="1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(10,911)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(13,955)</w:t>
            </w:r>
          </w:p>
        </w:tc>
        <w:tc>
          <w:tcPr>
            <w:tcW w:w="0" w:type="dxa"/>
            <w:vAlign w:val="bottom"/>
          </w:tcPr>
          <w:p>
            <w:pPr>
              <w:spacing w:after="0"/>
              <w:rPr>
                <w:sz w:val="1"/>
                <w:szCs w:val="1"/>
                <w:color w:val="auto"/>
              </w:rPr>
            </w:pPr>
          </w:p>
        </w:tc>
      </w:tr>
      <w:tr>
        <w:trPr>
          <w:trHeight w:val="193"/>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Customer layaway deposits</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0" w:type="dxa"/>
            <w:vAlign w:val="bottom"/>
          </w:tcPr>
          <w:p>
            <w:pPr>
              <w:spacing w:after="0"/>
              <w:rPr>
                <w:sz w:val="1"/>
                <w:szCs w:val="1"/>
                <w:color w:val="auto"/>
              </w:rPr>
            </w:pPr>
          </w:p>
        </w:tc>
      </w:tr>
      <w:tr>
        <w:trPr>
          <w:trHeight w:val="265"/>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Deferred gains and other long-term liabilities</w:t>
            </w:r>
          </w:p>
        </w:tc>
        <w:tc>
          <w:tcPr>
            <w:tcW w:w="180" w:type="dxa"/>
            <w:vAlign w:val="bottom"/>
          </w:tcPr>
          <w:p>
            <w:pPr>
              <w:spacing w:after="0"/>
              <w:rPr>
                <w:sz w:val="23"/>
                <w:szCs w:val="23"/>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Change in restricted cash</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0" w:type="dxa"/>
            <w:vAlign w:val="bottom"/>
          </w:tcPr>
          <w:p>
            <w:pPr>
              <w:spacing w:after="0"/>
              <w:rPr>
                <w:sz w:val="1"/>
                <w:szCs w:val="1"/>
                <w:color w:val="auto"/>
              </w:rPr>
            </w:pPr>
          </w:p>
        </w:tc>
      </w:tr>
      <w:tr>
        <w:trPr>
          <w:trHeight w:val="265"/>
        </w:trPr>
        <w:tc>
          <w:tcPr>
            <w:tcW w:w="5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Prepaid income taxes</w:t>
            </w:r>
          </w:p>
        </w:tc>
        <w:tc>
          <w:tcPr>
            <w:tcW w:w="180" w:type="dxa"/>
            <w:vAlign w:val="bottom"/>
          </w:tcPr>
          <w:p>
            <w:pPr>
              <w:spacing w:after="0"/>
              <w:rPr>
                <w:sz w:val="23"/>
                <w:szCs w:val="23"/>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4,099</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Payments of restructuring charges</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0" w:type="dxa"/>
            <w:vAlign w:val="bottom"/>
          </w:tcPr>
          <w:p>
            <w:pPr>
              <w:spacing w:after="0"/>
              <w:rPr>
                <w:sz w:val="1"/>
                <w:szCs w:val="1"/>
                <w:color w:val="auto"/>
              </w:rPr>
            </w:pPr>
          </w:p>
        </w:tc>
      </w:tr>
      <w:tr>
        <w:trPr>
          <w:trHeight w:val="265"/>
        </w:trPr>
        <w:tc>
          <w:tcPr>
            <w:tcW w:w="5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Dividends from unconsolidated affiliates</w:t>
            </w:r>
          </w:p>
        </w:tc>
        <w:tc>
          <w:tcPr>
            <w:tcW w:w="180" w:type="dxa"/>
            <w:vAlign w:val="bottom"/>
          </w:tcPr>
          <w:p>
            <w:pPr>
              <w:spacing w:after="0"/>
              <w:rPr>
                <w:sz w:val="23"/>
                <w:szCs w:val="23"/>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255"/>
        </w:trPr>
        <w:tc>
          <w:tcPr>
            <w:tcW w:w="5720" w:type="dxa"/>
            <w:vAlign w:val="bottom"/>
            <w:tcBorders>
              <w:top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tcBorders>
              <w:top w:val="single" w:sz="8" w:color="auto"/>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10,935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5,682</w:t>
            </w:r>
          </w:p>
        </w:tc>
        <w:tc>
          <w:tcPr>
            <w:tcW w:w="0" w:type="dxa"/>
            <w:vAlign w:val="bottom"/>
          </w:tcPr>
          <w:p>
            <w:pPr>
              <w:spacing w:after="0"/>
              <w:rPr>
                <w:sz w:val="1"/>
                <w:szCs w:val="1"/>
                <w:color w:val="auto"/>
              </w:rPr>
            </w:pPr>
          </w:p>
        </w:tc>
      </w:tr>
      <w:tr>
        <w:trPr>
          <w:trHeight w:val="265"/>
        </w:trPr>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made</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(223,748)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(223,748)</w:t>
            </w:r>
          </w:p>
        </w:tc>
        <w:tc>
          <w:tcPr>
            <w:tcW w:w="0" w:type="dxa"/>
            <w:vAlign w:val="bottom"/>
          </w:tcPr>
          <w:p>
            <w:pPr>
              <w:spacing w:after="0"/>
              <w:rPr>
                <w:sz w:val="1"/>
                <w:szCs w:val="1"/>
                <w:color w:val="auto"/>
              </w:rPr>
            </w:pPr>
          </w:p>
        </w:tc>
      </w:tr>
      <w:tr>
        <w:trPr>
          <w:trHeight w:val="265"/>
        </w:trPr>
        <w:tc>
          <w:tcPr>
            <w:tcW w:w="5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Loans repaid</w:t>
            </w:r>
          </w:p>
        </w:tc>
        <w:tc>
          <w:tcPr>
            <w:tcW w:w="180" w:type="dxa"/>
            <w:vAlign w:val="bottom"/>
          </w:tcPr>
          <w:p>
            <w:pPr>
              <w:spacing w:after="0"/>
              <w:rPr>
                <w:sz w:val="23"/>
                <w:szCs w:val="23"/>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147,981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18,790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166,771</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Recovery of pawn loan principal through sale of forfeited collateral</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69,886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69,886</w:t>
            </w:r>
          </w:p>
        </w:tc>
        <w:tc>
          <w:tcPr>
            <w:tcW w:w="0" w:type="dxa"/>
            <w:vAlign w:val="bottom"/>
          </w:tcPr>
          <w:p>
            <w:pPr>
              <w:spacing w:after="0"/>
              <w:rPr>
                <w:sz w:val="1"/>
                <w:szCs w:val="1"/>
                <w:color w:val="auto"/>
              </w:rPr>
            </w:pPr>
          </w:p>
        </w:tc>
      </w:tr>
      <w:tr>
        <w:trPr>
          <w:trHeight w:val="265"/>
        </w:trPr>
        <w:tc>
          <w:tcPr>
            <w:tcW w:w="5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180" w:type="dxa"/>
            <w:vAlign w:val="bottom"/>
          </w:tcPr>
          <w:p>
            <w:pPr>
              <w:spacing w:after="0"/>
              <w:rPr>
                <w:sz w:val="23"/>
                <w:szCs w:val="23"/>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(12,140)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(12,140)</w:t>
            </w:r>
          </w:p>
        </w:tc>
        <w:tc>
          <w:tcPr>
            <w:tcW w:w="0" w:type="dxa"/>
            <w:vAlign w:val="bottom"/>
          </w:tcPr>
          <w:p>
            <w:pPr>
              <w:spacing w:after="0"/>
              <w:rPr>
                <w:sz w:val="1"/>
                <w:szCs w:val="1"/>
                <w:color w:val="auto"/>
              </w:rPr>
            </w:pPr>
          </w:p>
        </w:tc>
      </w:tr>
      <w:tr>
        <w:trPr>
          <w:trHeight w:val="265"/>
        </w:trPr>
        <w:tc>
          <w:tcPr>
            <w:tcW w:w="57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65,849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(65,849)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38,874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5"/>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Tax deficiency of stock compensation</w:t>
            </w:r>
          </w:p>
        </w:tc>
        <w:tc>
          <w:tcPr>
            <w:tcW w:w="7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5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74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75"/>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Payout of deferred and contingent consideration</w:t>
            </w:r>
          </w:p>
        </w:tc>
        <w:tc>
          <w:tcPr>
            <w:tcW w:w="7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265"/>
        </w:trPr>
        <w:tc>
          <w:tcPr>
            <w:tcW w:w="5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settlement of forward currency contracts</w:t>
            </w:r>
          </w:p>
        </w:tc>
        <w:tc>
          <w:tcPr>
            <w:tcW w:w="7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2,313</w:t>
            </w:r>
          </w:p>
        </w:tc>
      </w:tr>
      <w:tr>
        <w:trPr>
          <w:trHeight w:val="275"/>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Change in restricted cash</w:t>
            </w:r>
          </w:p>
        </w:tc>
        <w:tc>
          <w:tcPr>
            <w:tcW w:w="7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(1,840)</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r>
      <w:tr>
        <w:trPr>
          <w:trHeight w:val="265"/>
        </w:trPr>
        <w:tc>
          <w:tcPr>
            <w:tcW w:w="5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bank borrowings</w:t>
            </w:r>
          </w:p>
        </w:tc>
        <w:tc>
          <w:tcPr>
            <w:tcW w:w="7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62,951</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66,560</w:t>
            </w:r>
          </w:p>
        </w:tc>
      </w:tr>
      <w:tr>
        <w:trPr>
          <w:trHeight w:val="270"/>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Payments on bank borrowings and capital lease obligations</w:t>
            </w:r>
          </w:p>
        </w:tc>
        <w:tc>
          <w:tcPr>
            <w:tcW w:w="7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(23,805)</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(10,845)</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(34,650)</w:t>
            </w:r>
          </w:p>
        </w:tc>
      </w:tr>
      <w:tr>
        <w:trPr>
          <w:trHeight w:val="250"/>
        </w:trPr>
        <w:tc>
          <w:tcPr>
            <w:tcW w:w="5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740" w:type="dxa"/>
            <w:vAlign w:val="bottom"/>
          </w:tcPr>
          <w:p>
            <w:pPr>
              <w:spacing w:after="0"/>
              <w:rPr>
                <w:sz w:val="21"/>
                <w:szCs w:val="21"/>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(26,086)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53,318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27,232</w:t>
            </w:r>
          </w:p>
        </w:tc>
      </w:tr>
      <w:tr>
        <w:trPr>
          <w:trHeight w:val="270"/>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7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(2,453)</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r>
      <w:tr>
        <w:trPr>
          <w:trHeight w:val="250"/>
        </w:trPr>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74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21,270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22,274</w:t>
            </w:r>
          </w:p>
        </w:tc>
      </w:tr>
      <w:tr>
        <w:trPr>
          <w:trHeight w:val="270"/>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7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56,329</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55,325</w:t>
            </w:r>
          </w:p>
        </w:tc>
      </w:tr>
      <w:tr>
        <w:trPr>
          <w:trHeight w:val="282"/>
        </w:trPr>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77,599</w:t>
            </w:r>
          </w:p>
        </w:tc>
        <w:tc>
          <w:tcPr>
            <w:tcW w:w="120" w:type="dxa"/>
            <w:vAlign w:val="bottom"/>
          </w:tcPr>
          <w:p>
            <w:pPr>
              <w:spacing w:after="0"/>
              <w:rPr>
                <w:sz w:val="24"/>
                <w:szCs w:val="24"/>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77,599</w:t>
            </w:r>
          </w:p>
        </w:tc>
      </w:tr>
      <w:tr>
        <w:trPr>
          <w:trHeight w:val="264"/>
        </w:trPr>
        <w:tc>
          <w:tcPr>
            <w:tcW w:w="57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r>
      <w:tr>
        <w:trPr>
          <w:trHeight w:val="265"/>
        </w:trPr>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7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5"/>
        </w:trPr>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Pawn loans forfeited and transferred to inventory</w:t>
            </w:r>
          </w:p>
        </w:tc>
        <w:tc>
          <w:tcPr>
            <w:tcW w:w="74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66,699</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66,699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86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EZCORP, Inc.</w:t>
            </w: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9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3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100" w:type="dxa"/>
            <w:vAlign w:val="bottom"/>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80"/>
        </w:trPr>
        <w:tc>
          <w:tcPr>
            <w:tcW w:w="4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60" w:type="dxa"/>
            <w:vAlign w:val="bottom"/>
            <w:gridSpan w:val="1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(Unaudited, except balances as of September 30, 2014)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4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6"/>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as of September 30, 2014</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53,585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339,666</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547,177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875,188</w:t>
            </w:r>
          </w:p>
        </w:tc>
        <w:tc>
          <w:tcPr>
            <w:tcW w:w="0" w:type="dxa"/>
            <w:vAlign w:val="bottom"/>
          </w:tcPr>
          <w:p>
            <w:pPr>
              <w:spacing w:after="0"/>
              <w:rPr>
                <w:sz w:val="1"/>
                <w:szCs w:val="1"/>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 compensation benefit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Release of restricted stock</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Tax deficiency of stock compensation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(21,526)</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15,260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15,260</w:t>
            </w: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as of December 31, 2014</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53,650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338,667</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562,437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868,189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120" w:type="dxa"/>
            <w:vAlign w:val="bottom"/>
            <w:gridSpan w:val="6"/>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Restatement Adjustments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as of September 30, 2014</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(7,402)</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(42,884)</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compensation benefit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2,826</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0" w:type="dxa"/>
            <w:vAlign w:val="bottom"/>
          </w:tcPr>
          <w:p>
            <w:pPr>
              <w:spacing w:after="0"/>
              <w:rPr>
                <w:sz w:val="1"/>
                <w:szCs w:val="1"/>
                <w:color w:val="auto"/>
              </w:rPr>
            </w:pPr>
          </w:p>
        </w:tc>
      </w:tr>
      <w:tr>
        <w:trPr>
          <w:trHeight w:val="282"/>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as of December 31, 2014</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(9,224)</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4,935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(45,528)</w:t>
            </w:r>
          </w:p>
        </w:tc>
        <w:tc>
          <w:tcPr>
            <w:tcW w:w="0" w:type="dxa"/>
            <w:vAlign w:val="bottom"/>
          </w:tcPr>
          <w:p>
            <w:pPr>
              <w:spacing w:after="0"/>
              <w:rPr>
                <w:sz w:val="1"/>
                <w:szCs w:val="1"/>
                <w:color w:val="auto"/>
              </w:rPr>
            </w:pPr>
          </w:p>
        </w:tc>
      </w:tr>
      <w:tr>
        <w:trPr>
          <w:trHeight w:val="264"/>
        </w:trPr>
        <w:tc>
          <w:tcPr>
            <w:tcW w:w="436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as of September 30, 2014</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53,585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332,264</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509,586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832,304</w:t>
            </w:r>
          </w:p>
        </w:tc>
        <w:tc>
          <w:tcPr>
            <w:tcW w:w="0" w:type="dxa"/>
            <w:vAlign w:val="bottom"/>
          </w:tcPr>
          <w:p>
            <w:pPr>
              <w:spacing w:after="0"/>
              <w:rPr>
                <w:sz w:val="1"/>
                <w:szCs w:val="1"/>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 compensation benefit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Release of restricted stock</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Tax deficiency of stock compensation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(18,700)</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11,612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11,612</w:t>
            </w: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as of December 31, 2014</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53,650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329,443</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521,198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822,661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 AND RESTRUCTURING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2014, as part of our new strategy to concentrate on an integrated, customer-centric financial services model that is focused on our core businesses of pawn and unsecured lending, we implemented a plan to exit our online lending businesses in the United States and the United Kingdom. As a result of this plan, our online lending operations in the United States (EZOnline) and in the United Kingdom (Cash Genie) have been included as discontinued operations.</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2013, we implemented a plan to close 107 legacy stores in a variety of locations. These stores were generally older, smaller stores that did not fit our future growth profile.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2014 and 2013, accrued lease termination costs, severance costs and other costs related to discontinued operations were $7.8 million and $3.8 million, respectively. These amounts are included under "Accounts payable and other accrued expenses" in our condensed consolidated balance sheets. During the quarters ended December 31, 2014 and 2013, $0.7 million and $1.7 million, respectively, in cash payments were made with respect to the recorded lease termination costs, severance costs and other costs related to discontinued operations. During the quarter ended December 31, 2014, the balance of accrued lease termination costs, severance costs and others related to discontinued operations was adjusted by $0.4 million due to foreign currency effects and other individually immaterial adjustments.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 in the quarters ended December 31, 2014 and 2013 include $1.3 million and $8.9 million of total revenues, respectively.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9"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table below summarizes the income (loss) from discontinued operations by operating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9"/>
        </w:trPr>
        <w:tc>
          <w:tcPr>
            <w:tcW w:w="8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4"/>
        </w:trPr>
        <w:tc>
          <w:tcPr>
            <w:tcW w:w="8120" w:type="dxa"/>
            <w:vAlign w:val="bottom"/>
          </w:tcPr>
          <w:p>
            <w:pPr>
              <w:spacing w:after="0"/>
              <w:rPr>
                <w:sz w:val="22"/>
                <w:szCs w:val="22"/>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0"/>
        </w:trPr>
        <w:tc>
          <w:tcPr>
            <w:tcW w:w="8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23"/>
                <w:szCs w:val="23"/>
                <w:color w:val="auto"/>
              </w:rPr>
            </w:pPr>
          </w:p>
        </w:tc>
      </w:tr>
      <w:tr>
        <w:trPr>
          <w:trHeight w:val="25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&amp; Canada:</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4,402</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 from discontinued operations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termination benefits related to the reorganization</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867</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Latin America:</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 from discontinued operations before taxes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termination benefits related to the reorganization</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before taxes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1,195</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836</w:t>
            </w:r>
          </w:p>
        </w:tc>
      </w:tr>
      <w:tr>
        <w:trPr>
          <w:trHeight w:val="311"/>
        </w:trPr>
        <w:tc>
          <w:tcPr>
            <w:tcW w:w="8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International:</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4,402</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 from discontinued operations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termination costs related to the reorganization</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3,856</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9,733</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 from discontinued operations before taxes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termination benefits related to the reorganization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taxes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585</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All revenue, expense and income reported in these condensed consolidated financial statements have been adjusted to reflect reclassification of all discontinued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Restructuring</w:t>
      </w:r>
    </w:p>
    <w:p>
      <w:pPr>
        <w:spacing w:after="0" w:line="17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2014, we conducted a company-wide operational review to realign our organization to streamline operations and create synergies and efficiencies. The operational review resulted in the reduction of non-customer-facing overhead. Changes in the balance of restructuring costs during the quarter ended December 31, 2014 resulting from this initiative are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50"/>
        </w:trPr>
        <w:tc>
          <w:tcPr>
            <w:tcW w:w="9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center"/>
              <w:ind w:right="78"/>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6,121</w:t>
            </w:r>
          </w:p>
        </w:tc>
      </w:tr>
      <w:tr>
        <w:trPr>
          <w:trHeight w:val="243"/>
        </w:trPr>
        <w:tc>
          <w:tcPr>
            <w:tcW w:w="9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Charged to expense</w:t>
            </w:r>
          </w:p>
        </w:tc>
        <w:tc>
          <w:tcPr>
            <w:tcW w:w="160" w:type="dxa"/>
            <w:vAlign w:val="bottom"/>
          </w:tcPr>
          <w:p>
            <w:pPr>
              <w:spacing w:after="0"/>
              <w:rPr>
                <w:sz w:val="21"/>
                <w:szCs w:val="21"/>
                <w:color w:val="auto"/>
              </w:rPr>
            </w:pPr>
          </w:p>
        </w:tc>
        <w:tc>
          <w:tcPr>
            <w:tcW w:w="15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57"/>
        </w:trPr>
        <w:tc>
          <w:tcPr>
            <w:tcW w:w="9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3,858</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accrual for restructuring costs as of December 31, 2014 represents the amounts to be paid related to severance for employees that have been terminated or identified for termination as a result of the initiatives described above. We estimate we will make the remaining payments during fiscal 2015, at which time this initiative will be substantially complete. We continue to review the impact of these actions and will determine if, based on future operating results, additional actions to reduce operating expenses are necessary. The amount of any potential future charges for such actions will depend upon the nature, timing and extent of those actions.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two-class method is utilized for the computation of earnings per share. The two-class method requires a portion of net income to be allocated to participating securities, which are unvested awards of share-based payments with non-forfeitable rights to receive dividends or dividend equivalents, if declared. Income allocated to these participating securities is excluded from net earnings allocated to common shares. There were no participating securities outstanding during the quarters ended December 31, 2014 and 2013.</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on the basis of the weighted-average number of shares of common stock outstanding during the period. We compute diluted earnings per share on the basis of the weighted-average number of shares of common stock plus the effect of dilutive potential common shares outstanding during the period using the treasury stock method. Dilutive potential common shares include restricted stock awards and warrants.</w:t>
      </w:r>
    </w:p>
    <w:p>
      <w:pPr>
        <w:spacing w:after="0" w:line="12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Potential common shares are required to be excluded from the computation of diluted earnings per share if the assumed proceeds upon exercise or vest, as defined by Financial Accounting Standards Board ("FASB") Accounting Standards Codification ("ASC") 718-10-25, are greater than the cost to re-acquire the same number of shares at the average market price, and therefore the effect would be anti-dilutive.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83"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basic and diluted earnings per share and excluded anti-dilutive potential common shares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49"/>
        </w:trPr>
        <w:tc>
          <w:tcPr>
            <w:tcW w:w="8340" w:type="dxa"/>
            <w:vAlign w:val="bottom"/>
          </w:tcPr>
          <w:p>
            <w:pPr>
              <w:spacing w:after="0"/>
              <w:rPr>
                <w:sz w:val="12"/>
                <w:szCs w:val="12"/>
                <w:color w:val="auto"/>
              </w:rPr>
            </w:pPr>
          </w:p>
        </w:tc>
        <w:tc>
          <w:tcPr>
            <w:tcW w:w="16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 (See Note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90"/>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r>
      <w:tr>
        <w:trPr>
          <w:trHeight w:val="25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EZCORP (A)</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21,465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 (B)</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97"/>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income attributable to EZCORP (C)</w:t>
            </w: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18,730</w:t>
            </w:r>
          </w:p>
        </w:tc>
      </w:tr>
      <w:tr>
        <w:trPr>
          <w:trHeight w:val="311"/>
        </w:trPr>
        <w:tc>
          <w:tcPr>
            <w:tcW w:w="8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outstanding shares of common stock (D)</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54,332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effect of restricted stock</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Weighted-average common stock and common stock equivalents (E)</w:t>
            </w:r>
          </w:p>
        </w:tc>
        <w:tc>
          <w:tcPr>
            <w:tcW w:w="2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53,698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54,362</w:t>
            </w:r>
          </w:p>
        </w:tc>
      </w:tr>
      <w:tr>
        <w:trPr>
          <w:trHeight w:val="311"/>
        </w:trPr>
        <w:tc>
          <w:tcPr>
            <w:tcW w:w="8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share attributable to EZCORP:</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Continuing operations (A / D)</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0.40</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Discontinued operations (B / D)</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 earnings per share (C / D)</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EZCORP:</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operations (A / E)</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 (B / 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97"/>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 earnings per share (C / E)</w:t>
            </w: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0.34</w:t>
            </w:r>
          </w:p>
        </w:tc>
      </w:tr>
      <w:tr>
        <w:trPr>
          <w:trHeight w:val="311"/>
        </w:trPr>
        <w:tc>
          <w:tcPr>
            <w:tcW w:w="8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Potential common shares excluded from the calculation of diluted earnings per share: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potential common shares excluded</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STRATEGIC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Converters International Limited</w:t>
      </w:r>
    </w:p>
    <w:p>
      <w:pPr>
        <w:spacing w:after="0" w:line="1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of December 31, 2014, we owned 151,948,000 shares, or approximately 32%, of Cash Converters International, a company headquartered in Perth, Australia and publicly traded on the Australian Stock Exchange. Cash Converters International franchises and operates a worldwide network of over 750 specialty financial services and retail stores, with significant store concentrations in Australia and the United Kingdom, that buy and sell second-hand goods and provide pawn loans, short-term unsecured loans and other consumer finance products. Our initial total investment in Cash Converters International was acquired between November 2009 and November 2012 for approximately $68.8 million. An additional 15,100,000 shares were subsequently acquired in December 2014 for approximately $12.1 million in connection with a non-underwritten placement of 47,400,000 shares issued by Cash Converters International.</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account for our investment in Cash Converters International using the equity method. Since Cash Converters International’s fiscal year ends three months prior to ours, we report the income from this investment on a three month lag. Cash Converters International files semi-annual financial reports with the Australian Securities &amp; Investments Commission for its fiscal periods ending December 31 and June 30. Due to the three month lag, income reported for our three month periods ended December 31, 2014 and 2013 represents our percentage interest in the results of Cash Converters International’s operations from July 1, 2014 to September 30, 2014 and July 1, 2013 to September 30, 2013, respectively.</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quarters ended December 31, 2014 and 2013 our equity in Cash Converters International’s net income was $2.2 million and $2.4 million, respectively. Additionally, during the quarters ended December 31, 2014 and 2013 we recorded dividends from Cash Converters International of $2.4 million and $2.6 million, respectively.</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summary financial information for Cash Converters International’s most recently reported results after translation to U.S. dollars (using the exchange rate as of June 30 of each year for balance sheet items and average exchange rates for the income statement items for the periods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207,415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158,373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178,764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153,279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386,179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311,652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95,242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90,524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60,441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attributable to owners of the parent</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233,788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220,676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386,179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311,652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20"/>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Year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304,432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280,059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195,325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183,368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Profit for the period attributable to:</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Owners of the parent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22,206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33,754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Profit for the year (net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19,397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33,754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Converters International’s total assets increased 24% from June 30, 2013 to June 30, 2014 and its net income attributable to the owners of the parent decreased 34% for the fiscal year ended June 30, 2014, in U.S. dollars.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Albemarle &amp; Bond Holdings, PLC</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Prior to its bankruptcy reorganization, Albemarle &amp; Bond Holdings, PLC ("Albemarle &amp; Bond") was primarily engaged in pawnbroking, retail jewelry sales, check cashing and lending in the United Kingdom.</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Albemarle &amp; Bond’s fiscal year ended three months prior to ours; therefore, we reported the income from this investment on a three month lag. When it was a publicly traded reporting company on the London Stock Exchange, Albemarle &amp; Bond filed semi-annual financial reports for its fiscal periods ending December 31 and June 30. Due to the three month lag, income reported for our three month period ended December 31, 2013 represents our percentage interest in the results of Albemarle &amp; Bond’s operations from July 1, 2013 to September 30, 2013.</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March 2014, Albemarle &amp; Bond entered into bankruptcy reorganization in the United Kingdom, and on April 15, 2014 Albemarle &amp; Bond announced that the majority of its business and assets had been sold. In fiscal 2014 and 2013 we recognized other-than-temporary impairments of $7.9 million ($5.4 million, net of taxes) and $42.5 million ($28.7 million, net of taxes) which brought our carrying value of this investment to zero during the quarter ended June 30, 2014.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quarter ended March 31, 2014, we accounted for our investment in Albemarle &amp; Bond using the equity method.</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2013 our equity in Albemarle &amp; Bond’s net loss was $1.2 million. We received no dividends from Albemarle &amp; Bond during the quarter ended December 31, 2013.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for Cash Converters International as of December 31, 2014 and 2013 and September 30, 2014 was considered a Level 1 estimate within the fair value hierarchy of FASB ASC 820-10-50, and was calculated as (a) the quoted stock price on</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Australian Stock Exchange as of December 31, 2014 and 2013 and September 30, 2014 multiplied by (b) the number of shares we owned as of December 31, 2014 and 2013 and September 30, 2014 multiplied by (c) the applicable foreign currency exchange rate as of December 31, 2014 and 2013 and September 30, 2014. We included no control premium for owning a large percentage of outstanding shares.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was no fair value attributable to Albemarle &amp; Bond as of December 31, 2014 or September 30, 2014. The fair value for Albemarle &amp; Bond as of each of those dates was considered a Level 2 estimate within the fair value hierarchy of FASB ASC 820-10-50. We calculated the fair value based on Albemarle &amp; Bond's announcement of limited, if any, value available to the ordinary shares of its stock, which was considered to be an unobservable input insignificant to the overall determination of the Albemarle &amp; Bond fair value.</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fair value for Albemarle &amp; Bond as of December 31, 2013 was considered a Level 1 estimate within the fair value hierarchy of FASB ASC 820-10-50, and was calculated as (a) the quoted stock price on the London Stock Exchange multiplied by (b) the number of shares we owned multiplied by (c) the applicable foreign currency exchange rate at the date indicated. We included no control premium for owning a large percentage of outstanding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carrying amount and fair value of each of these strategic investments as of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39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39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80" w:type="dxa"/>
            <w:vAlign w:val="bottom"/>
          </w:tcPr>
          <w:p>
            <w:pPr>
              <w:spacing w:after="0"/>
              <w:rPr>
                <w:sz w:val="17"/>
                <w:szCs w:val="17"/>
                <w:color w:val="auto"/>
              </w:rPr>
            </w:pPr>
          </w:p>
        </w:tc>
      </w:tr>
      <w:tr>
        <w:trPr>
          <w:trHeight w:val="255"/>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Converters International:</w:t>
            </w:r>
          </w:p>
        </w:tc>
        <w:tc>
          <w:tcPr>
            <w:tcW w:w="3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3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Recorded value</w:t>
            </w:r>
          </w:p>
        </w:tc>
        <w:tc>
          <w:tcPr>
            <w:tcW w:w="3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99,219</w:t>
            </w:r>
          </w:p>
        </w:tc>
        <w:tc>
          <w:tcPr>
            <w:tcW w:w="6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89,522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91,781</w:t>
            </w:r>
          </w:p>
        </w:tc>
      </w:tr>
      <w:tr>
        <w:trPr>
          <w:trHeight w:val="27"/>
        </w:trPr>
        <w:tc>
          <w:tcPr>
            <w:tcW w:w="39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Fair value</w:t>
            </w:r>
          </w:p>
        </w:tc>
        <w:tc>
          <w:tcPr>
            <w:tcW w:w="3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123,932</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128,956</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Albemarle &amp; Bond:</w:t>
            </w:r>
          </w:p>
        </w:tc>
        <w:tc>
          <w:tcPr>
            <w:tcW w:w="3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Recorded value</w:t>
            </w:r>
          </w:p>
        </w:tc>
        <w:tc>
          <w:tcPr>
            <w:tcW w:w="3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Fair value</w:t>
            </w:r>
          </w:p>
        </w:tc>
        <w:tc>
          <w:tcPr>
            <w:tcW w:w="3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3940" w:type="dxa"/>
            <w:vAlign w:val="bottom"/>
          </w:tcPr>
          <w:p>
            <w:pPr>
              <w:spacing w:after="0"/>
              <w:rPr>
                <w:sz w:val="24"/>
                <w:szCs w:val="24"/>
                <w:color w:val="auto"/>
              </w:rPr>
            </w:pPr>
          </w:p>
        </w:tc>
        <w:tc>
          <w:tcPr>
            <w:tcW w:w="31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of goodwill and each major class of intangible assets as of the specified dates: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70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 (See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0"/>
        </w:trPr>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8"/>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337,498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434,835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346,577</w:t>
            </w:r>
          </w:p>
        </w:tc>
      </w:tr>
      <w:tr>
        <w:trPr>
          <w:trHeight w:val="324"/>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licenses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8,836</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6,990</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Domain name</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indefinite-lived intangible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15,839</w:t>
            </w:r>
          </w:p>
        </w:tc>
      </w:tr>
      <w:tr>
        <w:trPr>
          <w:trHeight w:val="318"/>
        </w:trPr>
        <w:tc>
          <w:tcPr>
            <w:tcW w:w="70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412"/>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Definite-lived intangible assets, net:</w:t>
            </w: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 finders’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Favorable lease</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517</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Franchise rights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1,222</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Contractual relationship</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13,222</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18,759</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15,143</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definite-lived intangible assets,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46,417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49,468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50,247</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7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62,077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66,749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66,086</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changes in the carrying value of goodwill over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U.S. &amp;</w:t>
            </w:r>
          </w:p>
        </w:tc>
        <w:tc>
          <w:tcPr>
            <w:tcW w:w="26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11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as of September 30, 2014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239,179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107,398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346,577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foreign currency translation changes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Balances as of December 31, 2014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239,179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98,319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337,498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U.S. &amp;</w:t>
            </w:r>
          </w:p>
        </w:tc>
        <w:tc>
          <w:tcPr>
            <w:tcW w:w="260" w:type="dxa"/>
            <w:vAlign w:val="bottom"/>
          </w:tcPr>
          <w:p>
            <w:pPr>
              <w:spacing w:after="0"/>
              <w:rPr>
                <w:sz w:val="23"/>
                <w:szCs w:val="2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Latin</w:t>
            </w: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23"/>
                <w:szCs w:val="23"/>
                <w:color w:val="auto"/>
              </w:rPr>
            </w:pPr>
          </w:p>
        </w:tc>
        <w:tc>
          <w:tcPr>
            <w:tcW w:w="11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5"/>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as of September 30,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110,209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39,892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433,300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foreign currency translation changes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Balances as of December 31,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110,882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40,754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434,835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ASC 350-20-35,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Subsequent Measurement</w:t>
      </w:r>
      <w:r>
        <w:rPr>
          <w:rFonts w:ascii="Times New Roman" w:cs="Times New Roman" w:eastAsia="Times New Roman" w:hAnsi="Times New Roman"/>
          <w:sz w:val="18"/>
          <w:szCs w:val="18"/>
          <w:color w:val="auto"/>
        </w:rPr>
        <w:t>, we test goodwill and intangible assets with an indefinite useful life for potential impairment annually, or more frequently when there are events or circumstances that indicate that it is more likely than not that an impairment exists. During the quarter ended December 31, 2014, we evaluated such events and circumstances and concluded that it was not "more likely than not" that a goodwill or intangible assets impairment existed. We will continue to monitor if an interim triggering event is present in subsequent periods, and we will perform our required annual impairment test in the fourth quarter of our fiscal year.</w:t>
      </w:r>
    </w:p>
    <w:p>
      <w:pPr>
        <w:sectPr>
          <w:pgSz w:w="11900" w:h="16838" w:orient="portrait"/>
          <w:cols w:equalWidth="0" w:num="1">
            <w:col w:w="11420"/>
          </w:cols>
          <w:pgMar w:left="240" w:top="118"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and classification of amortization recognized as expense in each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 in continuing operations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expense in discontinued operations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Operations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890</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expense from the amortization of definite-lived intangible assets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2,860</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estimate of the amount and classification of future amortization expense for definite-lived intangible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180" w:type="dxa"/>
            <w:vAlign w:val="bottom"/>
          </w:tcPr>
          <w:p>
            <w:pPr>
              <w:spacing w:after="0"/>
              <w:rPr>
                <w:sz w:val="16"/>
                <w:szCs w:val="16"/>
                <w:color w:val="auto"/>
              </w:rPr>
            </w:pPr>
          </w:p>
        </w:tc>
        <w:tc>
          <w:tcPr>
            <w:tcW w:w="16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240" w:type="dxa"/>
            <w:vAlign w:val="bottom"/>
          </w:tcPr>
          <w:p>
            <w:pPr>
              <w:spacing w:after="0"/>
              <w:rPr>
                <w:sz w:val="16"/>
                <w:szCs w:val="16"/>
                <w:color w:val="auto"/>
              </w:rPr>
            </w:pPr>
          </w:p>
        </w:tc>
        <w:tc>
          <w:tcPr>
            <w:tcW w:w="16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Operations expense</w:t>
            </w:r>
          </w:p>
        </w:tc>
        <w:tc>
          <w:tcPr>
            <w:tcW w:w="360" w:type="dxa"/>
            <w:vAlign w:val="bottom"/>
          </w:tcPr>
          <w:p>
            <w:pPr>
              <w:spacing w:after="0"/>
              <w:rPr>
                <w:sz w:val="16"/>
                <w:szCs w:val="16"/>
                <w:color w:val="auto"/>
              </w:rPr>
            </w:pPr>
          </w:p>
        </w:tc>
        <w:tc>
          <w:tcPr>
            <w:tcW w:w="15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Interest expense</w:t>
            </w:r>
          </w:p>
        </w:tc>
      </w:tr>
      <w:tr>
        <w:trPr>
          <w:trHeight w:val="259"/>
        </w:trPr>
        <w:tc>
          <w:tcPr>
            <w:tcW w:w="5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3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5"/>
        </w:trPr>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center"/>
              <w:ind w:right="5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5"/>
        </w:trPr>
        <w:tc>
          <w:tcPr>
            <w:tcW w:w="5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4,642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3,189</w:t>
            </w:r>
          </w:p>
        </w:tc>
      </w:tr>
      <w:tr>
        <w:trPr>
          <w:trHeight w:val="243"/>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6,056</w:t>
            </w:r>
          </w:p>
        </w:tc>
        <w:tc>
          <w:tcPr>
            <w:tcW w:w="240" w:type="dxa"/>
            <w:vAlign w:val="bottom"/>
          </w:tcPr>
          <w:p>
            <w:pPr>
              <w:spacing w:after="0"/>
              <w:rPr>
                <w:sz w:val="21"/>
                <w:szCs w:val="21"/>
                <w:color w:val="auto"/>
              </w:rPr>
            </w:pPr>
          </w:p>
        </w:tc>
        <w:tc>
          <w:tcPr>
            <w:tcW w:w="16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3,077</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5,822</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2,515</w:t>
            </w:r>
          </w:p>
        </w:tc>
      </w:tr>
      <w:tr>
        <w:trPr>
          <w:trHeight w:val="243"/>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4,854</w:t>
            </w:r>
          </w:p>
        </w:tc>
        <w:tc>
          <w:tcPr>
            <w:tcW w:w="240" w:type="dxa"/>
            <w:vAlign w:val="bottom"/>
          </w:tcPr>
          <w:p>
            <w:pPr>
              <w:spacing w:after="0"/>
              <w:rPr>
                <w:sz w:val="21"/>
                <w:szCs w:val="21"/>
                <w:color w:val="auto"/>
              </w:rPr>
            </w:pPr>
          </w:p>
        </w:tc>
        <w:tc>
          <w:tcPr>
            <w:tcW w:w="16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2,435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4,123</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acquisitions and dispositions occur in the future, amortization expense may vary from these estimates.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 AND CAPITAL LEASE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long-term debt instruments and balances under capital lease obligations outstanding as of December 31, 2014 and 2013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 The non-recourse debt matures at various months in the years so indicated in the table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7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95"/>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0" w:type="dxa"/>
            <w:vAlign w:val="bottom"/>
          </w:tcPr>
          <w:p>
            <w:pPr>
              <w:spacing w:after="0"/>
              <w:rPr>
                <w:sz w:val="1"/>
                <w:szCs w:val="1"/>
                <w:color w:val="auto"/>
              </w:rPr>
            </w:pPr>
          </w:p>
        </w:tc>
      </w:tr>
      <w:tr>
        <w:trPr>
          <w:trHeight w:val="259"/>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gridSpan w:val="5"/>
          </w:tcPr>
          <w:p>
            <w:pPr>
              <w:ind w:left="3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Recourse to EZCORP:</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Domestic line of credit up to $200 million due 2015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146,500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2.125% cash convertible senior notes due 2019</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185,693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(44,307)</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convertible senior notes due 2019 embedded derivative</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45,163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36,994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Non-recourse to EZCORP:</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Secured foreign currency debt up to $3 million due 2014</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Secured foreign currency debt up to $9 million due 2014</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Secured foreign currency debt up to $19 million due 2015</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Secured foreign currency debt up to $5 million due 2016</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Secured foreign currency debt up to $9 million due 2016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Secured foreign currency debt up to $23 million due 2017</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22,962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22,240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Consumer loans facility due 2017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Consumer loans facility due 2019</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49,475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54,045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10% unsecured notes due 2014</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 unsecured notes due 2014</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9%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 unsecured notes due 2015</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 unsecured notes due 2016</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12% unsecured notes due 2019</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12% secured notes due 2016</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12% secured notes due 2017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12% secured notes due 2020</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20,428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22,314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17% secured notes due 2015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15% secured notes due 2016 consolidated from VIEs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 secured notes due 2017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74,624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 secured notes due 2017 consolidated from VIEs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11,917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15% secured notes due 2017 consolidated from VIEs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462,244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271,154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428,583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Less current portion</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75,090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36,529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44"/>
        </w:trPr>
        <w:tc>
          <w:tcPr>
            <w:tcW w:w="5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long-term debt and capital lease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387,154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247,105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392,054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Line of Credit up to $200 Million Due 2015</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 xml:space="preserve">On May 10, 2011, we entered into a senior secured credit agreement with a syndicate of five banks. The credit agreement provided for a four year $175 million revolving credit facility that we could, under the terms of the agreement, request to be increased to a total of $225 million. On May 31, 2013, we amended the senior secured credit agreement to increase our revolving credit facility from $175 million to $200 million. We used approximately $119.4 million of net proceeds from the </w:t>
      </w:r>
      <w:r>
        <w:rPr>
          <w:rFonts w:ascii="Times New Roman" w:cs="Times New Roman" w:eastAsia="Times New Roman" w:hAnsi="Times New Roman"/>
          <w:sz w:val="18"/>
          <w:szCs w:val="18"/>
          <w:color w:val="252525"/>
        </w:rPr>
        <w:t>2.125%</w:t>
      </w:r>
      <w:r>
        <w:rPr>
          <w:rFonts w:ascii="Times New Roman" w:cs="Times New Roman" w:eastAsia="Times New Roman" w:hAnsi="Times New Roman"/>
          <w:sz w:val="18"/>
          <w:szCs w:val="18"/>
          <w:color w:val="auto"/>
        </w:rPr>
        <w:t xml:space="preserve"> cash convertible senior notes due 2019, as described below, to repay all outstanding borrowings under the senior secured credit agreement and terminated that agreement in June 2014.</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2.125% Cash Convertible Senior Notes Due 2019</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52525"/>
        </w:rPr>
        <w:t xml:space="preserve">In June 2014, we issued $200.0 million aggregate principal amount of 2.125% cash convertible senior notes due 2019 (the </w:t>
      </w:r>
      <w:r>
        <w:rPr>
          <w:rFonts w:ascii="Times New Roman" w:cs="Times New Roman" w:eastAsia="Times New Roman" w:hAnsi="Times New Roman"/>
          <w:sz w:val="18"/>
          <w:szCs w:val="18"/>
          <w:color w:val="000000"/>
        </w:rPr>
        <w:t>“Convertible Notes”). We granted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the initial purchasers the option to purchase up to an additional $30.0 million aggregate principal amount of Convertible Notes. Such option was exercised in full on June 27, 2014, and we issued an additional $30.0 million principal amount of Convertible Notes on July 2, 2014. All of the Convertible Notes were issued </w:t>
      </w:r>
      <w:r>
        <w:rPr>
          <w:rFonts w:ascii="Times New Roman" w:cs="Times New Roman" w:eastAsia="Times New Roman" w:hAnsi="Times New Roman"/>
          <w:sz w:val="18"/>
          <w:szCs w:val="18"/>
          <w:color w:val="252525"/>
        </w:rPr>
        <w:t>pursuant to an indenture dated June 23, 2014 (the "Indenture") by and between us and Wells Fargo Bank, National Association, as the trustee.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Convertible Notes were issued in a private offering </w:t>
      </w:r>
      <w:r>
        <w:rPr>
          <w:rFonts w:ascii="Times New Roman" w:cs="Times New Roman" w:eastAsia="Times New Roman" w:hAnsi="Times New Roman"/>
          <w:sz w:val="18"/>
          <w:szCs w:val="18"/>
          <w:color w:val="000000"/>
        </w:rPr>
        <w:t>under Rule 144A under the Securities Act of 1933.</w:t>
      </w:r>
      <w:r>
        <w:rPr>
          <w:rFonts w:ascii="Times New Roman" w:cs="Times New Roman" w:eastAsia="Times New Roman" w:hAnsi="Times New Roman"/>
          <w:sz w:val="18"/>
          <w:szCs w:val="18"/>
          <w:color w:val="252525"/>
        </w:rPr>
        <w:t xml:space="preserve"> The Convertible Notes pay interest semi-annually in arrears at a rate of 2.125% per annum on June 15 and December 15 of each year, commencing on December 15, 2014, and will mature on June 15, 2019 (the "Maturity Date").</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52525"/>
        </w:rPr>
        <w:t>Prior to December 15, 2018, the Convertible Notes will be convertible only upon the occurrence of certain events and during certain periods, and thereafter, at any time prior to the close of business on the second scheduled trading day immediately preceding the Maturity Date, as described below. At maturity, the holders of the Convertible Notes will be entitled to receive cash equal to the principal amount of the Convertible Notes plus unpaid accrued interest.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52525"/>
        </w:rPr>
        <w:t xml:space="preserve">The Convertible Notes are unsubordinated unsecured obligations and rank senior in right of payment to any of our indebtedness that is expressly subordinated in right of payment to the Convertible Notes; equal in right of payment with all of our other unsecured unsubordinated indebtedness; and effectively junior to all debt or other obligations (including trade payables) of our wholly-owned subsidiaries. </w:t>
      </w:r>
      <w:r>
        <w:rPr>
          <w:rFonts w:ascii="Times New Roman" w:cs="Times New Roman" w:eastAsia="Times New Roman" w:hAnsi="Times New Roman"/>
          <w:sz w:val="18"/>
          <w:szCs w:val="18"/>
          <w:color w:val="000000"/>
        </w:rPr>
        <w:t>The Indenture governing the Convertible Notes does not contain any</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financial covenants.</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252525"/>
        </w:rPr>
        <w:t>We incurred transaction costs of approximately $9.9 million related to the issuance of the Convertible Notes, which we recorded as deferred financing costs included under “Intangible assets, net” in our condensed consolidated balance sheets. Deferred financing costs are being amortized to interest expense using the effective interest method over the expected term of the Convertible Notes.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52525"/>
        </w:rPr>
        <w:t>Under the terms of our Convertible Notes, payment of dividends requires a conversion rate adjustment equal to the conversion rate in effect immediately prior to the open of business on the ex-dividend date for such dividend multiplied by the last reported sale price of the Class A Non-voting Common Stock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Convertible Notes Embedded Derivative</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account for the cash conversion feature of the Convertible Notes as a separate derivative instrument (the “</w:t>
      </w:r>
      <w:r>
        <w:rPr>
          <w:rFonts w:ascii="Times New Roman" w:cs="Times New Roman" w:eastAsia="Times New Roman" w:hAnsi="Times New Roman"/>
          <w:sz w:val="18"/>
          <w:szCs w:val="18"/>
          <w:color w:val="252525"/>
        </w:rPr>
        <w:t>Convertible Notes Embedded Derivative</w:t>
      </w:r>
      <w:r>
        <w:rPr>
          <w:rFonts w:ascii="Times New Roman" w:cs="Times New Roman" w:eastAsia="Times New Roman" w:hAnsi="Times New Roman"/>
          <w:sz w:val="18"/>
          <w:szCs w:val="18"/>
          <w:color w:val="auto"/>
        </w:rPr>
        <w:t>”), which had a fair value of $46.5 million on the issuance date that was recognized as the original issue discount of the Convertible Notes. This original issue discount is being amortized to interest expense over the term of the Convertible Notes using the effective interest method. As of December 31, 2014 and September 30, 2014, the Convertible Notes Embedded Derivative is recorded as a non-current liability under "Long-term debt, less current maturities" in our condensed consolidated balance sheets, and will be marked to market in subsequent reporting periods. The classification of the Convertible Notes Embedded Derivative liability as current or non-current on the condensed consolidated balance sheets corresponds with the classification of the net balance of the Convertible Notes as discussed below.</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Convertible Notes are convertible into cash, subject to satisfaction of certain conditions and during the periods described below, based on an initial conversion rate of 62.2471 shares of Class A Common Stock per $1,000 principal amount of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52525"/>
        </w:rPr>
        <w:t xml:space="preserve">Holders may surrender their Convertible Notes for conversion into cash prior to December 15, 2018 only under the following circumstances (the “Early Conversion Conditions”): </w:t>
      </w:r>
      <w:r>
        <w:rPr>
          <w:rFonts w:ascii="Times New Roman" w:cs="Times New Roman" w:eastAsia="Times New Roman" w:hAnsi="Times New Roman"/>
          <w:sz w:val="18"/>
          <w:szCs w:val="18"/>
          <w:color w:val="000000"/>
        </w:rPr>
        <w:t>(1) during any fiscal quarter commencing after the fiscal quarter ending on September 30, 2014 (and only during such fiscal</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period was less than 98% of the product of the last reported sale price of our Class A Common Stock and the conversion rate on such trading day; or (3) upon the occurrence of specified corporate events, as defined in the Indenture. </w:t>
      </w:r>
      <w:r>
        <w:rPr>
          <w:rFonts w:ascii="Times New Roman" w:cs="Times New Roman" w:eastAsia="Times New Roman" w:hAnsi="Times New Roman"/>
          <w:sz w:val="18"/>
          <w:szCs w:val="18"/>
          <w:color w:val="252525"/>
        </w:rPr>
        <w:t>On or after December 15, 2018 until the close of business on the second scheduled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trading day immediately preceding the Maturity Date, holders may convert their notes into cash at any time, regardless of the foregoing circumstances.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52525"/>
        </w:rPr>
        <w:t xml:space="preserve">If a holder elects to convert its Convertible Notes in connection with certain make-whole fundamental changes, as that term is defined in the Indenture, that occur prior to the Maturity Date, we will in certain circumstances increase the conversion rate for Convertible Notes converted in connection with such make-whole fundamental changes by a specified number of shares of Class A Common Stock. In addition, the conversion rate is subject to customary anti-dilution adjustments </w:t>
      </w:r>
      <w:r>
        <w:rPr>
          <w:rFonts w:ascii="Times New Roman" w:cs="Times New Roman" w:eastAsia="Times New Roman" w:hAnsi="Times New Roman"/>
          <w:sz w:val="18"/>
          <w:szCs w:val="18"/>
          <w:color w:val="000000"/>
        </w:rPr>
        <w:t>(for example, certain dividend distributions or tender or exchange offer of our Class A Common Stock).</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52525"/>
        </w:rPr>
        <w:t>Upon the occurrence of a fundamental change, as defined in the Indenture, holders may require us to repurchase for cash all or any portion of the then outstanding Convertible Notes at a repurchase price equal to 100% of the principal amount of the notes to be repurchased, plus accrued and unpaid interest.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Impact of Early Conversion Conditions on Financial Statements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2014, the Convertible Notes were not convertible because the </w:t>
      </w:r>
      <w:r>
        <w:rPr>
          <w:rFonts w:ascii="Times New Roman" w:cs="Times New Roman" w:eastAsia="Times New Roman" w:hAnsi="Times New Roman"/>
          <w:sz w:val="18"/>
          <w:szCs w:val="18"/>
          <w:color w:val="252525"/>
        </w:rPr>
        <w:t>Early Conversion Conditions described above</w:t>
      </w:r>
      <w:r>
        <w:rPr>
          <w:rFonts w:ascii="Times New Roman" w:cs="Times New Roman" w:eastAsia="Times New Roman" w:hAnsi="Times New Roman"/>
          <w:sz w:val="18"/>
          <w:szCs w:val="18"/>
          <w:color w:val="auto"/>
        </w:rPr>
        <w:t xml:space="preserve"> had not been met. Accordingly, the net balance of the Convertible Notes of $187.7 million is classified as a non-current liability in our condensed consolidated balance sheets as of December 31, 2014. The classification of the Convertible Notes as current or non-current in the condensed consolidated balance sheets is evaluated at each balance sheet date and may change from time to time depending on whether any of the Early Conversion Conditions has been met.</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any of the Early Conversion Conditions is met in any future fiscal quarter, we would classify our net liability under the Convertible Notes as a current liability in the condensed consolidated balance sheets as of the end of that fiscal quarter. If none of the Early Conversion Conditions have been met in a future fiscal quarter prior to the one year period immediately preceding the Maturity Date, we would classify our net liability under the Convertible Notes as a non-current liability in the condensed consolidated balance sheets as of the end of that fiscal quarter. If the note holders elect to convert their Convertible Notes prior to maturity, any unamortized discount and transaction costs will be expensed at the time of conversion. If the entire outstanding principal amount had been converted on December 31, 2014, we would have recorded an expense of $50.2 million associated with the conversion, comprised of $42.3 million of unamortized debt discount and $7.9 million of unamortized debt issuance costs. As of December 31, 2014, none of the note holders had elected to convert their Convertible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Convertible Notes Hedges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issuance of the Convertible Notes, we purchased cash-settled call options (the “Convertible Notes Hedges”) in privately negotiated transactions with certain of the initial purchasers or their affiliates (in this capacity, the “Option Counterparties”). The Convertible Notes Hedges provide us with the option to acquire, on a net settlement basis, approximately 14.3 million shares of our Class A Common Stock at a strike price of $16.065, which is equal to the number of shares of our Class A Common Stock that notionally underlie the Convertible Notes and corresponds to the conversion price of the Convertible Notes. The Convertible Notes Hedges have </w:t>
      </w:r>
      <w:r>
        <w:rPr>
          <w:rFonts w:ascii="Times New Roman" w:cs="Times New Roman" w:eastAsia="Times New Roman" w:hAnsi="Times New Roman"/>
          <w:sz w:val="18"/>
          <w:szCs w:val="18"/>
          <w:color w:val="252525"/>
        </w:rPr>
        <w:t>an expiration date that is the same as the Maturity Date of the Convertible Notes, subject to earlier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exercise</w:t>
      </w:r>
      <w:r>
        <w:rPr>
          <w:rFonts w:ascii="Times New Roman" w:cs="Times New Roman" w:eastAsia="Times New Roman" w:hAnsi="Times New Roman"/>
          <w:sz w:val="18"/>
          <w:szCs w:val="18"/>
          <w:color w:val="000000"/>
        </w:rPr>
        <w:t>. The Convertible Notes Hedges have customary anti-dilution provisions similar to the Convertible Notes.</w:t>
      </w:r>
      <w:r>
        <w:rPr>
          <w:rFonts w:ascii="Times New Roman" w:cs="Times New Roman" w:eastAsia="Times New Roman" w:hAnsi="Times New Roman"/>
          <w:sz w:val="18"/>
          <w:szCs w:val="18"/>
          <w:color w:val="252525"/>
        </w:rPr>
        <w:t xml:space="preserve"> If we exercise the </w:t>
      </w:r>
      <w:r>
        <w:rPr>
          <w:rFonts w:ascii="Times New Roman" w:cs="Times New Roman" w:eastAsia="Times New Roman" w:hAnsi="Times New Roman"/>
          <w:sz w:val="18"/>
          <w:szCs w:val="18"/>
          <w:color w:val="000000"/>
        </w:rPr>
        <w:t>Convertible Notes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Hedges</w:t>
      </w:r>
      <w:r>
        <w:rPr>
          <w:rFonts w:ascii="Times New Roman" w:cs="Times New Roman" w:eastAsia="Times New Roman" w:hAnsi="Times New Roman"/>
          <w:sz w:val="18"/>
          <w:szCs w:val="18"/>
          <w:color w:val="252525"/>
        </w:rPr>
        <w:t>, the aggregate amount of cash we will receive from the option counterparties to the</w:t>
      </w:r>
      <w:r>
        <w:rPr>
          <w:rFonts w:ascii="Times New Roman" w:cs="Times New Roman" w:eastAsia="Times New Roman" w:hAnsi="Times New Roman"/>
          <w:sz w:val="18"/>
          <w:szCs w:val="18"/>
          <w:color w:val="000000"/>
        </w:rPr>
        <w:t xml:space="preserve"> Convertible Notes Hedges </w:t>
      </w:r>
      <w:r>
        <w:rPr>
          <w:rFonts w:ascii="Times New Roman" w:cs="Times New Roman" w:eastAsia="Times New Roman" w:hAnsi="Times New Roman"/>
          <w:sz w:val="18"/>
          <w:szCs w:val="18"/>
          <w:color w:val="252525"/>
        </w:rPr>
        <w:t>will cover the aggregate amount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cash that we would be required to pay to the holders of the converted Convertible Notes, less the principal amount thereof. </w:t>
      </w:r>
      <w:r>
        <w:rPr>
          <w:rFonts w:ascii="Times New Roman" w:cs="Times New Roman" w:eastAsia="Times New Roman" w:hAnsi="Times New Roman"/>
          <w:sz w:val="18"/>
          <w:szCs w:val="18"/>
          <w:color w:val="000000"/>
        </w:rPr>
        <w:t>As of December 31, 2014, we have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not purchased any shares under the Convertible Notes Hedges.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aggregate cost of the Convertible Notes Hedges was $46.5 million (or $21.3 million net of the total proceeds from the Warrants sold, as discussed below). The Convertible Notes Hedges are accounted for as a derivative asset and are recorded in the condensed consolidated balance sheets at their estimated fair value under "Other assets, net." The fair value of the Convertible Notes Hedges was $45.2 million as of December 31, 2014. The Convertible Notes Embedded Derivative liability and the Convertible Notes Hedges asset will be adjusted to fair value each reporting period and unrealized gains and losses will be reflected in the condensed consolidated statements of operations. The Convertible Notes Embedded Derivative and the Convertible Notes Hedges are designed to have similar fair values. Accordingly, the changes in the fair values of these instruments are expected to offset and not have a net impact on the condensed consolidated statements of operations.</w:t>
      </w:r>
    </w:p>
    <w:p>
      <w:pPr>
        <w:spacing w:after="0" w:line="13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classification of the Convertible Notes Hedges asset as current or long-term on the condensed consolidated balance sheets corresponds with the classification of the Convertible Notes, which is evaluated at each balance sheet date and may change from time to time depending on whether any of the Early Conversion Conditions has been met.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Convertible Notes Warrants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December 31, 2014, there were 14.3 million warrants outstanding.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Convertible Notes Interest Expense</w:t>
      </w:r>
    </w:p>
    <w:p>
      <w:pPr>
        <w:spacing w:after="0" w:line="17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252525"/>
        </w:rPr>
        <w:t>Total interest expense attributable to the Convertible Notes for the quarter ended December 31, 2014 was $3.3 million, comprised of contractual interest expense and debt discount amortization of $1.3 million and $2.0 million, respectively. The effective interest rate for the first quarter ended December 31, 2014 was approximately 7%.</w:t>
      </w:r>
    </w:p>
    <w:p>
      <w:pPr>
        <w:spacing w:after="0" w:line="122" w:lineRule="exact"/>
        <w:rPr>
          <w:sz w:val="20"/>
          <w:szCs w:val="20"/>
          <w:color w:val="auto"/>
        </w:rPr>
      </w:pPr>
    </w:p>
    <w:p>
      <w:pPr>
        <w:ind w:right="920"/>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2014, the remaining unamortized issuance discount will be amortized over the next four years assuming no early conversion. </w:t>
      </w:r>
      <w:r>
        <w:rPr>
          <w:rFonts w:ascii="Times New Roman" w:cs="Times New Roman" w:eastAsia="Times New Roman" w:hAnsi="Times New Roman"/>
          <w:sz w:val="18"/>
          <w:szCs w:val="18"/>
          <w:b w:val="1"/>
          <w:bCs w:val="1"/>
          <w:i w:val="1"/>
          <w:iCs w:val="1"/>
          <w:color w:val="auto"/>
        </w:rPr>
        <w:t>Non-Recourse Debt to EZCORP</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30, 2012, we acquired a 60% ownership interest in Grupo Finmart. On June 30, 2014, we acquired an additional 16% of the ordinary shares outstanding of Grupo Finmart, increasing our ownership percentage from 60% to 76%. Non-recourse debt amounts in the table previously presented represent Grupo Finmart’s third party debt. All unsecured notes are collateralized with Grupo Finmart's assets. All foreign currency debt is guaranteed by Grupo Finmart's loan portfolio or collateralized cash at Grupo Finmart’s option. As of December 31, 2014, Grupo Finmart’s foreign currency debt was guaranteed by consumer loans totaling $43.8 million, included under “Consumer loans, net” and “Non-current consumer loans, net” in our condensed consolidated balance sheets, and collateralized cash totaling $56.7 million, included under “Restricted cash” and “Restricted cash, non-current” in our condensed consolidated balance sheets.</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Interest on secured foreign currency debt due 2016 is charged at the Mexican Interbank Equilibrium ("TIIE") plus a margin of 5%, or a total of 8.2% as of December 31, 2014. The 12% secured notes due 2016 and secured foreign currency debt due 2016 each require monthly payments of $0.1 million with the remaining principal due at maturity. The secured foreign currency debt due in 2017 has a 14.5% interest rate and requires monthly payments of $1.7 million, beginning May 2016, with the remaining principal due at maturity. The 12% secured notes due in 2020 require monthly payments of $1.1 million, beginning December 2018, with the remaining principal due at maturity. Amounts due are in Mexican Pesos and are revalued each reporting period.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Loans Facility Due 2017</w:t>
      </w:r>
    </w:p>
    <w:p>
      <w:pPr>
        <w:spacing w:after="0" w:line="17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July 10, 2012, Grupo Finmart entered into a securitization transaction to transfer the collection rights of certain eligible consumer loans to a bankruptcy remote trust in exchange for cash on a non-recourse basis. On February 17, 2014, Grupo Finmart repaid this facility. In connection with this repayment, we wrote off the deferred financing costs related to this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Loans Facility Due 2019</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unrestricted cash received from this borrowing in the amount of $31.3 million was primarily used to repay the previous securitization borrowing facility due in 2017 and the transaction costs associated with this transaction. The cash proceeds of approximately $18.2 million are restricted primarily for $15.8 million of collection rights on the additional eligible loans from Grupo Finmart, which Grupo Finmart expects to deliver to the trust within the next 12 months, and $2.4 million of interest and trust maintenance costs to be recovered at repayment. The restricted cash proceeds of $15.8 million are recourse to Grupo Finmart unless additional eligible loans are delivered within the two year period specified in the agreement. The borrowing facility has a two year lending period, ending February 17, 2016, and fully and matures on March 19, 2019. Upon the termination of the lending period, Grupo Finmart has an option to start prepaying the principal early from the collection received by the trust. Grupo Finmart will continue to service the underlying loans in the trust.</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Deferred financing costs related to the consumer loans facility due 2019 totaling approximately $2.5 million are included under “Intangible assets, net” in our condensed consolidated balance sheets and are being amortized to interest expense over the term of the agreement.</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consumer loans facility due 2019 is charged at TIIE plus a margin of 2.5%, or a total of 5.8% as of December 31, 2014.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Unsecured Notes Due 2015</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15, 2013, Grupo Finmart issued and sold $30.0 million of 9% global registered notes due November 16, 2015. Notes with an aggregate principal amount of $14.0 million were originally purchased by EZCORP and, therefore, eliminated in consolidation in prior periods. On March 31, 2014, EZCORP sold its outstanding notes in the amount of $11.7 million to an outside party, thereby increasing the total consolidated notes balance. Grupo Finmart used a portion of the net proceeds of the offering to repay existing indebtedness and the remaining portion for general operating purposes. In December 2014, Grupo Finmart repaid $17.5 million of these outstanding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Notes Consolidated from VIEs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2014, Grupo Finmart entered into three separate agreements with third party investors and variable interest entities (“VIEs”) to securitize selected loans providing asset backed financing for operations. The VIEs issued promissory notes to the third party first beneficiaries of the VIEs. The VIEs are referred to as VIE C, VIE B and VIE A. The debt described below is collateralized by all of the assets of the VIEs as presented in footnote 1 to our interim condensed consolidated balance sheets. See discussion of the VIEs in Note 17.</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October 2013, VIE C issued $9.3 million of 17% Notes due May 2015 and $10.0 million of 15% Notes due October 2016 to the first beneficiary of VIE C. The debt was collateralized with the principal and interest collected from loan portfolios of VIE C. The 17% Notes due May 2015 and the 15% Notes due October 2016 require monthly payments of approximately $0.4 million, each, comprised of interest and principal.</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2014, VIE B issued $16.0 million of 11% Notes due April 2017 to the first beneficiary of VIE B. In June 2014, VIE B issued $16.5 million of 11% Notes due July 2017 to the first beneficiary of VIE B. The debt was collateralized with the principal and interest collected from loan portfolios of VIE B. The 11% Notes due April 2017 and the 11% Notes due July 2017 require monthly payments of approximately $0.2 million, each, comprised of interest and principal.</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June 2014, VIE A issued $21.8 million of 14.5% Notes due October 2017 to the first beneficiary of VIE A. The debt was collateralized with the principal and interest collected from loan portfolios of VIE A. The 14.5% Notes due October 2017 require monthly payments of approximately $0.3 million, comprised of interest and principal.</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October 2014, VIE B issued $43.8 million of 11.0% Notes due October 2017 to the first beneficiary of VIE B. The debt was collateralized with the principal and interest collected from loan portfolios of VIE B. The 11% Notes due October 2017 require monthly payments of approximately $0.6 million, comprised of interest and principal.</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December 2014, VIE B issued $21.9 million of 11% Notes due December 2017. The debt was collateralized with the principal and interest collected from loan portfolios of VIE B. The 11% Notes due December 2017 require monthly payments of $0.3 million, comprised of interest and principal.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income includes the following compensation costs related to our stock compensation arrangements: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90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49"/>
        </w:trPr>
        <w:tc>
          <w:tcPr>
            <w:tcW w:w="9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 (See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0"/>
        </w:trPr>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8"/>
        </w:trPr>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6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8"/>
                <w:szCs w:val="18"/>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compensation (benefits)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benefits</w:t>
            </w:r>
          </w:p>
        </w:tc>
        <w:tc>
          <w:tcPr>
            <w:tcW w:w="120" w:type="dxa"/>
            <w:vAlign w:val="bottom"/>
          </w:tcPr>
          <w:p>
            <w:pPr>
              <w:spacing w:after="0"/>
              <w:rPr>
                <w:sz w:val="21"/>
                <w:szCs w:val="21"/>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compensation (benefit)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(3,492)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782</w:t>
            </w: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REDEEMABLE NONCONTROLLING INTEREST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activities in our redeemable noncontrolling interest during the quarters ended December 31, 2014 and 2013: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Redeemable Noncontrolling</w:t>
            </w:r>
          </w:p>
        </w:tc>
      </w:tr>
      <w:tr>
        <w:trPr>
          <w:trHeight w:val="195"/>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50"/>
        </w:trPr>
        <w:tc>
          <w:tcPr>
            <w:tcW w:w="9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center"/>
              <w:ind w:right="7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47,297</w:t>
            </w:r>
          </w:p>
        </w:tc>
      </w:tr>
      <w:tr>
        <w:trPr>
          <w:trHeight w:val="243"/>
        </w:trPr>
        <w:tc>
          <w:tcPr>
            <w:tcW w:w="9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 attributable to redeemable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324</w:t>
            </w:r>
          </w:p>
        </w:tc>
      </w:tr>
      <w:tr>
        <w:trPr>
          <w:trHeight w:val="297"/>
        </w:trPr>
        <w:tc>
          <w:tcPr>
            <w:tcW w:w="93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45,825</w:t>
            </w:r>
          </w:p>
        </w:tc>
      </w:tr>
      <w:tr>
        <w:trPr>
          <w:trHeight w:val="311"/>
        </w:trPr>
        <w:tc>
          <w:tcPr>
            <w:tcW w:w="9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22,800</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Net loss attributable to redeemable noncontrolling interest </w:t>
            </w:r>
            <w:r>
              <w:rPr>
                <w:rFonts w:ascii="Times New Roman" w:cs="Times New Roman" w:eastAsia="Times New Roman" w:hAnsi="Times New Roman"/>
                <w:sz w:val="18"/>
                <w:szCs w:val="18"/>
                <w:b w:val="1"/>
                <w:bCs w:val="1"/>
                <w:color w:val="auto"/>
              </w:rPr>
              <w:t>(As Restated, See Note 2)</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43"/>
        </w:trPr>
        <w:tc>
          <w:tcPr>
            <w:tcW w:w="9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Foreign currency translation adjustment attributable to redeemable noncontrolling interest </w:t>
            </w:r>
            <w:r>
              <w:rPr>
                <w:rFonts w:ascii="Times New Roman" w:cs="Times New Roman" w:eastAsia="Times New Roman" w:hAnsi="Times New Roman"/>
                <w:sz w:val="18"/>
                <w:szCs w:val="18"/>
                <w:b w:val="1"/>
                <w:bCs w:val="1"/>
                <w:color w:val="auto"/>
              </w:rPr>
              <w:t>(As Restated, See Note 2)</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w:t>
            </w:r>
          </w:p>
        </w:tc>
      </w:tr>
      <w:tr>
        <w:trPr>
          <w:trHeight w:val="257"/>
        </w:trPr>
        <w:tc>
          <w:tcPr>
            <w:tcW w:w="9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Balance as of December 31, 2014 </w:t>
            </w:r>
            <w:r>
              <w:rPr>
                <w:rFonts w:ascii="Times New Roman" w:cs="Times New Roman" w:eastAsia="Times New Roman" w:hAnsi="Times New Roman"/>
                <w:sz w:val="18"/>
                <w:szCs w:val="18"/>
                <w:b w:val="1"/>
                <w:bCs w:val="1"/>
                <w:color w:val="auto"/>
              </w:rPr>
              <w:t>(As Restated, See Note 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18,550</w:t>
            </w: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is provided at the U.S. tax rate on financial statement earnings, adjusted for the difference between the U.S. tax rate and the rate of tax in effect for non-U.S. earnings deemed to be permanently reinvested in our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spacing w:after="0" w:line="12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current quarter’s effective tax provision rate from continuing operations is 29% of pre-tax income compared to 20% for the prior-year quarter. The effective tax rate for the quarter ended December 31, 2014 was higher primarily due to the elimination of the tax rate differential on discontinued foreign operations, a reduction of costs paid to offshore affiliates and lower non-U.S. undistributed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CONTINGENCIES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We have not recorded a liability for any of these matters as of December 31, 2014 because we do not believe that any loss was probable or that the amount of any loss could be reasonably estimated at that time. For a description of additional federal securities litigation directly relating to the restatement of our financial statements described in the Explanatory Note immediately preceding Part I, see Note 18.</w:t>
      </w:r>
    </w:p>
    <w:p>
      <w:pPr>
        <w:spacing w:after="0" w:line="12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derivative litigation </w:t>
      </w:r>
      <w:r>
        <w:rPr>
          <w:rFonts w:ascii="Times New Roman" w:cs="Times New Roman" w:eastAsia="Times New Roman" w:hAnsi="Times New Roman"/>
          <w:sz w:val="18"/>
          <w:szCs w:val="18"/>
          <w:color w:val="auto"/>
        </w:rPr>
        <w:t>— On July 28, 2014, Lawrence Treppel, a purported holder of Class A Non-voting Common Stock, filed a derivative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Court of Chancery of the State of Delaware styled </w:t>
      </w:r>
      <w:r>
        <w:rPr>
          <w:rFonts w:ascii="Times New Roman" w:cs="Times New Roman" w:eastAsia="Times New Roman" w:hAnsi="Times New Roman"/>
          <w:sz w:val="18"/>
          <w:szCs w:val="18"/>
          <w:i w:val="1"/>
          <w:iCs w:val="1"/>
          <w:color w:val="auto"/>
        </w:rPr>
        <w:t>Treppel v. Cohen, et al. (C.A. No. 9962-VCP)</w:t>
      </w:r>
      <w:r>
        <w:rPr>
          <w:rFonts w:ascii="Times New Roman" w:cs="Times New Roman" w:eastAsia="Times New Roman" w:hAnsi="Times New Roman"/>
          <w:sz w:val="18"/>
          <w:szCs w:val="18"/>
          <w:color w:val="auto"/>
        </w:rPr>
        <w:t>. The complaint, as originally filed and as amended on September 23, 2014, names as defendants Phillip E. Cohen, the beneficial owner of all of our outstanding Class B Voting Common Stock; several current and former members of our Board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26" w:lineRule="exact"/>
        <w:rPr>
          <w:sz w:val="20"/>
          <w:szCs w:val="20"/>
          <w:color w:val="auto"/>
        </w:rPr>
      </w:pPr>
    </w:p>
    <w:p>
      <w:pPr>
        <w:ind w:left="660" w:right="3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Mr. Cohen and MS Pawn Limited Partnership for aiding and abetting the breaches of fiduciary duties relating to the advisory services agreements with Madison Park;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Mr. Cohen and Madison Park for unjust enrichment for payments under the advisory services agreements.</w:t>
      </w:r>
    </w:p>
    <w:p>
      <w:pPr>
        <w:spacing w:after="0" w:line="17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plaintiff seeks (a)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22"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On October 13, 2014, motions to dismiss were filed on behalf of each defendant. The defendants filed their opening briefs in support of the motions to dismiss on November 12, 2014, and the plaintiff filed his response brief on January 9, 2015. The defendants' reply briefs are expected to be filed by early February 2015. On November 13, 2014, pursuant to the parties’ stipulation, the court dismissed the action as to Mr. Brinkley, Mr. Rothamel and Mr. Lagos.</w:t>
      </w:r>
    </w:p>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1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Federal securities litigation </w:t>
      </w:r>
      <w:r>
        <w:rPr>
          <w:rFonts w:ascii="Times New Roman" w:cs="Times New Roman" w:eastAsia="Times New Roman" w:hAnsi="Times New Roman"/>
          <w:sz w:val="18"/>
          <w:szCs w:val="18"/>
          <w:color w:val="auto"/>
        </w:rPr>
        <w:t>— On August 22, 2014, Jason Close, a purported holder of Class A Non-voting Common Stock, for himself and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similarly situated holders of Class A Non-voting Common Stock, filed a lawsuit in the United States District Court for the Southern District of New York styled </w:t>
      </w:r>
      <w:r>
        <w:rPr>
          <w:rFonts w:ascii="Times New Roman" w:cs="Times New Roman" w:eastAsia="Times New Roman" w:hAnsi="Times New Roman"/>
          <w:sz w:val="18"/>
          <w:szCs w:val="18"/>
          <w:i w:val="1"/>
          <w:iCs w:val="1"/>
          <w:color w:val="auto"/>
        </w:rPr>
        <w:t>Close v. EZCORP, Inc., et al. (</w:t>
      </w:r>
      <w:r>
        <w:rPr>
          <w:rFonts w:ascii="Times New Roman" w:cs="Times New Roman" w:eastAsia="Times New Roman" w:hAnsi="Times New Roman"/>
          <w:sz w:val="18"/>
          <w:szCs w:val="18"/>
          <w:color w:val="auto"/>
        </w:rPr>
        <w:t>Case No. 1:14-cv-06834-ALC). The complaint names as defendants EZCORP, Inc., Paul E. Rothamel (our former chief executive officer) and Mark Kuchenrither (our president and chief operating officer and current chief financial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Times New Roman" w:cs="Times New Roman" w:eastAsia="Times New Roman" w:hAnsi="Times New Roman"/>
          <w:sz w:val="17"/>
          <w:szCs w:val="17"/>
          <w:i w:val="1"/>
          <w:iCs w:val="1"/>
          <w:color w:val="auto"/>
        </w:rPr>
        <w:t>Automotive Machinists Pension Plan v. EZCORP, Inc., et al</w:t>
      </w:r>
      <w:r>
        <w:rPr>
          <w:rFonts w:ascii="Times New Roman" w:cs="Times New Roman" w:eastAsia="Times New Roman" w:hAnsi="Times New Roman"/>
          <w:sz w:val="17"/>
          <w:szCs w:val="17"/>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1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On October 21, 2014, the plaintiff in the </w:t>
      </w:r>
      <w:r>
        <w:rPr>
          <w:rFonts w:ascii="Times New Roman" w:cs="Times New Roman" w:eastAsia="Times New Roman" w:hAnsi="Times New Roman"/>
          <w:sz w:val="18"/>
          <w:szCs w:val="18"/>
          <w:i w:val="1"/>
          <w:iCs w:val="1"/>
          <w:color w:val="auto"/>
        </w:rPr>
        <w:t>Automotive Machinists Pension Plan</w:t>
      </w:r>
      <w:r>
        <w:rPr>
          <w:rFonts w:ascii="Times New Roman" w:cs="Times New Roman" w:eastAsia="Times New Roman" w:hAnsi="Times New Roman"/>
          <w:sz w:val="18"/>
          <w:szCs w:val="18"/>
          <w:color w:val="auto"/>
        </w:rPr>
        <w:t xml:space="preserve"> action filed a motion to consolidate the </w:t>
      </w:r>
      <w:r>
        <w:rPr>
          <w:rFonts w:ascii="Times New Roman" w:cs="Times New Roman" w:eastAsia="Times New Roman" w:hAnsi="Times New Roman"/>
          <w:sz w:val="18"/>
          <w:szCs w:val="18"/>
          <w:i w:val="1"/>
          <w:iCs w:val="1"/>
          <w:color w:val="auto"/>
        </w:rPr>
        <w:t>Close</w:t>
      </w:r>
      <w:r>
        <w:rPr>
          <w:rFonts w:ascii="Times New Roman" w:cs="Times New Roman" w:eastAsia="Times New Roman" w:hAnsi="Times New Roman"/>
          <w:sz w:val="18"/>
          <w:szCs w:val="18"/>
          <w:color w:val="auto"/>
        </w:rPr>
        <w:t xml:space="preserve"> action and the </w:t>
      </w:r>
      <w:r>
        <w:rPr>
          <w:rFonts w:ascii="Times New Roman" w:cs="Times New Roman" w:eastAsia="Times New Roman" w:hAnsi="Times New Roman"/>
          <w:sz w:val="18"/>
          <w:szCs w:val="18"/>
          <w:i w:val="1"/>
          <w:iCs w:val="1"/>
          <w:color w:val="auto"/>
        </w:rPr>
        <w:t>Automotive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Machinists Pension Plan </w:t>
      </w:r>
      <w:r>
        <w:rPr>
          <w:rFonts w:ascii="Times New Roman" w:cs="Times New Roman" w:eastAsia="Times New Roman" w:hAnsi="Times New Roman"/>
          <w:sz w:val="18"/>
          <w:szCs w:val="18"/>
          <w:color w:val="auto"/>
        </w:rPr>
        <w:t>action and to appoint the Automotive Machinists Pension Plan as the lead plaintiff. On November 18, 2014, the court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lawsuits under the caption </w:t>
      </w:r>
      <w:r>
        <w:rPr>
          <w:rFonts w:ascii="Times New Roman" w:cs="Times New Roman" w:eastAsia="Times New Roman" w:hAnsi="Times New Roman"/>
          <w:sz w:val="18"/>
          <w:szCs w:val="18"/>
          <w:i w:val="1"/>
          <w:iCs w:val="1"/>
          <w:color w:val="auto"/>
        </w:rPr>
        <w:t>In Re EZCORP, Inc. Securities Litigation</w:t>
      </w:r>
      <w:r>
        <w:rPr>
          <w:rFonts w:ascii="Times New Roman" w:cs="Times New Roman" w:eastAsia="Times New Roman" w:hAnsi="Times New Roman"/>
          <w:sz w:val="18"/>
          <w:szCs w:val="18"/>
          <w:color w:val="auto"/>
        </w:rPr>
        <w:t xml:space="preserve"> (Case No. 1:14-cv-06834-ALC), and, on January 26, 2015, appointed the lead plaintiff and lead counsel.</w:t>
      </w:r>
    </w:p>
    <w:p>
      <w:pPr>
        <w:spacing w:after="0" w:line="12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consolidated case is at a very early procedural stage. We cannot predict the outcome of the litigation, but we intend to defend vigorously against all allegations and claims.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 Investigation </w:t>
      </w:r>
      <w:r>
        <w:rPr>
          <w:rFonts w:ascii="Times New Roman" w:cs="Times New Roman" w:eastAsia="Times New Roman" w:hAnsi="Times New Roman"/>
          <w:sz w:val="18"/>
          <w:szCs w:val="18"/>
          <w:color w:val="auto"/>
        </w:rPr>
        <w:t>— On October 23, 2014, we received a notice from the Fort Worth Regional Office of the SEC that it was conducting an investigation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currently our Executive Chairman and a member of our Board of Directors). The SEC has also issued subpoenas to current and former members of our Board of Directors requesting production of similar documents. We have provided a number of documents in response to the subpoenas and are cooperating fully with the SEC in its investigation.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OPERATING SEGMENT INFORMATION</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Segment information is prepared on the same basis that our chief operating decision maker reviews financial information for operational decision-making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&amp; Canada — All business activities in the United States and Canada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 All business activities in Mexico and other parts of Latin America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International — Our equity interest in the net income of Cash Converters International</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240" w:top="118" w:right="31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are no inter-segment revenues, and the amounts below were determined in accordance with the same accounting principles used in our condensed consolidated financial statements. The following tables present operating segment information for the quarters ended December 31, 2014 and 2013, including reclassifications discussed in Note 1, effects of the restatement discussed in Note 2 and adjustments to reflect reclassification of all discontinued operations discussed in Note 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December 31,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U.S. &amp;</w:t>
            </w:r>
          </w:p>
        </w:tc>
        <w:tc>
          <w:tcPr>
            <w:tcW w:w="220" w:type="dxa"/>
            <w:vAlign w:val="bottom"/>
          </w:tcPr>
          <w:p>
            <w:pPr>
              <w:spacing w:after="0"/>
              <w:rPr>
                <w:sz w:val="12"/>
                <w:szCs w:val="12"/>
                <w:color w:val="auto"/>
              </w:rPr>
            </w:pPr>
          </w:p>
        </w:tc>
        <w:tc>
          <w:tcPr>
            <w:tcW w:w="94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Latin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 Items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40" w:type="dxa"/>
            <w:vAlign w:val="bottom"/>
            <w:tcBorders>
              <w:bottom w:val="single" w:sz="8" w:color="auto"/>
            </w:tcBorders>
            <w:gridSpan w:val="3"/>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90,059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109,639</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109,639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18,534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service charges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57,035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64,927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42,532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58,847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252,818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58,994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72,478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14,675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loan bad debt</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22,050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120,610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143,615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103,694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103,694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12,034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net income of unconsolidated affiliates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Segment contribution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31,379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27,168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0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27,168</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12,213</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ind w:right="57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 2013</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U.S. &amp;</w:t>
            </w:r>
          </w:p>
        </w:tc>
        <w:tc>
          <w:tcPr>
            <w:tcW w:w="220" w:type="dxa"/>
            <w:vAlign w:val="bottom"/>
          </w:tcPr>
          <w:p>
            <w:pPr>
              <w:spacing w:after="0"/>
              <w:rPr>
                <w:sz w:val="12"/>
                <w:szCs w:val="12"/>
                <w:color w:val="auto"/>
              </w:rPr>
            </w:pPr>
          </w:p>
        </w:tc>
        <w:tc>
          <w:tcPr>
            <w:tcW w:w="94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Latin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 Items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40" w:type="dxa"/>
            <w:vAlign w:val="bottom"/>
            <w:tcBorders>
              <w:bottom w:val="single" w:sz="8" w:color="auto"/>
            </w:tcBorders>
            <w:gridSpan w:val="3"/>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88,890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105,587</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105,587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27,703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Pawn service charges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57,069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64,133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55,204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218,165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253,756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64,141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20,020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Consumer loan bad debt</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18,188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131,812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151,407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86,567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105,361</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7,340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Equity in net income of unconsolidated affiliates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Segment contribution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47,211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43,592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00" w:type="dxa"/>
            <w:vAlign w:val="bottom"/>
            <w:gridSpan w:val="2"/>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43,592</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24,492</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ALLOWANCE FOR LOSSES AND CREDIT QUALITY OF CONSUMER LOANS</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reviewing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w:t>
      </w:r>
    </w:p>
    <w:p>
      <w:pPr>
        <w:spacing w:after="0" w:line="13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consider consumer loans made at our storefronts to be in default if they have not been repaid or renewed by the maturity date. If one payment of a multiple-payment loan is delinquent, that one payment is considered in default. If more than one payment is delinquent at any time, the entire loan is considered in default. Although loans in default may be collected later, we charge the loan principal to consumer loan bad debt upon default, leaving only active loans in the reported balance. Accrued fees related to loans in default reduce fee revenue upon loan default, and increase fee revenue upon collection.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historical collection experience, the age of past-due loans and amounts we expect to receive through the sale of repossessed vehicles, we provide an allowance for losses on auto title loans.</w:t>
      </w:r>
    </w:p>
    <w:p>
      <w:pPr>
        <w:spacing w:after="0" w:line="108"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Grupo Finmart customers obtain installment loans with a series of payments due over the stated loan term, which can be as long as four years. We recognize consumer loan interest related to loans we originate based on the percentage of consumer loans made that we believe to be collectible, and reserve the percentage of interest we expect not to collect, over the period in which payments are expected to be received under the effective interest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circumstances cause delays in the receipt of payments on a Grupo Finmart loan. For example:</w:t>
      </w:r>
    </w:p>
    <w:p>
      <w:pPr>
        <w:spacing w:after="0" w:line="171" w:lineRule="exact"/>
        <w:rPr>
          <w:sz w:val="20"/>
          <w:szCs w:val="20"/>
          <w:color w:val="auto"/>
        </w:rPr>
      </w:pPr>
    </w:p>
    <w:p>
      <w:pPr>
        <w:ind w:left="660" w:right="5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often takes 90 days or more for the employer to set up initial payroll withholding and begin remitting payments to Grupo Finmart (a process referred to as “ratification”).</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unusual to have an interruption or delay in payments for a number of reasons, such as holidays, summer vacations, illness, convenio renewals, union permits and political elections.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convenios limit the amount that can be withheld from a borrower’s paycheck, and if the borrower has multiple loans outstanding, the withheld amount is generally used to repay the loans in the order in which they were made.</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larger employers act as a consolidator and remitter on behalf of other smaller employers and the payment consolidation processes, or other issues with employer systems, sometimes cause interruptions in payments.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direct costs incurred (commissions), other than certain brokerage and other costs, are capitalized and deferred ratably over the life of the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these costs are included in “Operations” expense in our consolidated statements of operations.</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Loans to Grupo Finmart customers whose employment is continuing are referred to as “in-payroll” loans, while loans to Grupo Finmart customers whose employment is discontinued are referred to as “out-of-payroll” loans. A customer is generally considered to have discontinued their employment if they are no longer employed by the employer that is responsible for the payroll withholding. We establish reserves for Grupo Finmart loans as follows:</w:t>
      </w:r>
    </w:p>
    <w:p>
      <w:pPr>
        <w:spacing w:after="0" w:line="12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100% of non-performing loans, which for this purpose we consider to be: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Out-of-payroll loans for which Grupo Finmart is not receiving payments;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In-payroll loans for which Group Finmart has not received any payments for 180 consecutive days.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establish additional loan principal and accrued interest reserves for performing loans based on historical experience.</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we reserve 100% of a Grupo Finmart loan, we charge the loan principal to consumer loan bad debt expense, reduce interest revenue by the amount of unpaid interest theretofore accrued on the loan and cease accruing interest revenue. Future collections are recorded as a reduction of consumer loan bad debt expense (in the case of written-off principal) and an increase in consumer loan fee revenue (in the case of written-off accrued interest) after principal has been recovered. The $16.3 million and $31.4 million recorded investment in unsecured long-term loans at December 31, 2014 and 2013, respectively, that are greater than 90 days are related to customers that are in payroll.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allowance for credit losses, as well as the recorded investment in our financing receivables by portfolio segment for the periods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3"/>
                <w:szCs w:val="13"/>
                <w:color w:val="auto"/>
              </w:rPr>
            </w:pPr>
          </w:p>
        </w:tc>
        <w:tc>
          <w:tcPr>
            <w:tcW w:w="8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8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80" w:type="dxa"/>
            <w:vAlign w:val="bottom"/>
          </w:tcPr>
          <w:p>
            <w:pPr>
              <w:spacing w:after="0"/>
              <w:rPr>
                <w:sz w:val="12"/>
                <w:szCs w:val="12"/>
                <w:color w:val="auto"/>
              </w:rPr>
            </w:pPr>
          </w:p>
        </w:tc>
        <w:tc>
          <w:tcPr>
            <w:tcW w:w="10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20" w:type="dxa"/>
            <w:vAlign w:val="bottom"/>
          </w:tcPr>
          <w:p>
            <w:pPr>
              <w:spacing w:after="0"/>
              <w:rPr>
                <w:sz w:val="12"/>
                <w:szCs w:val="12"/>
                <w:color w:val="auto"/>
              </w:rPr>
            </w:pPr>
          </w:p>
        </w:tc>
        <w:tc>
          <w:tcPr>
            <w:tcW w:w="86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300" w:type="dxa"/>
            <w:vAlign w:val="bottom"/>
          </w:tcPr>
          <w:p>
            <w:pPr>
              <w:spacing w:after="0"/>
              <w:rPr>
                <w:sz w:val="12"/>
                <w:szCs w:val="12"/>
                <w:color w:val="auto"/>
              </w:rPr>
            </w:pPr>
          </w:p>
        </w:tc>
        <w:tc>
          <w:tcPr>
            <w:tcW w:w="7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22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59"/>
        </w:trPr>
        <w:tc>
          <w:tcPr>
            <w:tcW w:w="3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Unsecured short-term consumer loans:</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Three Months Ended December 31, 2014</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14,645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(9,051)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3,291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4,996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(513)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13,368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31,159</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Three Months Ended December 31, 2013</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2,928</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(12,202)</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4,195</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7,915</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2,848</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22,870</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Secured short-term consumer loans:</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Three Months Ended December 31, 2014</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1,049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12,989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7,866</w:t>
            </w: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Three Months Ended December 31, 2013</w:t>
            </w:r>
          </w:p>
        </w:tc>
        <w:tc>
          <w:tcPr>
            <w:tcW w:w="520" w:type="dxa"/>
            <w:vAlign w:val="bottom"/>
          </w:tcPr>
          <w:p>
            <w:pPr>
              <w:spacing w:after="0"/>
              <w:rPr>
                <w:sz w:val="20"/>
                <w:szCs w:val="20"/>
                <w:color w:val="auto"/>
              </w:rPr>
            </w:pP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1,804</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(16,686)</w:t>
            </w:r>
          </w:p>
        </w:tc>
        <w:tc>
          <w:tcPr>
            <w:tcW w:w="22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15,182</w:t>
            </w:r>
          </w:p>
        </w:tc>
        <w:tc>
          <w:tcPr>
            <w:tcW w:w="3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2,032</w:t>
            </w:r>
          </w:p>
        </w:tc>
        <w:tc>
          <w:tcPr>
            <w:tcW w:w="22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2,332</w:t>
            </w: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11,386</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Unsecured long-term consumer loans:</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Three Months Ended December 31, 2014</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38,087</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7,612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(3,350)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42,182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157,368</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Three Months Ended December 31, 2013</w:t>
            </w: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19,849</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4,010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23,889</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136,152</w:t>
            </w:r>
          </w:p>
        </w:tc>
        <w:tc>
          <w:tcPr>
            <w:tcW w:w="0" w:type="dxa"/>
            <w:vAlign w:val="bottom"/>
          </w:tcPr>
          <w:p>
            <w:pPr>
              <w:spacing w:after="0"/>
              <w:rPr>
                <w:sz w:val="1"/>
                <w:szCs w:val="1"/>
                <w:color w:val="auto"/>
              </w:rPr>
            </w:pPr>
          </w:p>
        </w:tc>
      </w:tr>
      <w:tr>
        <w:trPr>
          <w:trHeight w:val="33"/>
        </w:trPr>
        <w:tc>
          <w:tcPr>
            <w:tcW w:w="33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in our condensed consolidated balance sheets. Recoveries of unsecured long-term consumer loans are nil due to the nature of the loans charged-off.</w:t>
      </w:r>
    </w:p>
    <w:p>
      <w:pPr>
        <w:spacing w:after="0" w:line="13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Auto title loans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29, 2013, Grupo Finmart acquired an unsecured long-term consumer loan portfolio, consisting of approximately 10,500 payroll withholding loans, for a total purchase price of approximately $15.9 million. Of the total purchase price, a minimum of $11.7 million will be paid, of which approximately $10.5 million was paid at closing, $0.6 million was paid on April 30, 2014, and $0.6 million will be paid by November 28, 2014. The total price includes deferred consideration of approximately $4.2 million, subject to the performance of the portfolio and payable over the next 12 months as stipulated in the purchase agreement, of which approximately $2.1 million was paid on April 30, 2014. The remaining deferred consideration will be paid by November 28, 2014. The fair value of the loan portfolio was $11.8 million as of the acquisition date.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an aging analysis of past due financing receivables by portfolio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7"/>
              </w:rPr>
              <w:t>Recorded</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3"/>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0" w:type="dxa"/>
            <w:vAlign w:val="bottom"/>
          </w:tcPr>
          <w:p>
            <w:pPr>
              <w:spacing w:after="0"/>
              <w:rPr>
                <w:sz w:val="1"/>
                <w:szCs w:val="1"/>
                <w:color w:val="auto"/>
              </w:rPr>
            </w:pPr>
          </w:p>
        </w:tc>
      </w:tr>
      <w:tr>
        <w:trPr>
          <w:trHeight w:val="177"/>
        </w:trPr>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Days Past Due</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Financing</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140" w:type="dxa"/>
            <w:vAlign w:val="bottom"/>
          </w:tcPr>
          <w:p>
            <w:pPr>
              <w:spacing w:after="0"/>
              <w:rPr>
                <w:sz w:val="15"/>
                <w:szCs w:val="15"/>
                <w:color w:val="auto"/>
              </w:rPr>
            </w:pPr>
          </w:p>
        </w:tc>
        <w:tc>
          <w:tcPr>
            <w:tcW w:w="76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9"/>
              </w:rPr>
              <w:t>&gt; 90 Days</w:t>
            </w: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1-30</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31-60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61-90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&gt;90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Receivable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7"/>
              </w:rPr>
              <w:t>Accruing</w:t>
            </w:r>
          </w:p>
        </w:tc>
        <w:tc>
          <w:tcPr>
            <w:tcW w:w="0" w:type="dxa"/>
            <w:vAlign w:val="bottom"/>
          </w:tcPr>
          <w:p>
            <w:pPr>
              <w:spacing w:after="0"/>
              <w:rPr>
                <w:sz w:val="1"/>
                <w:szCs w:val="1"/>
                <w:color w:val="auto"/>
              </w:rPr>
            </w:pPr>
          </w:p>
        </w:tc>
      </w:tr>
      <w:tr>
        <w:trPr>
          <w:trHeight w:val="247"/>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Unsecured short-term consumer loans*: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December 31, 2013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Secured short-term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December 31, 2014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3,686</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4,180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7,866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2013</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6,516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2014</w:t>
            </w: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4,294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Unsecured long-term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December 31, 2014</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Performing Loans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107,414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16"/>
        </w:trPr>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Non-Performing</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28,293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45,775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110,208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157,368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December 31, 2013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Performing Loans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13,263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100,851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118,478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16"/>
        </w:trPr>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Non-Performing</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16,512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29,775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102,521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136,152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September 30, 2014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Performing Loans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116,870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131,223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216"/>
        </w:trPr>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Non-Performing</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27,274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119,188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162,860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Unsecured short-term consumer loan amounts are included for the periods after the December 20, 2012 acquisition of Go Cash, and prior to our discontinuance of Go Cash operations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September 30, 2014. As a result of our discontinuance of Go Cash, we wrote our unsecured short-term consumer loans down to net realized value, or a nominal amount, as of September 30, 2014.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7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FASB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our assets and liabilities which are carried at fair value are classified in one of the following three categories: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Other observable inputs other than quoted market prices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tables below present our financial assets (liabilities) that are measured at fair value on a recurring basis as of December 31, 2014 and 2013,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Financial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21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Convertible notes hedges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Convertible notes embedded derivative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financial assets (liabilities)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Financial (liabilities)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2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financial (liabilities) assets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Financial (liabilities)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2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Convertible notes hedges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Convertible notes embedded derivative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financial (liabilities) assets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24765</wp:posOffset>
            </wp:positionV>
            <wp:extent cx="2941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03" w:lineRule="exact"/>
        <w:rPr>
          <w:sz w:val="20"/>
          <w:szCs w:val="20"/>
          <w:color w:val="auto"/>
        </w:rPr>
      </w:pPr>
    </w:p>
    <w:p>
      <w:pPr>
        <w:ind w:left="240"/>
        <w:spacing w:after="0"/>
        <w:tabs>
          <w:tab w:leader="none" w:pos="2240" w:val="left"/>
          <w:tab w:leader="none" w:pos="3820" w:val="left"/>
          <w:tab w:leader="none" w:pos="5400" w:val="left"/>
        </w:tabs>
        <w:rPr>
          <w:sz w:val="20"/>
          <w:szCs w:val="20"/>
          <w:color w:val="auto"/>
        </w:rPr>
      </w:pPr>
      <w:r>
        <w:rPr>
          <w:rFonts w:ascii="Times New Roman" w:cs="Times New Roman" w:eastAsia="Times New Roman" w:hAnsi="Times New Roman"/>
          <w:sz w:val="14"/>
          <w:szCs w:val="14"/>
          <w:b w:val="1"/>
          <w:bCs w:val="1"/>
          <w:color w:val="auto"/>
        </w:rPr>
        <w:t>December 31, 2014</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404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0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As Restated (See Note 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2"/>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5"/>
        </w:trPr>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(19,719)</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(19,719)</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2"/>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5"/>
        </w:trPr>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36,994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-3875405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-3532505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-3189605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-2297430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-1954530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-891540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-548005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-205105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4320" w:space="720"/>
            <w:col w:w="6380"/>
          </w:cols>
          <w:pgMar w:left="240" w:top="118" w:right="239" w:bottom="1440" w:gutter="0" w:footer="0" w:header="0"/>
          <w:type w:val="continuous"/>
        </w:sect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measure the value of our marketable equity securities under a Level 1 input. These assets are publicly traded equity securities for which market prices are readily available. Marketable equity securities are recorded in the condensed consolidated balance sheets under "Other assets, net." We sold all marketable equity securities during fiscal 2014.</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Grupo Finmart measures the value of the forward contracts under Level 2 inputs. To measure the fair value of the forward contracts, Grupo Finmart used estimations of expected cash flows, appropriately risk-adjusted discount rates and available observable inputs (term of the forward, notional amount, discount rates based on local and foreign rate curves, and a credit value adjustment to consider the likelihood of nonperformance). Forward contracts are recorded in the condensed consolidated balance sheets under "Other assets, net" and "Deferred gains and other long-term liabilities."</w:t>
      </w:r>
    </w:p>
    <w:p>
      <w:pPr>
        <w:spacing w:after="0" w:line="12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Convertible Notes Hedges and the </w:t>
      </w:r>
      <w:r>
        <w:rPr>
          <w:rFonts w:ascii="Times New Roman" w:cs="Times New Roman" w:eastAsia="Times New Roman" w:hAnsi="Times New Roman"/>
          <w:sz w:val="18"/>
          <w:szCs w:val="18"/>
          <w:color w:val="252525"/>
        </w:rPr>
        <w:t>Convertible Notes Embedded Derivative</w:t>
      </w:r>
      <w:r>
        <w:rPr>
          <w:rFonts w:ascii="Times New Roman" w:cs="Times New Roman" w:eastAsia="Times New Roman" w:hAnsi="Times New Roman"/>
          <w:sz w:val="18"/>
          <w:szCs w:val="18"/>
          <w:color w:val="auto"/>
        </w:rPr>
        <w:t xml:space="preserve"> are determined using an option pricing model based on observable Level 1 and Level 2 inputs such as implied volatility, risk free interest rate and other factors. The Convertible Notes Hedges are recorded in the condensed consolidated balance sheets under "Other assets, net." The </w:t>
      </w:r>
      <w:r>
        <w:rPr>
          <w:rFonts w:ascii="Times New Roman" w:cs="Times New Roman" w:eastAsia="Times New Roman" w:hAnsi="Times New Roman"/>
          <w:sz w:val="18"/>
          <w:szCs w:val="18"/>
          <w:color w:val="252525"/>
        </w:rPr>
        <w:t>Convertible Notes Embedded Derivative</w:t>
      </w:r>
      <w:r>
        <w:rPr>
          <w:rFonts w:ascii="Times New Roman" w:cs="Times New Roman" w:eastAsia="Times New Roman" w:hAnsi="Times New Roman"/>
          <w:sz w:val="18"/>
          <w:szCs w:val="18"/>
          <w:color w:val="auto"/>
        </w:rPr>
        <w:t xml:space="preserve"> is recorded in the condensed consolidated balance sheets under "Long-term debt, less current maturities."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used an income approach to measure the fair value of the contingent consideration using a probability-weighted discounted cash flow approach. The significant inputs used for the valuation are not observable in the market, and thus this fair value measurement represents a Level 3 measurement within the fair value hierarchy. Contingent consideration is recorded in the condensed consolidated balance sheets under "Other current liabilities" and "Deferred gains and other long-term liabilities." Significant increases or decreases in the underlying assumptions used to value the contingent consideration could significantly increases or decrease the fair value estimates recorded in the condensed consolidated balance sheets.</w:t>
      </w:r>
    </w:p>
    <w:p>
      <w:pPr>
        <w:spacing w:after="0" w:line="13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 1 or Level 2 for financial assets or liabilities measured at fair value on a recurring basis during the periods presented.</w:t>
      </w:r>
    </w:p>
    <w:p>
      <w:pPr>
        <w:sectPr>
          <w:pgSz w:w="11900" w:h="16838" w:orient="portrait"/>
          <w:cols w:equalWidth="0" w:num="1">
            <w:col w:w="11420"/>
          </w:cols>
          <w:pgMar w:left="240" w:top="118" w:right="239" w:bottom="1440"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 Temporary Equity and Liabilities Not Measured at Fair Value</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financial assets, temporary equity and liabilities as of December 31, 2014 and 2013, and September 30, 2014, that are not measured at fair value in our condensed consolidated balance sheets,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7"/>
        </w:trPr>
        <w:tc>
          <w:tcPr>
            <w:tcW w:w="4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40" w:type="dxa"/>
            <w:vAlign w:val="bottom"/>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rPr>
              <w:t>As Restated (See Note 2)</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4"/>
        </w:trPr>
        <w:tc>
          <w:tcPr>
            <w:tcW w:w="4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80" w:type="dxa"/>
            <w:vAlign w:val="bottom"/>
            <w:gridSpan w:val="4"/>
          </w:tcPr>
          <w:p>
            <w:pPr>
              <w:jc w:val="right"/>
              <w:ind w:right="5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77,599</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77,599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77,599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60,218</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loans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150,930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150,930</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61,936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61,936</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service charges receivable,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30,241</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13,199</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79,615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79,615</w:t>
            </w:r>
          </w:p>
        </w:tc>
      </w:tr>
      <w:tr>
        <w:trPr>
          <w:trHeight w:val="297"/>
        </w:trPr>
        <w:tc>
          <w:tcPr>
            <w:tcW w:w="42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476,206</w:t>
            </w:r>
          </w:p>
        </w:tc>
        <w:tc>
          <w:tcPr>
            <w:tcW w:w="4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478,048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142,127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335,921</w:t>
            </w:r>
          </w:p>
        </w:tc>
      </w:tr>
      <w:tr>
        <w:trPr>
          <w:trHeight w:val="311"/>
        </w:trPr>
        <w:tc>
          <w:tcPr>
            <w:tcW w:w="4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Temporary equity:</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44,771</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44,771</w:t>
            </w:r>
          </w:p>
        </w:tc>
      </w:tr>
      <w:tr>
        <w:trPr>
          <w:trHeight w:val="324"/>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2.125% Cash convertible senior notes due 2019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187,727</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185,461</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185,461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Consumer loans facility due 2019</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49,475</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49,604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secured notes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23,935</w:t>
            </w:r>
          </w:p>
        </w:tc>
        <w:tc>
          <w:tcPr>
            <w:tcW w:w="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Secured notes consolidated from VIEs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113,168</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111,523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416,823</w:t>
            </w:r>
          </w:p>
        </w:tc>
        <w:tc>
          <w:tcPr>
            <w:tcW w:w="40" w:type="dxa"/>
            <w:vAlign w:val="bottom"/>
            <w:tcBorders>
              <w:top w:val="single" w:sz="8" w:color="auto"/>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413,284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413,284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70"/>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40</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812"/>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1"/>
        </w:trPr>
        <w:tc>
          <w:tcPr>
            <w:tcW w:w="10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gridSpan w:val="4"/>
          </w:tcPr>
          <w:p>
            <w:pPr>
              <w:jc w:val="right"/>
              <w:ind w:right="5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32,689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Pawn loans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153,421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153,421</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62,653</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61,789</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Pawn service charges receivable,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30,842</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17,415</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78,686</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79,302</w:t>
            </w:r>
          </w:p>
        </w:tc>
      </w:tr>
      <w:tr>
        <w:trPr>
          <w:trHeight w:val="297"/>
        </w:trPr>
        <w:tc>
          <w:tcPr>
            <w:tcW w:w="42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388,266</w:t>
            </w:r>
          </w:p>
        </w:tc>
        <w:tc>
          <w:tcPr>
            <w:tcW w:w="4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388,018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45,249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342,769</w:t>
            </w:r>
          </w:p>
        </w:tc>
      </w:tr>
      <w:tr>
        <w:trPr>
          <w:trHeight w:val="311"/>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Temporary equity:</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45,825</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51,596</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51,596</w:t>
            </w:r>
          </w:p>
        </w:tc>
      </w:tr>
      <w:tr>
        <w:trPr>
          <w:trHeight w:val="324"/>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Domestic line of credit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146,500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146,500</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146,500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32,838</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Consumer loans facility due 2017</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32,147</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36,381</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currency secured notes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Secured notes consolidated from VIEs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270,368</w:t>
            </w:r>
          </w:p>
        </w:tc>
        <w:tc>
          <w:tcPr>
            <w:tcW w:w="40" w:type="dxa"/>
            <w:vAlign w:val="bottom"/>
            <w:tcBorders>
              <w:top w:val="single" w:sz="8" w:color="auto"/>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271,586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48,748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222,838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41</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812"/>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1"/>
        </w:trPr>
        <w:tc>
          <w:tcPr>
            <w:tcW w:w="10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gridSpan w:val="4"/>
          </w:tcPr>
          <w:p>
            <w:pPr>
              <w:jc w:val="right"/>
              <w:ind w:right="5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55,325</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55,325</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55,325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63,495</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Pawn loans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162,444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162,444</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63,995</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64,631</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Pawn service charges receivable, net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31,044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31,044</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12,647</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12,647</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5,070</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85,004</w:t>
            </w: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86,364</w:t>
            </w:r>
          </w:p>
        </w:tc>
      </w:tr>
      <w:tr>
        <w:trPr>
          <w:trHeight w:val="297"/>
        </w:trPr>
        <w:tc>
          <w:tcPr>
            <w:tcW w:w="42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479,024</w:t>
            </w:r>
          </w:p>
        </w:tc>
        <w:tc>
          <w:tcPr>
            <w:tcW w:w="34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481,020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123,890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357,130</w:t>
            </w:r>
          </w:p>
        </w:tc>
      </w:tr>
      <w:tr>
        <w:trPr>
          <w:trHeight w:val="311"/>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Temporary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22,800</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49,021</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49,021</w:t>
            </w:r>
          </w:p>
        </w:tc>
      </w:tr>
      <w:tr>
        <w:trPr>
          <w:trHeight w:val="324"/>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2.125% Cash convertible senior notes due 2019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185,693</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185,738</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185,738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27,185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Consumer loans facility due 2019</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54,045</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36,991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36,837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currency secured notes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26,195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Secured notes from consolidated VIEs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61,062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59,906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391,171</w:t>
            </w:r>
          </w:p>
        </w:tc>
        <w:tc>
          <w:tcPr>
            <w:tcW w:w="3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389,988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54,178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335,810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Portions of these amounts are included under "Current maturities of long-term debt" and "Long-term debt, less current maturities" in our condensed consolidated balance sheets.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bear interest at market rates and have maturities of less than 90 days.</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maximum U.S. pawn loan term ranges between 30 and 120 days, consisting of the primary term and grace period. The maximum Mexico pawn loan term is 30 days, consisting of the primary term and grace period. Significant increases or decreases in the underlying assumptions used to value the pawn loans could significantly increase or decrease the fair value estimates disclosed above.</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Consumer loans, including long-term unsecured consumer loans made by Grupo Finmart, are carried in the condensed consolidated balance sheets net of the allowance for estimated loan losses, which is based on recent loan default experience adjusted for seasonal variations. Consumer loans, other than those made by Grupo Finmart, have relatively short maturity periods that are generally less than 12 months; therefore, we estimate that their carrying value approximates fair value. Consumer loans made by Grupo Finmart have an average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Significant increases or decreases in the underlying assumptions used to value the consumer loans could significantly increase or decrease the fair value estimates disclosed above.</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record pawn service charges receivable using the interest method for all pawn loans we believe to be collectible. We base our estimate of collectible loans on several unobservable inputs, including recent redemption rates, historical trends in redemption rates and the amount of loans due in the following two months. Significant increases or decreases in the underlying assumptions used to value the pawn service charges receivable could significantly increase or decrease the fair value estimates disclosed above.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Consumer loan fees and interest receivable are carried in the condensed consolidated balance sheets net of the allowance for uncollectible consumer loan fees and interest receivable, which is based on recent loan default experience adjusted for seasonal variations and collection percentages. Based on the short-term nature of these assets we estimate that their carrying value approximates fair value. Significant increases or decreases in the underlying assumptions used to value the consumer loan fees and interest receivable could significantly increase or decrease the fair value estimates disclosed above.</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fair value of the redeemable noncontrolling interest was estimated by applying an income approach. This fair value measurement is based on significant inputs that are not observable in the market and thus represents a Level 3 measurement. Key assumptions include discount rates ranging from 5% to 10%, representing discounts for lack of control and lack of marketability that market participants would consider when estimating the fair value of the noncontrolling interest. Significant increases or decreases in the underlying assumptions used to value the redeemable noncontrolling interest could significantly increase or decrease the fair value estimates disclosed above.</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measure the fair value of our financial liabilities using an income approach. The total carrying value of the 2.125% cash convertible senior notes due 2019 and the embedded derivative </w:t>
      </w:r>
      <w:r>
        <w:rPr>
          <w:rFonts w:ascii="Times New Roman" w:cs="Times New Roman" w:eastAsia="Times New Roman" w:hAnsi="Times New Roman"/>
          <w:sz w:val="18"/>
          <w:szCs w:val="18"/>
          <w:color w:val="252525"/>
        </w:rPr>
        <w:t>as of December 31, 2014 is accreting to the $230.0 million redemption value using a discount rate of approximately 7%,</w:t>
      </w:r>
      <w:r>
        <w:rPr>
          <w:rFonts w:ascii="Times New Roman" w:cs="Times New Roman" w:eastAsia="Times New Roman" w:hAnsi="Times New Roman"/>
          <w:sz w:val="18"/>
          <w:szCs w:val="18"/>
          <w:color w:val="auto"/>
        </w:rPr>
        <w:t xml:space="preserve"> which approximated the Company’s incremental borrowing rate for a similar debt instrument (without the cash conversion feature) as of the date of issuance and thus represents a Level 2 measurement.</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Fair value measurements for our domestic line of credit were calculated using discount rates based on an estimated senior secured spread plus term matched risk-free rates as of the valuation dates.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utilize credit quality-related zero rate curves, quoted price and yield inputs for Mexican Pesos built by a price vendor authorized by the Comisión Nacional Bancaria y de Valores to determine the fair value measurements of the remaining financial liabilities that are classified as Level 2. For financial liability fair value measurements that are classified as Level 1, we utilize quoted price and yield inputs from Bloomberg and a price vendor authorized by the Comisión Nacional Bancaria y de Valores.</w:t>
      </w:r>
    </w:p>
    <w:p>
      <w:pPr>
        <w:spacing w:after="0" w:line="126" w:lineRule="exact"/>
        <w:rPr>
          <w:sz w:val="20"/>
          <w:szCs w:val="20"/>
          <w:color w:val="auto"/>
        </w:rPr>
      </w:pPr>
    </w:p>
    <w:p>
      <w:pPr>
        <w:ind w:right="4940"/>
        <w:spacing w:after="0" w:line="438" w:lineRule="auto"/>
        <w:rPr>
          <w:sz w:val="20"/>
          <w:szCs w:val="20"/>
          <w:color w:val="auto"/>
        </w:rPr>
      </w:pPr>
      <w:r>
        <w:rPr>
          <w:rFonts w:ascii="Times New Roman" w:cs="Times New Roman" w:eastAsia="Times New Roman" w:hAnsi="Times New Roman"/>
          <w:sz w:val="18"/>
          <w:szCs w:val="18"/>
          <w:color w:val="auto"/>
        </w:rPr>
        <w:t xml:space="preserve">See Note 5 for discussion of the fair value of our investments in unconsolidated affiliates. </w:t>
      </w:r>
      <w:r>
        <w:rPr>
          <w:rFonts w:ascii="Times New Roman" w:cs="Times New Roman" w:eastAsia="Times New Roman" w:hAnsi="Times New Roman"/>
          <w:sz w:val="18"/>
          <w:szCs w:val="18"/>
          <w:b w:val="1"/>
          <w:bCs w:val="1"/>
          <w:color w:val="auto"/>
        </w:rPr>
        <w:t xml:space="preserve">NOTE 15: DERIVATIVE INSTRUMENTS AND HEDGING ACTIVITIES </w:t>
      </w:r>
      <w:r>
        <w:rPr>
          <w:rFonts w:ascii="Times New Roman" w:cs="Times New Roman" w:eastAsia="Times New Roman" w:hAnsi="Times New Roman"/>
          <w:sz w:val="18"/>
          <w:szCs w:val="18"/>
          <w:i w:val="1"/>
          <w:iCs w:val="1"/>
          <w:color w:val="auto"/>
        </w:rPr>
        <w:t>Derivative Instruments Discontinued as Cash Flow Hedging Instruments</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2013, Grupo Finmart completed a $30.0 million cross-border debt offering for which it has to pay interest on a semiannual basis at a fixed rate. Grupo Finmart uses derivative instruments (the "foreign currency forwards") to manage its exposure related to changes in the foreign currency exchange rate on this instrument through its maturity on November 16, 2015. Grupo Finmart does not enter into derivative instruments for any purpose other than cash flow hedging.</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beginning of the quarter ended December 31, 2014, we discontinued hedge accounting for our foreign currency forwards due to a determination that repayment of the $30.0 million cross-border debt was to occur prior to maturity. As such, not all of the forecasted interest payments are expected to occur, resulting in the discontinuance of hedge accounting. Further, Grupo Finmart repaid $17.5 million of the outstanding cross-border debt and received proceeds of $2.3 million from settlement of the portion of the foreign currency forwards attributable to the repaid cross-border debt during the quarter ended December 31, 2014.</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Whenever hedge accounting is discontinued and the derivative remains outstanding, we continue to carry the derivative at its fair value on our condensed consolidated balance sheets and recognize any gains and losses currently in accumulated other comprehensive income attributable to any repaid portion of the hedged item in addition to any subsequent changes in the fair value of the derivative under "Other expense (income)" in our condensed consolidated statements of operations. We amortize the gains and losses currently in accumulated other comprehensive income attributable to any remaining outstanding portion of the hedged item to earnings under "Other expense (income)" in our condensed consolidated statements of operations over the remaining term of the outstanding hedged item.</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Prior to the discontinuance of hedge accounting, changes in the fair value of the foreign currency forwards designated as hedging instruments that effectively offset the variability of cash flows associated with the exchange rate were reported in accumulated other comprehensive income. These amounts subsequently were reclassified into earnings in the same period or periods during which the hedged transaction affected earnings.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18" w:right="25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certain information regarding our derivative instruments discontinued as cash flow hedging instruments: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tc>
        <w:tc>
          <w:tcPr>
            <w:tcW w:w="680" w:type="dxa"/>
            <w:vAlign w:val="bottom"/>
            <w:tcBorders>
              <w:bottom w:val="single" w:sz="8" w:color="auto"/>
            </w:tcBorders>
          </w:tcPr>
          <w:p>
            <w:pPr>
              <w:spacing w:after="0"/>
              <w:rPr>
                <w:sz w:val="16"/>
                <w:szCs w:val="16"/>
                <w:color w:val="auto"/>
              </w:rPr>
            </w:pPr>
          </w:p>
        </w:tc>
      </w:tr>
      <w:tr>
        <w:trPr>
          <w:trHeight w:val="264"/>
        </w:trPr>
        <w:tc>
          <w:tcPr>
            <w:tcW w:w="3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20" w:type="dxa"/>
            <w:vAlign w:val="bottom"/>
            <w:tcBorders>
              <w:bottom w:val="single" w:sz="8" w:color="auto"/>
            </w:tcBorders>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20" w:type="dxa"/>
            <w:vAlign w:val="bottom"/>
            <w:gridSpan w:val="2"/>
          </w:tcPr>
          <w:p>
            <w:pPr>
              <w:jc w:val="center"/>
              <w:ind w:left="61"/>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30"/>
        </w:trPr>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prepaid expenses and other current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41"/>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2,173</w:t>
            </w:r>
          </w:p>
        </w:tc>
        <w:tc>
          <w:tcPr>
            <w:tcW w:w="4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1,952</w:t>
            </w:r>
          </w:p>
        </w:tc>
        <w:tc>
          <w:tcPr>
            <w:tcW w:w="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2,420</w:t>
            </w:r>
          </w:p>
        </w:tc>
      </w:tr>
      <w:tr>
        <w:trPr>
          <w:trHeight w:val="286"/>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Amount of Loss Recognized in Other Comprehensive Income on</w:t>
            </w:r>
          </w:p>
        </w:tc>
      </w:tr>
      <w:tr>
        <w:trPr>
          <w:trHeight w:val="195"/>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50"/>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Borders>
              <w:bottom w:val="single" w:sz="8" w:color="auto"/>
            </w:tcBorders>
          </w:tcPr>
          <w:p>
            <w:pPr>
              <w:spacing w:after="0"/>
              <w:rPr>
                <w:sz w:val="21"/>
                <w:szCs w:val="21"/>
                <w:color w:val="auto"/>
              </w:rPr>
            </w:pPr>
          </w:p>
        </w:tc>
      </w:tr>
      <w:tr>
        <w:trPr>
          <w:trHeight w:val="264"/>
        </w:trPr>
        <w:tc>
          <w:tcPr>
            <w:tcW w:w="3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20" w:type="dxa"/>
            <w:vAlign w:val="bottom"/>
            <w:gridSpan w:val="2"/>
          </w:tcPr>
          <w:p>
            <w:pPr>
              <w:jc w:val="center"/>
              <w:ind w:right="4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55"/>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38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r>
      <w:tr>
        <w:trPr>
          <w:trHeight w:val="286"/>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gridSpan w:val="7"/>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Amount of Loss on Derivatives Reclassified into Income from</w:t>
            </w:r>
          </w:p>
        </w:tc>
      </w:tr>
      <w:tr>
        <w:trPr>
          <w:trHeight w:val="195"/>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w:t>
            </w:r>
          </w:p>
        </w:tc>
        <w:tc>
          <w:tcPr>
            <w:tcW w:w="680" w:type="dxa"/>
            <w:vAlign w:val="bottom"/>
            <w:tcBorders>
              <w:bottom w:val="single" w:sz="8" w:color="auto"/>
            </w:tcBorders>
          </w:tcPr>
          <w:p>
            <w:pPr>
              <w:spacing w:after="0"/>
              <w:rPr>
                <w:sz w:val="16"/>
                <w:szCs w:val="16"/>
                <w:color w:val="auto"/>
              </w:rPr>
            </w:pPr>
          </w:p>
        </w:tc>
      </w:tr>
      <w:tr>
        <w:trPr>
          <w:trHeight w:val="250"/>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Borders>
              <w:bottom w:val="single" w:sz="8" w:color="auto"/>
            </w:tcBorders>
          </w:tcPr>
          <w:p>
            <w:pPr>
              <w:spacing w:after="0"/>
              <w:rPr>
                <w:sz w:val="21"/>
                <w:szCs w:val="21"/>
                <w:color w:val="auto"/>
              </w:rPr>
            </w:pPr>
          </w:p>
        </w:tc>
      </w:tr>
      <w:tr>
        <w:trPr>
          <w:trHeight w:val="264"/>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Pr>
          <w:p>
            <w:pPr>
              <w:spacing w:after="0"/>
              <w:rPr>
                <w:sz w:val="22"/>
                <w:szCs w:val="22"/>
                <w:color w:val="auto"/>
              </w:rPr>
            </w:pPr>
          </w:p>
        </w:tc>
      </w:tr>
      <w:tr>
        <w:trPr>
          <w:trHeight w:val="264"/>
        </w:trPr>
        <w:tc>
          <w:tcPr>
            <w:tcW w:w="2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48"/>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40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9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Not Designated as Hedging Instruments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 described in Note 7, in June 2014 we </w:t>
      </w:r>
      <w:r>
        <w:rPr>
          <w:rFonts w:ascii="Times New Roman" w:cs="Times New Roman" w:eastAsia="Times New Roman" w:hAnsi="Times New Roman"/>
          <w:sz w:val="18"/>
          <w:szCs w:val="18"/>
          <w:color w:val="252525"/>
        </w:rPr>
        <w:t>issued and settled $200.0 million aggregate principal amount of</w:t>
      </w:r>
      <w:r>
        <w:rPr>
          <w:rFonts w:ascii="Times New Roman" w:cs="Times New Roman" w:eastAsia="Times New Roman" w:hAnsi="Times New Roman"/>
          <w:sz w:val="18"/>
          <w:szCs w:val="18"/>
          <w:color w:val="auto"/>
        </w:rPr>
        <w:t xml:space="preserve"> Convertible Notes. We granted the initial purchasers the option to purchase up to an additional $30.0 million aggregate principal amount of Convertible Notes. On June 27, 2014, such option was exercised in full. On July 2, 2014, the purchase of the additional $30.0 million of Convertible Notes was settled. The conversion feature of the Convertible Notes can only be settled in cash and is required to be bifurcated from the Convertible Notes and treated as a separate derivative instrument. In order to offset the cash flow risk associated with the </w:t>
      </w:r>
      <w:r>
        <w:rPr>
          <w:rFonts w:ascii="Times New Roman" w:cs="Times New Roman" w:eastAsia="Times New Roman" w:hAnsi="Times New Roman"/>
          <w:sz w:val="18"/>
          <w:szCs w:val="18"/>
          <w:color w:val="252525"/>
        </w:rPr>
        <w:t>Convertible Notes Embedded Derivative</w:t>
      </w:r>
      <w:r>
        <w:rPr>
          <w:rFonts w:ascii="Times New Roman" w:cs="Times New Roman" w:eastAsia="Times New Roman" w:hAnsi="Times New Roman"/>
          <w:sz w:val="18"/>
          <w:szCs w:val="18"/>
          <w:color w:val="auto"/>
        </w:rPr>
        <w:t xml:space="preserve">, we purchased Convertible Notes Hedges, which are accounted for as derivative instruments. The Convertible Notes Embedded Derivative and the Convertible Notes Hedges are adjusted to fair value each reporting period and unrealized gains and losses are reflected in the condensed consolidated statements of operations. We expect that the realized gain or loss from the Convertible Notes Hedges will substantially offset the realized loss or gain of the </w:t>
      </w:r>
      <w:r>
        <w:rPr>
          <w:rFonts w:ascii="Times New Roman" w:cs="Times New Roman" w:eastAsia="Times New Roman" w:hAnsi="Times New Roman"/>
          <w:sz w:val="18"/>
          <w:szCs w:val="18"/>
          <w:color w:val="252525"/>
        </w:rPr>
        <w:t>Convertible Notes Embedded Derivative</w:t>
      </w:r>
      <w:r>
        <w:rPr>
          <w:rFonts w:ascii="Times New Roman" w:cs="Times New Roman" w:eastAsia="Times New Roman" w:hAnsi="Times New Roman"/>
          <w:sz w:val="18"/>
          <w:szCs w:val="18"/>
          <w:color w:val="auto"/>
        </w:rPr>
        <w:t xml:space="preserve"> upon maturity of the Convertible Notes. See Note 14 for additional information regarding the fair values of the </w:t>
      </w:r>
      <w:r>
        <w:rPr>
          <w:rFonts w:ascii="Times New Roman" w:cs="Times New Roman" w:eastAsia="Times New Roman" w:hAnsi="Times New Roman"/>
          <w:sz w:val="18"/>
          <w:szCs w:val="18"/>
          <w:color w:val="252525"/>
        </w:rPr>
        <w:t>Convertible Notes Embedded Derivative</w:t>
      </w:r>
      <w:r>
        <w:rPr>
          <w:rFonts w:ascii="Times New Roman" w:cs="Times New Roman" w:eastAsia="Times New Roman" w:hAnsi="Times New Roman"/>
          <w:sz w:val="18"/>
          <w:szCs w:val="18"/>
          <w:color w:val="auto"/>
        </w:rPr>
        <w:t xml:space="preserve"> and the Convertible Notes Hedges.</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2014 and the fiscal year ended September 30, 2014, Grupo Finmart entered into a cross currency forward contract in connection with the formation of the VIEs and the related transfers of certain loans as described in Note 17. The Company guarantees the future cash outflows of the forward contract, which is included in the Company’s consolidated balance sheets and adjusted to fair value each reporting period through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certain information regarding our derivative instruments not designated as hedging instruments: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Fair Value Asset (Liability) of Derivative Instruments</w:t>
            </w:r>
          </w:p>
        </w:tc>
      </w:tr>
      <w:tr>
        <w:trPr>
          <w:trHeight w:val="264"/>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378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149"/>
        </w:trPr>
        <w:tc>
          <w:tcPr>
            <w:tcW w:w="3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As Restated (See</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5"/>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prepaid expenses and other 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7,814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r>
      <w:tr>
        <w:trPr>
          <w:trHeight w:val="243"/>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Convertible notes hedges</w:t>
            </w:r>
          </w:p>
        </w:tc>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45,163</w:t>
            </w:r>
          </w:p>
        </w:tc>
        <w:tc>
          <w:tcPr>
            <w:tcW w:w="240" w:type="dxa"/>
            <w:vAlign w:val="bottom"/>
          </w:tcPr>
          <w:p>
            <w:pPr>
              <w:spacing w:after="0"/>
              <w:rPr>
                <w:sz w:val="21"/>
                <w:szCs w:val="21"/>
                <w:color w:val="auto"/>
              </w:rPr>
            </w:pPr>
          </w:p>
        </w:tc>
        <w:tc>
          <w:tcPr>
            <w:tcW w:w="1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36,994</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embedded derivative</w:t>
            </w:r>
          </w:p>
        </w:tc>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(45,163)</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(36,994)</w:t>
            </w: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 of Unrealized Gain on Derivatives</w:t>
            </w:r>
          </w:p>
        </w:tc>
      </w:tr>
      <w:tr>
        <w:trPr>
          <w:trHeight w:val="250"/>
        </w:trPr>
        <w:tc>
          <w:tcPr>
            <w:tcW w:w="37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20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49"/>
        </w:trPr>
        <w:tc>
          <w:tcPr>
            <w:tcW w:w="3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 (See</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0"/>
        </w:trPr>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5"/>
        </w:trPr>
        <w:tc>
          <w:tcPr>
            <w:tcW w:w="37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gridSpan w:val="3"/>
          </w:tcPr>
          <w:p>
            <w:pPr>
              <w:jc w:val="center"/>
              <w:ind w:left="88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23"/>
                <w:szCs w:val="23"/>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2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37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51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16: SUPPLEMENTAL CONSOLIDATED FINANCIAL INFORMATION </w:t>
      </w:r>
      <w:r>
        <w:rPr>
          <w:rFonts w:ascii="Times New Roman" w:cs="Times New Roman" w:eastAsia="Times New Roman" w:hAnsi="Times New Roman"/>
          <w:sz w:val="18"/>
          <w:szCs w:val="18"/>
          <w:i w:val="1"/>
          <w:iCs w:val="1"/>
          <w:color w:val="auto"/>
        </w:rPr>
        <w:t>Supplemental Condensed Consolidated Balance Sheet Information</w:t>
      </w:r>
    </w:p>
    <w:p>
      <w:pPr>
        <w:spacing w:after="0" w:line="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net amounts included in pawn service charges receivable, consumer loan fees and interest receivable, inventory, receivables, prepaid expenses and other current assets and property and equipment: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70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 (See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0"/>
        </w:trPr>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8"/>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Pawn service charges receivable, net: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pawn service charges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38,568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38,571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41,351</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Allowance for uncollectible pawn service charges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r>
      <w:tr>
        <w:trPr>
          <w:trHeight w:val="297"/>
        </w:trPr>
        <w:tc>
          <w:tcPr>
            <w:tcW w:w="7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30,241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30,842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31,044</w:t>
            </w:r>
          </w:p>
        </w:tc>
      </w:tr>
      <w:tr>
        <w:trPr>
          <w:trHeight w:val="284"/>
        </w:trPr>
        <w:tc>
          <w:tcPr>
            <w:tcW w:w="7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loan fees and interest receivable, net:</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consumer loan fees and interest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27,707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26,332</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Allowance for uncollectible consumer loan fees and interest receivable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(13,685)</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12,647</w:t>
            </w: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 gross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144,442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147,975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154,218</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 reserves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(16,043)</w:t>
            </w:r>
          </w:p>
        </w:tc>
      </w:tr>
      <w:tr>
        <w:trPr>
          <w:trHeight w:val="297"/>
        </w:trPr>
        <w:tc>
          <w:tcPr>
            <w:tcW w:w="7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132,659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142,159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138,175</w:t>
            </w:r>
          </w:p>
        </w:tc>
      </w:tr>
      <w:tr>
        <w:trPr>
          <w:trHeight w:val="284"/>
        </w:trPr>
        <w:tc>
          <w:tcPr>
            <w:tcW w:w="7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324"/>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241,419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237,183</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(131,283)</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104,353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114,539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105,900</w:t>
            </w: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quarter ended December 31, 2013, we sold seven U.S. pawn stores (three in Louisiana, two in Mississippi, one in Alabama and one in Florida) for $11.0 million, of which $10.0 million was paid in cash and $1.0 million with a 14% promissory note due on December 31, 2018. The carrying value of the stores' net assets amounted to $3.7 million, primarily consisting of $1.5 million of pawn loans, $1.9 million of inventory, and $0.4 million of pawn service charge receivable, offset by $0.1 million of assumed liabilities. During the quarter ended December 31, 2013 we realized a gain of $6.3 million, which is included under the (gain) loss on sale or disposal of assets in the condensed consolidated statement of operations. In addition, we recorded a deferred gain of $0.7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VARIABLE INTEREST ENTITIES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performs ongoing qualitative assessments of VIEs it is involved with to determine if the Company has a controlling financial interest in the VIE and therefore is the VIE’s primary beneficiary. If it is determined to be the primary beneficiary, the Company consolidates the VIE in the Company’s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Variable Interest Entities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fiscal year ended September 30, 2014 and the first quarter of fiscal 2015, Grupo Finmart participated in the formation of three VIEs that purchased Mexican Peso denominated long-term unsecured Mexican consumer loans originated by Grupo Finmart whose borrowers were Mexican government employees at the time of loan origination. Each VIE issued its notes to third party investors and used the related net proceeds to purchase the loans from Grupo Finmart at a premium over their principal amount. The creditors of the VIEs do not have recourse to the general credit of EZCORP, Inc. We consolidate these VIEs as we have the power to direct the activities that significantly affect each VIE’s economic performance and have the right to receive benefits or the obligation to absorb losses that could potentially be significant to each VIE.</w:t>
      </w:r>
    </w:p>
    <w:p>
      <w:pPr>
        <w:spacing w:after="0" w:line="13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first VIE (“VIE C”) was formed in October 2013 as a trust with third party "Investor C" as the purchaser of its Mexican Peso denominated notes and the VIE’s first beneficiary. The second VIE (“VIE B”) was formed in March 2014 (amended in June, September and December 2014) as a trust with "Investor B" as the purchaser of the VIE’s U.S. Dollar denominated notes and the VIE’s first beneficiary. The third VIE (“VIE A”) was formed in June 2014 as a trust with "Investor A" as the purchaser of the VIE’s Mexican Peso denominated notes and the VIE’s first beneficiary. Grupo Finmart is the servicer of the VIEs’ loans. In August 2014, "Investors D" and "E" purchased a portion of VIE A’s notes from "Investor A" and became additional VIE A first beneficiaries. Each VIEs’ notes are payable solely from the VIE’s assets. Grupo Finmart receives 100% of VIE C and B cash flows and 50% of VIE A cash flows after: 1) the related VIE’s operating expenses are paid, and 2) the related VIE's notes are repaid. Grupo Finmart has an option to repurchase VIE A’s loans. VIE A is the only VIE for which Grupo Finmart can be terminated as servicer for reasons other than cause, with termination requiring unanimous first beneficiary approval.</w:t>
      </w:r>
    </w:p>
    <w:p>
      <w:pPr>
        <w:spacing w:after="0" w:line="11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VIE B has entered into foreign exchange forward contracts with Grupo Finmart to mitigate the risk associated with its U.S. Dollar denominated assets and Mexican Peso denominated liabilities. Grupo Finmart has entered into an offsetting foreign exchange forward contract with a third party. See Note 15 for additional information regarding the fair value of the forward contract.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loans Grupo Finmart transferred to the VIEs at the date of transfer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Carrying (Par) Value of</w:t>
            </w:r>
          </w:p>
        </w:tc>
        <w:tc>
          <w:tcPr>
            <w:tcW w:w="280" w:type="dxa"/>
            <w:vAlign w:val="bottom"/>
          </w:tcPr>
          <w:p>
            <w:pPr>
              <w:spacing w:after="0"/>
              <w:rPr>
                <w:sz w:val="13"/>
                <w:szCs w:val="13"/>
                <w:color w:val="auto"/>
              </w:rPr>
            </w:pPr>
          </w:p>
        </w:tc>
        <w:tc>
          <w:tcPr>
            <w:tcW w:w="15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Carrying Value of</w:t>
            </w:r>
          </w:p>
        </w:tc>
        <w:tc>
          <w:tcPr>
            <w:tcW w:w="240" w:type="dxa"/>
            <w:vAlign w:val="bottom"/>
          </w:tcPr>
          <w:p>
            <w:pPr>
              <w:spacing w:after="0"/>
              <w:rPr>
                <w:sz w:val="13"/>
                <w:szCs w:val="13"/>
                <w:color w:val="auto"/>
              </w:rPr>
            </w:pPr>
          </w:p>
        </w:tc>
        <w:tc>
          <w:tcPr>
            <w:tcW w:w="14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Principal of VIE</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Portfolio</w:t>
            </w:r>
          </w:p>
        </w:tc>
        <w:tc>
          <w:tcPr>
            <w:tcW w:w="2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Accrued Interest of Loans</w:t>
            </w:r>
          </w:p>
        </w:tc>
        <w:tc>
          <w:tcPr>
            <w:tcW w:w="1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Promissory Note Issued</w:t>
            </w:r>
          </w:p>
        </w:tc>
        <w:tc>
          <w:tcPr>
            <w:tcW w:w="0" w:type="dxa"/>
            <w:vAlign w:val="bottom"/>
          </w:tcPr>
          <w:p>
            <w:pPr>
              <w:spacing w:after="0"/>
              <w:rPr>
                <w:sz w:val="1"/>
                <w:szCs w:val="1"/>
                <w:color w:val="auto"/>
              </w:rPr>
            </w:pPr>
          </w:p>
        </w:tc>
      </w:tr>
      <w:tr>
        <w:trPr>
          <w:trHeight w:val="195"/>
        </w:trPr>
        <w:tc>
          <w:tcPr>
            <w:tcW w:w="5840" w:type="dxa"/>
            <w:vAlign w:val="bottom"/>
            <w:gridSpan w:val="2"/>
            <w:vMerge w:val="continue"/>
          </w:tcPr>
          <w:p>
            <w:pPr>
              <w:spacing w:after="0"/>
              <w:rPr>
                <w:sz w:val="16"/>
                <w:szCs w:val="16"/>
                <w:color w:val="auto"/>
              </w:rPr>
            </w:pPr>
          </w:p>
        </w:tc>
        <w:tc>
          <w:tcPr>
            <w:tcW w:w="21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Principal of Loans Transferred</w:t>
            </w:r>
          </w:p>
        </w:tc>
        <w:tc>
          <w:tcPr>
            <w:tcW w:w="280" w:type="dxa"/>
            <w:vAlign w:val="bottom"/>
          </w:tcPr>
          <w:p>
            <w:pPr>
              <w:spacing w:after="0"/>
              <w:rPr>
                <w:sz w:val="16"/>
                <w:szCs w:val="16"/>
                <w:color w:val="auto"/>
              </w:rPr>
            </w:pPr>
          </w:p>
        </w:tc>
        <w:tc>
          <w:tcPr>
            <w:tcW w:w="15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Transferred</w:t>
            </w:r>
          </w:p>
        </w:tc>
        <w:tc>
          <w:tcPr>
            <w:tcW w:w="240" w:type="dxa"/>
            <w:vAlign w:val="bottom"/>
          </w:tcPr>
          <w:p>
            <w:pPr>
              <w:spacing w:after="0"/>
              <w:rPr>
                <w:sz w:val="16"/>
                <w:szCs w:val="16"/>
                <w:color w:val="auto"/>
              </w:rPr>
            </w:pPr>
          </w:p>
        </w:tc>
        <w:tc>
          <w:tcPr>
            <w:tcW w:w="14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at Par</w:t>
            </w:r>
          </w:p>
        </w:tc>
        <w:tc>
          <w:tcPr>
            <w:tcW w:w="0" w:type="dxa"/>
            <w:vAlign w:val="bottom"/>
          </w:tcPr>
          <w:p>
            <w:pPr>
              <w:spacing w:after="0"/>
              <w:rPr>
                <w:sz w:val="1"/>
                <w:szCs w:val="1"/>
                <w:color w:val="auto"/>
              </w:rPr>
            </w:pPr>
          </w:p>
        </w:tc>
      </w:tr>
      <w:tr>
        <w:trPr>
          <w:trHeight w:val="250"/>
        </w:trPr>
        <w:tc>
          <w:tcPr>
            <w:tcW w:w="5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 except number of loans)</w:t>
            </w:r>
          </w:p>
        </w:tc>
        <w:tc>
          <w:tcPr>
            <w:tcW w:w="2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14,500 payroll loans transferred to VIE C in October 2013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7,500 in payroll loans transferred to VIE B in March 2014</w:t>
            </w:r>
          </w:p>
        </w:tc>
        <w:tc>
          <w:tcPr>
            <w:tcW w:w="220" w:type="dxa"/>
            <w:vAlign w:val="bottom"/>
          </w:tcPr>
          <w:p>
            <w:pPr>
              <w:spacing w:after="0"/>
              <w:rPr>
                <w:sz w:val="21"/>
                <w:szCs w:val="21"/>
                <w:color w:val="auto"/>
              </w:rPr>
            </w:pP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21"/>
                <w:szCs w:val="21"/>
                <w:color w:val="auto"/>
              </w:rPr>
            </w:pPr>
          </w:p>
        </w:tc>
        <w:tc>
          <w:tcPr>
            <w:tcW w:w="1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7,100 in payroll loans transferred to VIE B in June 2014</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8,500 in payroll loans transferred to VIE A in June 2014</w:t>
            </w:r>
          </w:p>
        </w:tc>
        <w:tc>
          <w:tcPr>
            <w:tcW w:w="220" w:type="dxa"/>
            <w:vAlign w:val="bottom"/>
          </w:tcPr>
          <w:p>
            <w:pPr>
              <w:spacing w:after="0"/>
              <w:rPr>
                <w:sz w:val="21"/>
                <w:szCs w:val="21"/>
                <w:color w:val="auto"/>
              </w:rPr>
            </w:pP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21"/>
                <w:szCs w:val="21"/>
                <w:color w:val="auto"/>
              </w:rPr>
            </w:pPr>
          </w:p>
        </w:tc>
        <w:tc>
          <w:tcPr>
            <w:tcW w:w="1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16,135 in payroll loans transferred to VIE B in September 2014</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10,900 payroll loans transferred to VIE B in December 2014</w:t>
            </w:r>
          </w:p>
        </w:tc>
        <w:tc>
          <w:tcPr>
            <w:tcW w:w="220" w:type="dxa"/>
            <w:vAlign w:val="bottom"/>
          </w:tcPr>
          <w:p>
            <w:pPr>
              <w:spacing w:after="0"/>
              <w:rPr>
                <w:sz w:val="21"/>
                <w:szCs w:val="21"/>
                <w:color w:val="auto"/>
              </w:rPr>
            </w:pP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21"/>
                <w:szCs w:val="21"/>
                <w:color w:val="auto"/>
              </w:rPr>
            </w:pPr>
          </w:p>
        </w:tc>
        <w:tc>
          <w:tcPr>
            <w:tcW w:w="1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evaluating whether we have the power to direct the activities of a VIE that most significantly impact its economic performance, we consider the purpose for which the VIE was created, the importance of each of the activities in which it is engaged and our decision-making role, if any, in those activities that significantly determine the entity’s economic performance as compared to other economic interest holders. This evaluation requires consideration of all facts and circumstances relevant to decision-making that affects the entity’s future performance and the exercise of professional judgment in deciding which decision-making rights are most important.</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determining whether we have the right to receive benefits or the obligation to absorb losses that could potentially be significant to a VIE, we evaluate all of our economic interests in the entity, regardless of form (debt, equity, management and servicing fees, and other contractual arrangements). This evaluation considers all relevant factors of the entity’s design, including: the entity’s capital structure, contractual rights to earnings or losses, subordination of our interests relative to those of other investors, as well as any other contractual arrangements that might exist that could have the potential to be economically significant. The evaluation of each of these factors in reaching a conclusion about the potential significance of our economic interests is a matter that requires the exercise of professional judgment.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assets of the VIEs can be used only to settle obligations of the VIEs. Information about our involvement with VIEs has been aggregated as the VIEs are similar and we believe separate reporting would not provide more useful information. The assets and liabilities of our consolidated VIEs described above are presented in our condensed consolidated balance sheets and are net of intercompany balances which are eliminated in our condensed consolidated financial statements.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loans the VIEs purchased from Grupo Finmart are reflected in our consolidated financial statements at amortized cost based on Grupo Finmart’ s pre-transfer basis. We did not recognize any gain or loss as a result of the loan transfer to the VIEs or from the consolidation of the VIEs. The excess of the principal amount of each VIE’s notes payable over the principal amount of the VIE’s loans (this is the unamortized loan premium paid by the VIEs) is to be repaid using a portion of the VIE’s loan interest as the coupon of the VIEs’ loans are greater than the coupon of the VIE’s notes payable.</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(principally, interest and fees on loans) earned by our consolidated VIEs was $10.6 million and $2.2 million for the three-months ended December 31, 2014 and 2013, respectively. Related expenses consisting primarily of interest expense, foreign exchange losses and consumer loan bad debt expense were $11.0 million and $0.7 million for the three-months ended December 31, 2014 and 2013, respectively. These amounts do not include intercompany transactions which are eliminated in our condensed consolidated financial statements.</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"Non-recourse debt to EZCORP, Inc." in Note 7 for a description of debt, and "Derivative instruments discontinued as cash flow hedging instruments" in Note 15 for a description of derivatives, related to our consolidated VIEs.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Non-Consolidated Variable Interest Entities</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holds a significant variable interest in two VIEs for which it is not the primary beneficiary and, therefore, were not consolidated, as discussed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7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issue letters of credit ("LOC")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In addition we post as cash collateral a specified percentage of the maximum exposure for LOC losses.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current carrying value of cash collateral and other assets is included in "Receivables, prepaid expenses and other current assets" in our condensed consolidated balance sheets. Expected LOC losses and accounts payable are included in "Accounts payable and other accrued expenses" in our condensed consolidated balance sheets. Maximum exposure for losses on letters of credit if all brokered loans defaulted and none was collected including the portion of that exposure secured by titles to customers' automobiles, not included in our condensed consolidated balance sheets, is summarized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loans: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collateral and other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9,063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11,840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9,135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Expected LOC losses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3,297</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4,708</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1,113</w:t>
            </w: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1,026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Maximum exposure for LOC losses*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28,132</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35,592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29,502</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right="180" w:firstLine="8"/>
        <w:spacing w:after="0" w:line="282" w:lineRule="auto"/>
        <w:tabs>
          <w:tab w:leader="none" w:pos="10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not recorded in our condensed consolidated balance sheets. Of the total maximum exposure for LOC losses as of December 31, 2014 and 2013, and September 30, 2014, $8.2 million, $9.9 million and $7.8 million, respectively, was secured by titles to customers' automobiles.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analyzed our operations subsequent to December 31, 2014 to the date this Amended Quarterly Report on Form 10-Q/A is filed, and have determined that we do not have any material subsequent events to disclose in these financial statements other than the events described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Converters International Limited</w:t>
      </w:r>
    </w:p>
    <w:p>
      <w:pPr>
        <w:spacing w:after="0" w:line="17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December 31, 2014, the fair value of our equity method investment in Cash Converters International was not below our recorded value; however, subsequent to December 31, 2014, the fair value of our investment in Cash Converters International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 below our recorded value. We note the following factors as key drivers in the subsequent-to-period-end decline in fair value:</w:t>
      </w:r>
    </w:p>
    <w:p>
      <w:pPr>
        <w:spacing w:after="0" w:line="171" w:lineRule="exact"/>
        <w:rPr>
          <w:sz w:val="20"/>
          <w:szCs w:val="20"/>
          <w:color w:val="auto"/>
        </w:rPr>
      </w:pPr>
    </w:p>
    <w:p>
      <w:pPr>
        <w:ind w:left="660" w:right="12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2015, Cash Converters International released a quarterly update for the period ended March 31, 2015 noting a decline in its United Kingdom financial services performance due to Policy Statement 14/16 promulgated by the U.K. Financial Conduct Authority which became effective on January 2, 2015. The legislation provides regulatory guidance on high cost short-term credit rates. Cash Converters International stated that transition to these requirements was completed during the quarter ended March 31, 2015 and that it expects improvement in its U.K. financial services performance going forward.</w:t>
      </w:r>
    </w:p>
    <w:p>
      <w:pPr>
        <w:spacing w:after="0" w:line="129"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2015, Cash Converters International reached an agreement to pay $17.7 million toward settlement of a class-action lawsuit brought by its customers alleging that Cash Converters International charged excessive interest on short-term loans.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56"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August 5, 2015, Westpac Banking Corporation ("Westpac") informed Cash Converters International that it had made the decision to cease to provide banking and financial products and services to its customers who provide Short Term Credit Contracts or Small Amount Credit Contracts under section 5(1) of the National Consumer Credit Protection Act 2009. As Cash Converters International is a licensed provider of financial services under the terms of the National Consumer Credit Protection Act 2009, Westpac will not continue to provide services to Cash Converters International; however, they will provide Cash Converters International with time to establish alternative funding arrangements. Cash Converters International has drawn approximately AUD $59 million from its securitization facility with Westpac.</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decline may be other-than-temporary in periods subsequent to December 31, 2014. We further estimate that our carrying value in Cash Converters International will exceed the fair value by approximately $29.4 million as of September 30, 2015 based upon the stock price and exchange rates as of that date, which may cause an other-than-temporary impairment in our investment in future reporting periods. In subsequent periods, we will consider the guidance in ASC 320-10-S99-1 and ASC 323-10-35 in evaluating whether the impairment is other-than-temporary and whether to measure and recognize any other-than-temporary impairment.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 and Restructuring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27, 2015, the Company's Board of Directors approved a restructuring plan that includes:</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Exiting our U.S. Financial Services business ("USFS") and ceasing the employment of the employees related to that business;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Streamlining our structure and operating model to improve overall efficiency and reduce costs, which includes additional store closures, consolidations and relocations; additional headcount reductions in the remaining business and in the corporate support center; termination of various real property leases; and write-down and write-offs of various assets no longer to be used in the business.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the new strategy, the Company will (a) focus on growing our core pawn operations in the U.S. and Mexico and our Grupo Finmart business in Mexico and (b) simplify our operating structure by moving from a divisional to a functional business model.</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part of the exit of our USFS business, we have closed 480 USFS locations and ceased the employment of approximately 1,000 employees associated with that business. We currently expect to have substantially completed the USFS exit activities by December 31, 2015.</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current estimate of the major types of costs and charges associated with the closing of the USFS business. The ranges set forth below are only estimates, and the actual costs or charges incurred in connection with the closure of USFS could differ materially from the ranges described below.</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Category of Costs or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Store exit costs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Employee severance and retention payments (b)</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 impairment or write-down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Range of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160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ectPr>
          <w:pgSz w:w="11900" w:h="16838" w:orient="portrait"/>
          <w:cols w:equalWidth="0" w:num="2">
            <w:col w:w="7300" w:space="720"/>
            <w:col w:w="3400"/>
          </w:cols>
          <w:pgMar w:left="240" w:top="118" w:right="239" w:bottom="1440" w:gutter="0" w:footer="0" w:header="0"/>
          <w:type w:val="continuous"/>
        </w:sectPr>
      </w:pPr>
    </w:p>
    <w:p>
      <w:pPr>
        <w:ind w:left="500" w:hanging="465"/>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costs to exit the USFS store locations, including lease termination costs, costs to restore leased premises to pre-lease condition and contract termination expenses.</w:t>
      </w:r>
    </w:p>
    <w:p>
      <w:pPr>
        <w:spacing w:after="0" w:line="41"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one-time termination benefits to be paid to affected employees, as well as retention payments to selected employees.</w:t>
      </w:r>
    </w:p>
    <w:p>
      <w:pPr>
        <w:spacing w:after="0" w:line="41" w:lineRule="exact"/>
        <w:rPr>
          <w:rFonts w:ascii="Times New Roman" w:cs="Times New Roman" w:eastAsia="Times New Roman" w:hAnsi="Times New Roman"/>
          <w:sz w:val="14"/>
          <w:szCs w:val="14"/>
          <w:color w:val="auto"/>
        </w:rPr>
      </w:pPr>
    </w:p>
    <w:p>
      <w:pPr>
        <w:ind w:left="500" w:right="40" w:hanging="465"/>
        <w:spacing w:after="0" w:line="236"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or write-down of long-lived assets (including goodwill and other intangibles), as well as additional bad debt provision in anticipation of the increased difficulty in collecting outstanding consumer loans during the closure process. Of this amount, $10.6 million was recorded during the three-month period ended June 30, 2015 as a result of the impairment of USFS goodwill. See Note 6 of Notes to Interim Condensed Consolidated Financial Statements included in "Part I, Item 1 — Financial Statements" in our Quarterly Report on Form 10-Q for the fiscal quarter ended June 30, 2015.</w:t>
      </w:r>
    </w:p>
    <w:p>
      <w:pPr>
        <w:spacing w:after="0" w:line="15"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amount, $9.0 million to $13.0 million will result in potential future cash expenditures.</w:t>
      </w:r>
    </w:p>
    <w:p>
      <w:pPr>
        <w:spacing w:after="0" w:line="1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 these costs and charges, $10.6 million has been recorded as expense in the third quarter of fiscal 2015 and we expect between $26.0 million and $32.0 million will be recorded as expense in our financial statements for the fourth quarter of fiscal 201 and the remaining amount will be recorded as an expense in the first quarter of fiscal 2016.</w:t>
      </w:r>
    </w:p>
    <w:p>
      <w:pPr>
        <w:spacing w:after="0" w:line="12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 exit of our USFS business, we will simplify our operating structure by moving from a divisional to a functional business model. This will include a number of initiatives designed to enhance efficiencies and reduce costs. These initiatives will include the closure of 54 underperforming locations (17 in U.S. Pawn, 9 in Empeño Fácil, 17 in TUYO, and 11 in Canada) and ceasing the employment of approximately 300 employees. We currently expect to have substantially completed these initiatives by December 31, 2015.</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current estimate of the major types of costs and charges associated with the simplification of our operating structure. The ranges set forth below are only estimates, and the actual costs or changes incurred could differ materially from the ranges described below.</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Category of Costs or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Facilities exit costs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Employee severance and retention payments (b)</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 impairment or write-down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Range of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160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ectPr>
          <w:pgSz w:w="11900" w:h="16838" w:orient="portrait"/>
          <w:cols w:equalWidth="0" w:num="2">
            <w:col w:w="7300" w:space="720"/>
            <w:col w:w="3400"/>
          </w:cols>
          <w:pgMar w:left="240" w:top="118" w:right="239" w:bottom="1440" w:gutter="0" w:footer="0" w:header="0"/>
          <w:type w:val="continuous"/>
        </w:sectPr>
      </w:pPr>
    </w:p>
    <w:p>
      <w:pPr>
        <w:ind w:left="500" w:right="520" w:hanging="465"/>
        <w:spacing w:after="0" w:line="261"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costs to exit the store locations described above, restore leased premises to pre-lease condition and reduce our lease commitments for other facilities. These amounts include non-cash components of $10.0 million to $11.0 million.</w:t>
      </w:r>
    </w:p>
    <w:p>
      <w:pPr>
        <w:ind w:left="500" w:hanging="465"/>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one-time termination benefits to be paid to affected employees, as well as retention payments to selected employees.</w:t>
      </w:r>
    </w:p>
    <w:p>
      <w:pPr>
        <w:spacing w:after="0" w:line="41"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or write-down of long-lived assets (including goodwill and other intangibles).</w:t>
      </w:r>
    </w:p>
    <w:p>
      <w:pPr>
        <w:spacing w:after="0" w:line="41"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amount, $9.0 million to $11.0 million will result in potential future cash expenditures.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between $36.0 million and $40.0 million of these costs and charges will be recorded as an expense in our financial statements for the fourth quarter of fiscal 2015, while the remaining amount will be recorded as an expense in the first quarter of fiscal 2016.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Februrary 19, 2015, we completed the acquisition of 12 pawn stores in Central Texas doing business under the "Cash Pawn" brand. The aggregate purchase price for the acquisition was $16.5 million, comprised of $5.0 million cash and 1,168,456 shares of our Class A Non-voting Common Stock (the "Shares"). The sellers have the right to require us to repurchase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type w:val="continuous"/>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Shares for an aggregate price of $11.8 million on the first anniversary of the closing date. See "Item 2.02 — Results of Operations and Financial Condition — Acquisitions — Cash Pawn Acquisition" in our Current Report on Form 8-K dated May 14, 2015. We have concluded that this acquisition was immaterial to our overall consolidated financial results and, therefore, have omitted the information required by ASC 805-10-50-2(h).</w:t>
      </w:r>
    </w:p>
    <w:p>
      <w:pPr>
        <w:spacing w:after="0" w:line="122"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As of December 31, 2014, we owned 59% of the outstanding equity interest in our consolidated subsidiary Renueva Commercial S.A.P.I. de C.V. ("TUYO"). Effective April 1, 2015, we acquired all of the remaining equity interests in TUYO for $2.8 million in cash and a $0.3 million note payable over the next five years, and as of April 1, 2015, TUYO is a wholly-owned subsidiary. This transaction was treated as an equity transaction as required by ASC 810-10.</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August 17, 2015, we completed the acquisition of 13 pawn stores in Oregon and Arizona doing business under the "USA Pawn" brand. The aggregate purchase price was $12.3 million in cash. We have concluded that this acquisition was immaterial to our overall consolidated financial results and, therefore, we have omitted the information required by ASC 805-10-50-2(h).</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March 31, 2015 we owned 76% of the outstanding equity interest in our consolidated subsidiary Grupo Finmart. On August 31, 2015, we acquired an additional 18% of the outstanding ordinary shares of Grupo Finmart for $29.6 million of cash consideration, increasing our ownership percentage to 94%, with the remaining 6% held by minority shareholders. This transaction was treated as an equity transaction as required by ASC 810-10.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 of Default and Election to Pay Additional Interest</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Under the Indenture relating to our Convertible Notes (see "2.125% </w:t>
      </w:r>
      <w:r>
        <w:rPr>
          <w:rFonts w:ascii="Times New Roman" w:cs="Times New Roman" w:eastAsia="Times New Roman" w:hAnsi="Times New Roman"/>
          <w:sz w:val="18"/>
          <w:szCs w:val="18"/>
          <w:color w:val="252525"/>
        </w:rPr>
        <w:t>Cash Convertible Senior Notes Due 2019" in Note 7),</w:t>
      </w:r>
      <w:r>
        <w:rPr>
          <w:rFonts w:ascii="Times New Roman" w:cs="Times New Roman" w:eastAsia="Times New Roman" w:hAnsi="Times New Roman"/>
          <w:sz w:val="18"/>
          <w:szCs w:val="18"/>
          <w:color w:val="auto"/>
        </w:rPr>
        <w:t>we are required to file with the Trustee our annual, quarterly and other periodic reports within 15 days after those reports are required to be filed with the Securities and Exchange Commission (the “SEC”). As previously disclosed, we did not timely file with the SEC or the Trustee our Quarterly Report on Form 10-Q for the period ended March 31, 2015 (the “Q2 Quarterly Report”) and, thus, were in default under the Indenture as of May 26, 2015. We notified the Trustee of such default on June 22, 2015, as required by the Indenture.</w:t>
      </w:r>
    </w:p>
    <w:p>
      <w:pPr>
        <w:spacing w:after="0" w:line="1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Indenture, such default does not constitute an Event of Default (as defined in the Indenture) until the Trustee notifies us in writing of the default and we do not cure the default within 60 days after the receipt of such notice. We received a Notice of Default from the Trustee regarding our failure to timely file the Q2 Quarterly Report on July 29, 2015. The 60-day cure period specified in the Indenture expired on September 27, 2015, and an Event of Default under the Indenture existed as of that date.</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Indenture provides that we may elect, as the sole and exclusive remedy for the Event of Default during the first 180 days after the occurrence of the Event of Default, to pay additional interest on the Convertible Notes at a rate equal to 0.50% per annum of the principal amount of the Notes (the “Additional Interest”). We elected to pay such Additional Interest and notified the Trustee of such election, and the Trustee notified the holders of Convertible Notes, all in accordance with the terms of the Indenture.</w:t>
      </w:r>
    </w:p>
    <w:p>
      <w:pPr>
        <w:spacing w:after="0" w:line="126"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Additional Interest will accrue on all outstanding Convertible Notes from, and including, September 27, 2015 (the date on which the Event of Default occurred) to the earlier of (a) the date on which the Event of Default is cured or waived or (b) March 24, 2016 (the 180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from and after the date on which the Event of Default occurred). The Additional Interest will be payable in the same manner and on the same dates as the stated interest payable on the Convertible Notes.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Matters</w:t>
      </w:r>
    </w:p>
    <w:p>
      <w:pPr>
        <w:spacing w:after="0" w:line="171" w:lineRule="exact"/>
        <w:rPr>
          <w:sz w:val="20"/>
          <w:szCs w:val="20"/>
          <w:color w:val="auto"/>
        </w:rPr>
      </w:pPr>
    </w:p>
    <w:p>
      <w:pPr>
        <w:ind w:left="660" w:right="180" w:hanging="328"/>
        <w:spacing w:after="0" w:line="261"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CFPB </w:t>
      </w:r>
      <w:r>
        <w:rPr>
          <w:rFonts w:ascii="Times New Roman" w:cs="Times New Roman" w:eastAsia="Times New Roman" w:hAnsi="Times New Roman"/>
          <w:sz w:val="18"/>
          <w:szCs w:val="18"/>
          <w:color w:val="auto"/>
        </w:rPr>
        <w:t>— Since February 2014, we have received several Civil Investigative Demands ("CIDs") from the Consumer Financial Protection Bureau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("CFPB") requiring the production of documents and oral testimony from Company representatives. We continue to cooperate fully with the CFPB in its investigation, have provided the CFPB with most of the information requested and are in the process of responding to certain follow-up requests.</w:t>
      </w:r>
    </w:p>
    <w:p>
      <w:pPr>
        <w:spacing w:after="0" w:line="128" w:lineRule="exact"/>
        <w:rPr>
          <w:rFonts w:ascii="Times New Roman" w:cs="Times New Roman" w:eastAsia="Times New Roman" w:hAnsi="Times New Roman"/>
          <w:sz w:val="18"/>
          <w:szCs w:val="18"/>
          <w:i w:val="1"/>
          <w:iCs w:val="1"/>
          <w:color w:val="auto"/>
        </w:rPr>
      </w:pPr>
    </w:p>
    <w:p>
      <w:pPr>
        <w:ind w:left="660" w:right="24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April 13, 2015, we received a NORA ("Notice of Opportunity to Respond and Advise") call from the CFPB, in which the CFPB staff asserted alleged violations of federal consumer financial protection laws. We submitted our written response to the NORA allegations on May 1, 2015, in which we stated our position with respect to each of the alleged violations, and since that time have been involved in ongoing discussions with the CFPB. There can be no assurance that the CFPB will not require us to pay fines, penalties and/or customer restitution to address the alleged violations.</w:t>
      </w:r>
    </w:p>
    <w:p>
      <w:pPr>
        <w:spacing w:after="0" w:line="127" w:lineRule="exact"/>
        <w:rPr>
          <w:rFonts w:ascii="Times New Roman" w:cs="Times New Roman" w:eastAsia="Times New Roman" w:hAnsi="Times New Roman"/>
          <w:sz w:val="18"/>
          <w:szCs w:val="18"/>
          <w:i w:val="1"/>
          <w:iCs w:val="1"/>
          <w:color w:val="auto"/>
        </w:rPr>
      </w:pPr>
    </w:p>
    <w:p>
      <w:pPr>
        <w:ind w:left="660" w:right="280" w:hanging="328"/>
        <w:spacing w:after="0" w:line="267"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FCA </w:t>
      </w:r>
      <w:r>
        <w:rPr>
          <w:rFonts w:ascii="Times New Roman" w:cs="Times New Roman" w:eastAsia="Times New Roman" w:hAnsi="Times New Roman"/>
          <w:sz w:val="18"/>
          <w:szCs w:val="18"/>
          <w:color w:val="auto"/>
        </w:rPr>
        <w:t>— In the course of evaluating and preparing our Cash Genie business for compliance with the new guidelines and rules published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Conduct Authority ("FCA"), we noted three issues primarily related to our legacy business, self-reported those to the FCA in June 2014 and have been in regular dialogue with the FCA regarding those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60"/>
        <w:spacing w:after="0" w:line="305" w:lineRule="auto"/>
        <w:rPr>
          <w:sz w:val="20"/>
          <w:szCs w:val="20"/>
          <w:color w:val="auto"/>
        </w:rPr>
      </w:pPr>
      <w:r>
        <w:rPr>
          <w:rFonts w:ascii="Times New Roman" w:cs="Times New Roman" w:eastAsia="Times New Roman" w:hAnsi="Times New Roman"/>
          <w:sz w:val="18"/>
          <w:szCs w:val="18"/>
          <w:color w:val="auto"/>
        </w:rPr>
        <w:t>issues since. In July 2014, we agreed to the imposition of a Voluntary Requirement formalizing our commitment to review and evaluate the issues under the oversight of an independent "skilled person" appointed by the FCA to determine whether customers have been adversely affected by those issues and, if so, to assess the redress that would be appropriate. Grant Thornton LLP was selected as the skilled person to oversee the process (referred to as a "section 166 process"), and that process was recently completed. During the section 166 process, an additional issue was identified and discussed with the FCA.</w:t>
      </w:r>
    </w:p>
    <w:p>
      <w:pPr>
        <w:spacing w:after="0" w:line="103"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In July 2015, we reached an agreement with the FCA regarding the redress to be offered to the customers affected by these issues and have substantially completed the redress scheme. In connection with discontinuing the Cash Genie operations, we accrued $6.5 million in anticipation of the requirement for customer redress, which was recorded in discontinued operations in the fourth quarter of 2014. The agreed upon redress scheme called for an incremental $3.3 million, and we recorded that incremental expense in discontinued operations in the second quarter of fiscal 2015. The redress scheme also called for the write-off or write-down of consumer loan balances that had previously been charged to bad debt expense, and we did not incur any additional expense associated with the write-off or write-down.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Securities Litigation</w:t>
      </w:r>
    </w:p>
    <w:p>
      <w:pPr>
        <w:spacing w:after="0" w:line="171" w:lineRule="exact"/>
        <w:rPr>
          <w:sz w:val="20"/>
          <w:szCs w:val="20"/>
          <w:color w:val="auto"/>
        </w:rPr>
      </w:pPr>
    </w:p>
    <w:p>
      <w:pPr>
        <w:ind w:left="660" w:right="80" w:hanging="328"/>
        <w:spacing w:after="0" w:line="290"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Southern District of New York </w:t>
      </w:r>
      <w:r>
        <w:rPr>
          <w:rFonts w:ascii="Times New Roman" w:cs="Times New Roman" w:eastAsia="Times New Roman" w:hAnsi="Times New Roman"/>
          <w:sz w:val="17"/>
          <w:szCs w:val="17"/>
          <w:color w:val="auto"/>
        </w:rPr>
        <w:t>— On March 13, 2015, the lead plaintiff in the federal securities action pending in the Southern District of New York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(see Note 11) filed a Consolidated Amended Class Action Complaint (the "Amended Complaint"). The Amended Complaint asserts violations of Sections 10(b) and 20(a) of the Securities Exchange Act of 1934, as well as Rule 10b-5 promulgated thereunder, alleging generally that:</w:t>
      </w:r>
    </w:p>
    <w:p>
      <w:pPr>
        <w:spacing w:after="0" w:line="103" w:lineRule="exact"/>
        <w:rPr>
          <w:rFonts w:ascii="Times New Roman" w:cs="Times New Roman" w:eastAsia="Times New Roman" w:hAnsi="Times New Roman"/>
          <w:sz w:val="17"/>
          <w:szCs w:val="17"/>
          <w:color w:val="auto"/>
        </w:rPr>
      </w:pPr>
    </w:p>
    <w:p>
      <w:pPr>
        <w:ind w:left="1300" w:right="1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EZCORP and the officer defendants (Mr. Rothamel and Mr. Kuchenrither) issued false and misleading statements and omissions regarding the Company's online lending operations in the U.K. (Cash Genie) and Cash Genie's compliance history;</w:t>
      </w:r>
    </w:p>
    <w:p>
      <w:pPr>
        <w:spacing w:after="0" w:line="107" w:lineRule="exact"/>
        <w:rPr>
          <w:rFonts w:ascii="Times New Roman" w:cs="Times New Roman" w:eastAsia="Times New Roman" w:hAnsi="Times New Roman"/>
          <w:sz w:val="18"/>
          <w:szCs w:val="18"/>
          <w:color w:val="auto"/>
        </w:rPr>
      </w:pPr>
    </w:p>
    <w:p>
      <w:pPr>
        <w:ind w:left="1300" w:hanging="320"/>
        <w:spacing w:after="0" w:line="313" w:lineRule="auto"/>
        <w:tabs>
          <w:tab w:leader="none" w:pos="13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EZCORP and the officer defendants issued false and misleading statements and omissions regarding the nature of the Company's consulting relationship with Madison Park LLC (an entity owned by Mr. Cohen) and the process the Board of Directors used in agreeing to it;</w:t>
      </w:r>
    </w:p>
    <w:p>
      <w:pPr>
        <w:spacing w:after="0" w:line="84" w:lineRule="exact"/>
        <w:rPr>
          <w:rFonts w:ascii="Times New Roman" w:cs="Times New Roman" w:eastAsia="Times New Roman" w:hAnsi="Times New Roman"/>
          <w:sz w:val="17"/>
          <w:szCs w:val="17"/>
          <w:color w:val="auto"/>
        </w:rPr>
      </w:pPr>
    </w:p>
    <w:p>
      <w:pPr>
        <w:ind w:left="1300" w:right="54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07"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and MS Pawn Limited Partnership, as controlling persons of EZCORP, were aware of and controlled the Company's alleged false and misleading statements and omissions.</w:t>
      </w:r>
    </w:p>
    <w:p>
      <w:pPr>
        <w:spacing w:after="0" w:line="10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defendants have filed motions to dismiss, and the parties have submitted their respective supporting and opposing briefs. That motion is pending before the Court.</w:t>
      </w:r>
    </w:p>
    <w:p>
      <w:pPr>
        <w:spacing w:after="0" w:line="106" w:lineRule="exact"/>
        <w:rPr>
          <w:sz w:val="20"/>
          <w:szCs w:val="20"/>
          <w:color w:val="auto"/>
        </w:rPr>
      </w:pPr>
    </w:p>
    <w:p>
      <w:pPr>
        <w:ind w:left="660" w:right="200" w:hanging="328"/>
        <w:spacing w:after="0" w:line="255" w:lineRule="auto"/>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Western District of Texas </w:t>
      </w:r>
      <w:r>
        <w:rPr>
          <w:rFonts w:ascii="Times New Roman" w:cs="Times New Roman" w:eastAsia="Times New Roman" w:hAnsi="Times New Roman"/>
          <w:sz w:val="18"/>
          <w:szCs w:val="18"/>
          <w:color w:val="auto"/>
        </w:rPr>
        <w:t>— On July 20, 2015, Wu Winfred Huang, a purported holder of Class A Non-voting Common Stock, for himself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behalf of other similarly situated holders of Class A Non-voting Common Stock, filed a lawsuit in the United States District Court for the Western District of Texas styled </w:t>
      </w:r>
      <w:r>
        <w:rPr>
          <w:rFonts w:ascii="Times New Roman" w:cs="Times New Roman" w:eastAsia="Times New Roman" w:hAnsi="Times New Roman"/>
          <w:sz w:val="18"/>
          <w:szCs w:val="18"/>
          <w:i w:val="1"/>
          <w:iCs w:val="1"/>
          <w:color w:val="auto"/>
        </w:rPr>
        <w:t>Huang v. EZCORP, Inc., et al.</w:t>
      </w:r>
      <w:r>
        <w:rPr>
          <w:rFonts w:ascii="Times New Roman" w:cs="Times New Roman" w:eastAsia="Times New Roman" w:hAnsi="Times New Roman"/>
          <w:sz w:val="18"/>
          <w:szCs w:val="18"/>
          <w:color w:val="auto"/>
        </w:rPr>
        <w:t xml:space="preserve"> (Case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complaint relates to the Company’s announcement on July 17, 2015 that it will restate the financial statements for fiscal 2014 and the first quarter of fiscal 2015, and alleges generally that the Company issued materially false or misleading statements concerning the Company, its finances, business operations and prospects and that the Company misrepresented the financial performance of the Grupo Finmart business.</w:t>
      </w:r>
    </w:p>
    <w:p>
      <w:pPr>
        <w:spacing w:after="0" w:line="131" w:lineRule="exact"/>
        <w:rPr>
          <w:rFonts w:ascii="Times New Roman" w:cs="Times New Roman" w:eastAsia="Times New Roman" w:hAnsi="Times New Roman"/>
          <w:sz w:val="18"/>
          <w:szCs w:val="18"/>
          <w:i w:val="1"/>
          <w:iCs w:val="1"/>
          <w:color w:val="auto"/>
        </w:rPr>
      </w:pPr>
    </w:p>
    <w:p>
      <w:pPr>
        <w:ind w:left="660" w:right="40"/>
        <w:spacing w:after="0" w:line="25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August 14, 2015, a substantially identical lawsuit, styled </w:t>
      </w:r>
      <w:r>
        <w:rPr>
          <w:rFonts w:ascii="Times New Roman" w:cs="Times New Roman" w:eastAsia="Times New Roman" w:hAnsi="Times New Roman"/>
          <w:sz w:val="18"/>
          <w:szCs w:val="18"/>
          <w:i w:val="1"/>
          <w:iCs w:val="1"/>
          <w:color w:val="auto"/>
        </w:rPr>
        <w:t>Rooney v. EZCORP, Inc., et al.</w:t>
      </w:r>
      <w:r>
        <w:rPr>
          <w:rFonts w:ascii="Times New Roman" w:cs="Times New Roman" w:eastAsia="Times New Roman" w:hAnsi="Times New Roman"/>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Times New Roman" w:cs="Times New Roman" w:eastAsia="Times New Roman" w:hAnsi="Times New Roman"/>
          <w:sz w:val="18"/>
          <w:szCs w:val="18"/>
          <w:i w:val="1"/>
          <w:iCs w:val="1"/>
          <w:color w:val="auto"/>
        </w:rPr>
        <w:t>In re EZCORP, Inc. Securities Litigation</w:t>
      </w:r>
      <w:r>
        <w:rPr>
          <w:rFonts w:ascii="Times New Roman" w:cs="Times New Roman" w:eastAsia="Times New Roman" w:hAnsi="Times New Roman"/>
          <w:sz w:val="18"/>
          <w:szCs w:val="18"/>
          <w:color w:val="auto"/>
        </w:rPr>
        <w:t xml:space="preserve"> (Master File No. 1:15-cv-00608-SS), and appointed the two plaintiffs as co-lead plaintiffs, with their respective counsel appointed as co-lead counsel.</w:t>
      </w:r>
    </w:p>
    <w:p>
      <w:pPr>
        <w:spacing w:after="0" w:line="127" w:lineRule="exact"/>
        <w:rPr>
          <w:rFonts w:ascii="Times New Roman" w:cs="Times New Roman" w:eastAsia="Times New Roman" w:hAnsi="Times New Roman"/>
          <w:sz w:val="18"/>
          <w:szCs w:val="18"/>
          <w:i w:val="1"/>
          <w:iCs w:val="1"/>
          <w:color w:val="auto"/>
        </w:rPr>
      </w:pPr>
    </w:p>
    <w:p>
      <w:pPr>
        <w:ind w:left="660" w:right="20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This case is in the very early stages. We cannot predict the outcome of the litigation, but we intend to defend vigorously against all allegations and claims.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18" w:right="25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Amended Quarterly Report on Form 10-Q/A and "Part I, Item 1A — Risk Factors" of our Amended Annual Report on Form 10-K/A for the year ended September 30, 2014. See also "Cautionary Statement Regarding Risks and Uncertainties That May Affect Future Results."</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interim condensed consolidated financial statements and the accompanying notes to the interim condensed consolidated financial statements included in this Amended Quarterly Report on Form 10-Q/A.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Grupo Finmart Portfolio Review and Restatement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Grupo Finmart enters into payroll withholding agreements (called “convenios”) with Mexican employers — principally, federal, state, and local government agencies — and provides unsecured, multiple payment consumer loans to employees of those various employers. Interest and principal payments are generally collected by the employers through payroll deductions and remitted to Grupo Finmart.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of Asset Sales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fiscal 2014 and the first quarter of fiscal 2015, Grupo Finmart entered into a total of six structured asset sales pursuant to which a portion of the loan portfolio was sold to special purpose trusts for the benefit of third parties (the “Asset Sales”). We accounted for each of the Asset Sales as a sale, and we recognized a gain equal to the difference between the book value of the sold loans and the purchase price, which was generally equal to the aggregate amount of the payments Grupo Finmart expected to receive over the life of the loans minus a negotiated discount. The effect of this accounting treatment was to accelerate the recognition of the interest income that would otherwise have been recognized over the life of the loans.</w:t>
      </w:r>
    </w:p>
    <w:p>
      <w:pPr>
        <w:spacing w:after="0" w:line="13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In the second quarter of fiscal 2015, in the course of performing their audit work, our independent registered public accounting firm began reviewing the Asset Sale completed in the first quarter of fiscal 2015 and raised various questions regarding the terms of that transaction. Those questions prompted a comprehensive review of the terms and conditions of each of the Asset Sales. Following that review and considerable discussion involving management, our accounting advisors, our legal advisors in the U.S. and Mexico, and our independent registered public accounting firms, management determined that the Asset Sales should not have been accounted for as sales, principally due to certain control rights that Grupo Finmart retained as servicer of the loans. We now believe that, because of those control rights, the trusts to which the loans were sold should be accounted for as “variable interest entities” and consolidated pursuant to ASC 810-10 (</w:t>
      </w:r>
      <w:r>
        <w:rPr>
          <w:rFonts w:ascii="Times New Roman" w:cs="Times New Roman" w:eastAsia="Times New Roman" w:hAnsi="Times New Roman"/>
          <w:sz w:val="17"/>
          <w:szCs w:val="17"/>
          <w:i w:val="1"/>
          <w:iCs w:val="1"/>
          <w:color w:val="auto"/>
        </w:rPr>
        <w:t>Consolidation and the Variable Interest Model</w:t>
      </w:r>
      <w:r>
        <w:rPr>
          <w:rFonts w:ascii="Times New Roman" w:cs="Times New Roman" w:eastAsia="Times New Roman" w:hAnsi="Times New Roman"/>
          <w:sz w:val="17"/>
          <w:szCs w:val="17"/>
          <w:color w:val="auto"/>
        </w:rPr>
        <w:t>), and therefore, the sales should not have been recognized for accounting purposes.</w:t>
      </w:r>
    </w:p>
    <w:p>
      <w:pPr>
        <w:spacing w:after="0" w:line="11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effect of the consolidation is that the gain on sale is eliminated, the assets and liabilities of the trusts are included in our consolidated balance sheet and interest income (along with the related expenses) is recognized over the life of the loans. This process results, generally, in a reduction in net income in the periods during which an Asset Sale occurred (due to the reversal of the gain on sale) and an increase in net income thereafter (due to the accrual and recognition of interest income, net of expenses, over the life of the loans). Our restated financial statements reflect the trust consolidation.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of “Non-Performing” Loans</w:t>
      </w:r>
    </w:p>
    <w:p>
      <w:pPr>
        <w:spacing w:after="0" w:line="17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Relevant Accounting Policies </w:t>
      </w:r>
      <w:r>
        <w:rPr>
          <w:rFonts w:ascii="Times New Roman" w:cs="Times New Roman" w:eastAsia="Times New Roman" w:hAnsi="Times New Roman"/>
          <w:sz w:val="18"/>
          <w:szCs w:val="18"/>
          <w:color w:val="auto"/>
        </w:rPr>
        <w:t>— Historically, we have recognized interest revenue on the Grupo Finmart loans ratably over the stated terms of the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historical experience, we estimated the percentage of loans that Grupo Finmart expects not to collect and established a bad debt reserve against the principal and accrued interest.</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Loans to Grupo Finmart customers whose employment is continuing are referred to as "in-payroll" loans, while loans to Grupo Finmart customers whose employment is discontinued are referred to as "out-of-payroll" loans. A customer is generally considered to have discontinued their employment if they are no longer employed by the employer that is responsible for the payroll withholding.</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Grupo Finmart’s loans were considered active as long as they were in-payroll. Out-of-payroll loans were considered active if Grupo Finmart continued to receive payments, but were considered defaulted if payments were not made. Upon default, we charged the loan principal to consumer loan bad debt expense, reduced interest revenue by the amount of unpaid interest accrued on the loan prior to default and ceased accruing future interest revenue. If Grupo Finmart subsequently collected some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or all of the defaulted loan, we reduced consumer loan bad debt expense by the amount of collected principal and increased interest revenue by the amount of collected interest.</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Under Grupo Finmart’s historic accounting policy, only defaulted out-of-payroll loans were considered in nonaccrual status. Due to the likelihood of ultimately receiving payment if the customer's employment continued, we continued to accrue interest on all in-payroll loans, even though Grupo Finmart might not be currently receiving payments. A number of circumstances cause delays in the receipt of payments on a Grupo Finmart loan. For example:</w:t>
      </w:r>
    </w:p>
    <w:p>
      <w:pPr>
        <w:spacing w:after="0" w:line="122" w:lineRule="exact"/>
        <w:rPr>
          <w:sz w:val="20"/>
          <w:szCs w:val="20"/>
          <w:color w:val="auto"/>
        </w:rPr>
      </w:pPr>
    </w:p>
    <w:p>
      <w:pPr>
        <w:ind w:left="660" w:right="5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often takes 90 days or more for the employer to set up initial payroll withholding and begin remitting payments to Grupo Finmart (a process referred to as “ratification”).</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unusual to have an interruption or delay in payments for a number of reasons, such as holidays, summer vacations, illness, convenio renewals, union permits and political elections.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convenios limit the amount that can be withheld from a borrower's paycheck, and if the borrower has multiple loans outstanding, the withheld amount is generally used to repay the loans in the order in which there wer made.</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larger employers act as a consolidator and remitter on behalf of other smaller employers and the payment consolidation processes, or other issues with employer systems, sometimes cause interruptions in payments.</w:t>
      </w:r>
    </w:p>
    <w:p>
      <w:pPr>
        <w:spacing w:after="0" w:line="10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Issues Identified in Review </w:t>
      </w:r>
      <w:r>
        <w:rPr>
          <w:rFonts w:ascii="Times New Roman" w:cs="Times New Roman" w:eastAsia="Times New Roman" w:hAnsi="Times New Roman"/>
          <w:sz w:val="18"/>
          <w:szCs w:val="18"/>
          <w:color w:val="auto"/>
        </w:rPr>
        <w:t>— In January 2015, Grupo Finmart management notified our finance management that a previous loan purchaser had requested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some of its loans replaced because, several months after the loan sale, some of the sold loans had still not been ratified. Upon receipt of that information, we initiated a review of the entire Grupo Finmart loan portfolio to identify all loans that were being carried as active loans but with respect to which Grupo Finmart was not currently receiving payments (“non-performing” loans) and to determine the reason that payments on the loans were not being received. During the course of this review, the following issues were identified:</w:t>
      </w:r>
    </w:p>
    <w:p>
      <w:pPr>
        <w:spacing w:after="0" w:line="128" w:lineRule="exact"/>
        <w:rPr>
          <w:sz w:val="20"/>
          <w:szCs w:val="20"/>
          <w:color w:val="auto"/>
        </w:rPr>
      </w:pPr>
    </w:p>
    <w:p>
      <w:pPr>
        <w:ind w:left="660" w:right="40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the non-performing loans included a number of out-of-payroll loans that had not been correctly classified and recognized as such. This error caused an understatement of bad debt expense and an overstatement of accrued interest revenue in prior periods. We have now analyzed the non-performing loan portfolio to identify all out-of-payroll loans and determine, on a loan-by-loan basis, the period during which Grupo Finmart should have charged the loan to bad debt expense and ceased accruing interest revenue.</w:t>
      </w:r>
    </w:p>
    <w:p>
      <w:pPr>
        <w:spacing w:after="0" w:line="126"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found that many of the non-performing loans, while still in-payroll, had been in non-performing status for some time. Under Grupo Finmart’s historic interest accrual policy, we accrued and recognized interest income on in-payroll loans over the stated life of the loans even though partial or delayed payments extended the loan's payback period beyond the stated loan term. After reviewing the aging characteristics of the non-performing loans and consulting with our independent registered public accounting firms, we have determined that it is appropriate to:</w:t>
      </w:r>
    </w:p>
    <w:p>
      <w:pPr>
        <w:spacing w:after="0" w:line="12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and recognize interest income over the period that payments are expected to be received rather than over the stated term of the loan;</w:t>
      </w:r>
    </w:p>
    <w:p>
      <w:pPr>
        <w:spacing w:after="0" w:line="171"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have been in non-performing status for 180 days, charge the loan principal to consumer loan bad debt expense, reduce interest revenue by the amount of unpaid interest theretofore accrued on the loan, cease accruing future interest revenue and record future collections under the cost recovery method (recognizing income after principal has been recovered); and</w:t>
      </w:r>
    </w:p>
    <w:p>
      <w:pPr>
        <w:spacing w:after="0" w:line="12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certain commission costs as incurred rather than amortize them over future periods.</w:t>
      </w:r>
    </w:p>
    <w:p>
      <w:pPr>
        <w:spacing w:after="0" w:line="171"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The application of this methodology has resulted in adjustments to interest income and bad debt expense for all periods since we began consolidation of Grupo Finmart in the second quarter of fiscal 2012. Those adjustments are reflected in the restated financial statements for fiscal 2012, 2013 and 2014 presented in our Amended Annual Report on Form 10-K/A for the year ended September 30, 2014 and in the restated financial statements for the first quarter of fiscal 2015 presented in this Amended Quarterly Report on Form 10-K/A, and will be reflected in the financial statements for the second and third quarters of fiscal 2015 and future periods.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Restatement Adjustments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restatement adjustments include (a) those adjustments necessary to correct the accounting errors attributable to the Asset Sales, (b) those adjustments necessary to correct the accounting errors attributable to the non-performing loans and (c) certain other adjustments identified during the restatement process. The following tables summarize the impact of these adjustments for the first quarter of fiscal 2015 (ended December 31, 2014). For a description of the impact of the adjustments for fiscal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2014, fiscal 2013 and fiscal 2012 and for each of the quarterly periods within those years (other than the first quarter of fiscal 2012, which was not restated), see "Part II, Item 7 — Management's Discussion and Analysis of Financial Condition and Results of Operations — Grupo Finmart Portfolio Review and Restatement — Summary of Restatement Adjustments" in our Amended Annual Report on Form 10-K/A for the fiscal year ended September 30, 2014.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 Ended December</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31, 2014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420" w:type="dxa"/>
            <w:vAlign w:val="bottom"/>
          </w:tcPr>
          <w:p>
            <w:pPr>
              <w:spacing w:after="0"/>
              <w:rPr>
                <w:sz w:val="22"/>
                <w:szCs w:val="22"/>
                <w:color w:val="auto"/>
              </w:rPr>
            </w:pPr>
          </w:p>
        </w:tc>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 (as previously reported)</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20,435</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sale impact</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Portfolio review impact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impacts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1,589</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9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impact of 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 (as restated)</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12,213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4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Quarter Ended December 31, 2014</w:t>
            </w:r>
          </w:p>
        </w:tc>
        <w:tc>
          <w:tcPr>
            <w:tcW w:w="0" w:type="dxa"/>
            <w:vAlign w:val="bottom"/>
          </w:tcPr>
          <w:p>
            <w:pPr>
              <w:spacing w:after="0"/>
              <w:rPr>
                <w:sz w:val="1"/>
                <w:szCs w:val="1"/>
                <w:color w:val="auto"/>
              </w:rPr>
            </w:pPr>
          </w:p>
        </w:tc>
      </w:tr>
      <w:tr>
        <w:trPr>
          <w:trHeight w:val="311"/>
        </w:trPr>
        <w:tc>
          <w:tcPr>
            <w:tcW w:w="4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24"/>
                <w:szCs w:val="24"/>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80" w:type="dxa"/>
            <w:vAlign w:val="bottom"/>
          </w:tcPr>
          <w:p>
            <w:pPr>
              <w:spacing w:after="0"/>
              <w:rPr>
                <w:sz w:val="24"/>
                <w:szCs w:val="24"/>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0" w:type="dxa"/>
            <w:vAlign w:val="bottom"/>
          </w:tcPr>
          <w:p>
            <w:pPr>
              <w:spacing w:after="0"/>
              <w:rPr>
                <w:sz w:val="1"/>
                <w:szCs w:val="1"/>
                <w:color w:val="auto"/>
              </w:rPr>
            </w:pPr>
          </w:p>
        </w:tc>
      </w:tr>
      <w:tr>
        <w:trPr>
          <w:trHeight w:val="255"/>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252,644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252,818</w:t>
            </w: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150,330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143,615</w:t>
            </w: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123,119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121,335</w:t>
            </w: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3,291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10,067</w:t>
            </w:r>
          </w:p>
        </w:tc>
        <w:tc>
          <w:tcPr>
            <w:tcW w:w="0" w:type="dxa"/>
            <w:vAlign w:val="bottom"/>
          </w:tcPr>
          <w:p>
            <w:pPr>
              <w:spacing w:after="0"/>
              <w:rPr>
                <w:sz w:val="1"/>
                <w:szCs w:val="1"/>
                <w:color w:val="auto"/>
              </w:rPr>
            </w:pPr>
          </w:p>
        </w:tc>
      </w:tr>
      <w:tr>
        <w:trPr>
          <w:trHeight w:val="21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20,435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12,213</w:t>
            </w: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3,578</w:t>
            </w:r>
          </w:p>
        </w:tc>
        <w:tc>
          <w:tcPr>
            <w:tcW w:w="0" w:type="dxa"/>
            <w:vAlign w:val="bottom"/>
          </w:tcPr>
          <w:p>
            <w:pPr>
              <w:spacing w:after="0"/>
              <w:rPr>
                <w:sz w:val="1"/>
                <w:szCs w:val="1"/>
                <w:color w:val="auto"/>
              </w:rPr>
            </w:pPr>
          </w:p>
        </w:tc>
      </w:tr>
      <w:tr>
        <w:trPr>
          <w:trHeight w:val="21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net of tax</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14,070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(5,435)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8,635</w:t>
            </w: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EZCORP,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15,260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11,612</w:t>
            </w: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Diluted earnings per share attributable to EZCORP, Inc.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622,552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8,111</w:t>
            </w:r>
          </w:p>
        </w:tc>
        <w:tc>
          <w:tcPr>
            <w:tcW w:w="12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630,663</w:t>
            </w: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1,351,383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53,068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1,404,451</w:t>
            </w: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116,494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51,146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167,640</w:t>
            </w: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451,326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111,914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563,240</w:t>
            </w: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temporary equity</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31,868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18,550</w:t>
            </w: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EZCORP, Inc.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868,189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822,661</w:t>
            </w: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5,682</w:t>
            </w: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38,874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(8,185)</w:t>
            </w:r>
          </w:p>
        </w:tc>
        <w:tc>
          <w:tcPr>
            <w:tcW w:w="0" w:type="dxa"/>
            <w:vAlign w:val="bottom"/>
          </w:tcPr>
          <w:p>
            <w:pPr>
              <w:spacing w:after="0"/>
              <w:rPr>
                <w:sz w:val="1"/>
                <w:szCs w:val="1"/>
                <w:color w:val="auto"/>
              </w:rPr>
            </w:pPr>
          </w:p>
        </w:tc>
      </w:tr>
      <w:tr>
        <w:trPr>
          <w:trHeight w:val="33"/>
        </w:trPr>
        <w:tc>
          <w:tcPr>
            <w:tcW w:w="7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53,318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27,232</w:t>
            </w: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20"/>
          </w:cols>
          <w:pgMar w:left="240" w:top="118" w:right="3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Accounting Errors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engaged accounting advisors to investigate the potential errors in the non-performing loan portfolio and requested the Company's external legal counsel to assist it in investigating whether the errors were the result of fraud or intentional misconduct. Based on those investigations, the Audit Committee has concluded that the errors in our previously issued financial statements are the result of unintentional accounting errors or mistakes and inadequate and ineffective internal controls, and were not the result of any deliberate attempt to misstate financial statements, misrepresent the Company’s financial condition or results of operations, or deceive or defraud investors.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Deficiencies and Remedial Errors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Management has identified a number of deficiencies in the design and operating effectiveness of our internal controls that, collectively, represent material weaknesses in our internal control over financial reporting as of September 30, 2014, September 30, 2013 and September 30, 2012. The deficiencies are the result of management's failure to design, implement and maintain adequate operational and internal controls and processes to (1) identify complex transactions requiring specialized accounting expertise and other financial reporting requirements and (2) monitor and report the performance of the Grupo Finmart loan portfolio. We are in the process of designing and implementing an appropriate remediation plan to address the material weaknesses.</w:t>
      </w:r>
    </w:p>
    <w:p>
      <w:pPr>
        <w:spacing w:after="0" w:line="13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a description of the deficiencies that led to the material weaknesses, as well as a description of our planned remediation efforts, see “Part I, Item 4 — Controls and Procedures.”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of the financial information presented in this "Part I, Item 2 — Management's Discussion and Analysis of Financial Condition and Results of Operations" has been revised to reflect the restatement described above. For additional information about the restatement, see Note 2 of Notes to Interim Condensed Consolidated Financial Statements included in "Part I, Item 1 —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Operations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EZCORP is a Delaware corporation headquartered in Austin, Texas. We are a leader in delivering easy cash solutions to our customers across channels, products, services and markets. With approximately 7,000 teammates and approximately 1,400 locations and branches, we give our customers multiple ways to access instant cash, including pawn loans and consumer loans in the United States, Mexico and Canada, and fee-based credit services to customers seeking loans. At our pawn and buy/sell stores we also sell merchandise which is primarily collateral forfeited from pawn lending operations in addition to used merchandise purchased from customers.</w:t>
      </w:r>
    </w:p>
    <w:p>
      <w:pPr>
        <w:spacing w:after="0" w:line="1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and long-term consumer loans, including single- and multiple-payment unsecured loans and single- and multiple-payment auto title loans. In Texas, we do not offer consumer loan products, but rather offer credit services to help customers obtain loans from independent third party lenders.</w:t>
      </w:r>
    </w:p>
    <w:p>
      <w:pPr>
        <w:spacing w:after="0" w:line="12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own a 76% interest in Prestaciones Finmart, S.A.P.I. de C.V., SOFOM, E.N.R. ("Grupo Finmart" doing business under the names "Crediamigo" and "Adex"), a payroll withholding lender headquartered in Mexico City; and a 59% interest in Renueva Commercial S.A.P.I. de C.V. ("TUYO"), a company headquartered in Mexico City that owns and operates buy/sell stores in Mexico City and the surrounding metropolitan area.</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vision is to be the global leader in providing customers with easy cash solutions where they want, when they want and how they want, and we are making the investments in both storefronts and technology platforms to achieve that vision.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2014, we operated a total of 1,368 locations, consisting of:</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 U.S. pawn stores (operating primarily as EZPAWN or Value Pawn &amp; Jewelry);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U.S. buy/sell stores (operating as Cash Converters);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 Mexico pawn stores (operating as Empeño Fácil);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506 U.S. financial services stores (operating primarily as EZMONEY);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Canada financial services stores (operating as CASHMAX);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Canada buy/sell and financial services stores (operating as Cash Converters);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118" w:right="25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Mexico buy/sell stores (operating as TUYO or Cash Converters);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Grupo Finmart financial services branches in Mexico (operating as Crediamigo or Adex).</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own approximately 32% of Cash Converters International Limited, based in Australia, which franchises and operates a worldwide network of over 750 locations that provide financial services and buy and sell second-hand goods. We also own the Cash Converters master franchise rights in Canada and are the franchisor of four stores there.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consists of three reportable segments:</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&amp; Canada — All business activities in the United States and Canada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 All business activities in Mexico and other parts of Latin America</w:t>
      </w:r>
    </w:p>
    <w:p>
      <w:pPr>
        <w:spacing w:after="0" w:line="171" w:lineRule="exact"/>
        <w:rPr>
          <w:rFonts w:ascii="Times New Roman" w:cs="Times New Roman" w:eastAsia="Times New Roman" w:hAnsi="Times New Roman"/>
          <w:sz w:val="18"/>
          <w:szCs w:val="18"/>
          <w:color w:val="auto"/>
        </w:rPr>
      </w:pPr>
    </w:p>
    <w:p>
      <w:pPr>
        <w:ind w:right="4080" w:firstLine="332"/>
        <w:spacing w:after="0" w:line="434"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International — Our equity interest in the net income of Cash Converters International The following tables present store data by segment:</w:t>
      </w:r>
    </w:p>
    <w:p>
      <w:pPr>
        <w:spacing w:after="0" w:line="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Three Months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24765</wp:posOffset>
            </wp:positionV>
            <wp:extent cx="49999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Company-owned Stores</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 &amp;</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Latin</w:t>
            </w:r>
          </w:p>
        </w:tc>
        <w:tc>
          <w:tcPr>
            <w:tcW w:w="15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Franchises</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Beginning of period</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 novo</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Sold, combined or closed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End of period</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Three Months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24765</wp:posOffset>
            </wp:positionV>
            <wp:extent cx="4999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Company-owned Stores</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 &amp;</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Latin</w:t>
            </w:r>
          </w:p>
        </w:tc>
        <w:tc>
          <w:tcPr>
            <w:tcW w:w="15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Franchises</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Beginning of period</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 novo</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Sold, combined or closed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End of period</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Activities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our pawn stores, we offer secured loans, which are typically small, non-recourse loans collateralized by tangible personal property. As of December 31, 2014, we had an aggregate pawn loan principal balance of $150.9 million. We earn pawn service charge revenue on our pawn loans. During the quarter ended December 31, 2014, pawn service charges accounted for approximately 26% of our total revenues and 45% of our net revenues.</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While allowable service charges vary by state and loan size, most of our U.S. pawn loans earn 20% per month. The total U.S. pawn loan primary term ranges between 30 and 120 days, with an additional grace period between 0 and 90 days. Individual loans vary depending on the valuation of each item pawned, but typically average $97.</w:t>
      </w:r>
    </w:p>
    <w:p>
      <w:pPr>
        <w:spacing w:after="0" w:line="12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Mexico, pawn service charges range from 12% to 21% per month, including applicable taxes, with the majority of loans earning 21%. The total Mexico pawn loan primary term is 30 days, with an additional grace period up to 10 days. Individual loans are made in Mexican pesos and vary depending on the valuation of each item pawned, but typically average U.S. $60.</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our pawn stores, buy/sell stores and certain financial services stores in Canada, we acquire inventory for retail sales through pawn loan forfeitures, purchases of customers’ merchandise and purchases of new or refurbished merchandise from third party vendors.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7.2% of gross inventory as of December 31, 2014, compared to 3.6% as of December 31, 2013 and 9.6% as of September 30, 2014. The increase in valuation allowance from the same prior-year period is reflective of periodic analyses conducted to value the inventory based on aging, profitability, sell-through rates and shrink in each classification, including jewelry and general merchandise. We experienced a decrease in aged inventory from the prior year end and an associated increase in margin compression associated with its disposition. The net result on the overall valuation allowance was a decrease from the period year end.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Loan Activities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Outside of Texas, we earn loan fee revenue on our consumer loans. As of December 31, 2014, we offered single-payment unsecured consumer loans in 128 U.S. financial services stores, two U.S. pawn stores and 39 Canadian financial services stores. The average single-payment loan amount was approximately $460 and the term is generally less than 30 days, averaging about 18 days. We typically charge a fee of 10% to 18% of the loan amount. In 123 of our U.S. financial services stores, we offer multiple-payment unsecured consumer loans. These loans carry a term of up to seven months with a series of equal installment payments including principal amortization due monthly, semi-monthly or on the customers' paydays. Total interest and fees on these loans vary in accordance with state law, local ordinances and loan terms, but over the entire loan term total approximately 45% to 175% of the original principal amount of the loan. Multiple-payment loan principal amounts range from $100 to $3,500, but average approximately $570.</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2014, we offered credit services to customers seeking consumer loans from unaffiliated lenders in 288 U.S. financial services stores and two U.S. pawn stores. In these locations, we act as a credit services organization ("CSO") on behalf of customers in accordance with applicable state and local laws.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For credit services in connection with arranging a single-payment loan (average loan amount of about $540), our fee is approximately 22% to 44% of the loan amount. For credit services in connection with arranging an unsecured multiple-payment loan (average loan amount of about $915), our fee is 175% of the initial loan amount. For credit services in connection with arranging single-payment auto title loans (average loan amount of about $1,240), the fee is up to 30% of the loan amount with an average rate of 20%. We also assist customers in obtaining longer term multiple-payment auto title loans from unaffiliated lenders. Multiple-payment auto title loans typically carry terms of five months with up to ten equal installments. Multiple-payment auto title loan principal amounts range from $150 to $10,000, but average about $1,220; and we earn a fee of 45% to 150% of the initial loan amount.</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2014, 442 of our U.S. financial services stores and two of our U.S. pawn stores offered auto title loans or, in Texas, credit services to assist customers in obtaining auto title loans from unaffiliated lenders. Auto title loans are 30-day loans secured by the titles to customers’ automobiles. Loan principal amounts range from $50 to $20,000, but average about $1,060. We earn a fee of 9% to 30% of auto title loan amounts. In Texas, we assist customers in obtaining multiple-payment auto title loans from unaffiliated lenders. These loans typically carry terms of five months with up to ten equal installments. Principal amounts range from $150 to $10,000, but average about $1,220; and we earn a fee of 45% to 150% of the initial loan amount.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Mexico, Grupo Finmart offers multiple-payment consumer loans that are collected through payroll deductions. The average loan is approximately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 with a stated term of 30 months. Stated interest rates approximate 72% annually.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Growth</w:t>
      </w:r>
    </w:p>
    <w:p>
      <w:pPr>
        <w:spacing w:after="0" w:line="17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Within our Mexican consumer loan business, we anticipate Grupo Finmart will continue to sign new contracts with federal, state and local governments as well as further penetrate the existing contracts. As of December 31, 2014, our lending penetration into the booked contracts was approximately 4%, which indicates further growth opportunities. In addition, we are seeking to diversify our product offerings to this customer base. We expect to continue to obtain local financing to fund Grupo Finmart’s lending growth, and we anticipate this financing will continue to be non-recourse to EZCORP.</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intend to continue to maximize lending opportunity in key product categories as well as evaluate potential acquisition targets in our Mexican pawn business, but will adjust growth from time-to-time to conform to near-term market conditions. The Mexican pawn environment has mirrored the U.S. pawn environment as gold prices have dropped and the industry has seen a shift from gold and jewelry pawn activity to general merchandise pawn activity. We intend to secure local financing for our Mexican pawn growth.</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18" w:right="25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2014, we operated 21 buy/sell stores within the Mexico market. We intend to finance any future de novo stores using cash flow generated from our Mexican operations, as well as local financing.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availability of excess jewelry inventory and timing of decisions to scrap excess jewelry inventory.</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payroll withholding lending business is less impacted by seasonality, with the exception of the summer months when new loan originations tend to moderate.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Accounting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have been no changes in critical accounting policies as described in our Amended Annual Report on Form 10-K/A for the year ended September 30, 2014.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recently adopted accounting pronouncements during the quarter ended December 31, 2014.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applicable recently issued accounting pronouncements during the quarter ended December 31, 2014.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and Assumptions</w:t>
      </w:r>
    </w:p>
    <w:p>
      <w:pPr>
        <w:spacing w:after="0" w:line="17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18" w:right="25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175" w:lineRule="exact"/>
        <w:rPr>
          <w:sz w:val="20"/>
          <w:szCs w:val="20"/>
          <w:color w:val="auto"/>
        </w:rPr>
      </w:pPr>
    </w:p>
    <w:p>
      <w:pPr>
        <w:ind w:left="60" w:right="80"/>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results of the Latin America segment operations, which are denominated in Mexican pesos and believe that presentation of constant currency results is meaningful and useful in understanding the activities and business metrics of our Latin America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condensed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Constant currency results reported herein are calculated by translating balance sheet and income statement items denominated in Mexican pesos to U.S. dollars using the exchange rate from the prior-year comparable period, as opposed to the current comparable period, in order to exclude the effects of foreign currency rate fluctuations. For balance sheet items, the end of period rate at December 31, 2013 of 13.1 to 1 was used, compared to the current end of period rate at December 31, 2014 of 14.7 to 1. For statement of operations items, the average closing daily exchange rate for the appropriate period was used. The average exchange rate for the prior-year quarter ended December 31, 2013 was 13.0 to 1 compared to the current quarter ended December 31, 2014 rate of 13.9 to 1.</w:t>
      </w:r>
    </w:p>
    <w:p>
      <w:pPr>
        <w:spacing w:after="0" w:line="1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summary financial data for our three month periods ended December 31, 2014 and 2013 (the "current quarter" and "prior-year quarter," respectively). This table, as well as the discussion that follows, should be read with the accompanying condensed consolidated financial statements and related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66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9"/>
        </w:trPr>
        <w:tc>
          <w:tcPr>
            <w:tcW w:w="6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109,639</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105,587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27,703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Pawn service charges</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64,927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64,133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58,847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55,204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252,818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253,756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72,478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64,141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20,020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loan bad debt</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22,050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18,188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143,615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151,407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8,635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19,669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9,678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16,934</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continuing operations attributable to redeemable noncontrolling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EZCORP</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11,612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18,730</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67"/>
        </w:trPr>
        <w:tc>
          <w:tcPr>
            <w:tcW w:w="66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 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Pawn loans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150,930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153,421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Consumer loans, net</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61,347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62,653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132,659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142,159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consumer loans, net</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78,362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78,686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Consumer loans outstanding with unaffiliated lenders*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22,666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30,913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6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net earning assets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445,964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467,832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type w:val="continuous"/>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Consumer loans outstanding with unaffiliated lenders "CSO loans" are not recorded in our condensed consolidated balance sheets.</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from continuing operations, net of tax, was $8.6 million compared to $19.7 million during the prior-year quarter. This $11.0 million decrease was primarily attributable to the following:</w:t>
      </w:r>
    </w:p>
    <w:p>
      <w:pPr>
        <w:spacing w:after="0" w:line="108" w:lineRule="exact"/>
        <w:rPr>
          <w:sz w:val="20"/>
          <w:szCs w:val="20"/>
          <w:color w:val="auto"/>
        </w:rPr>
      </w:pPr>
    </w:p>
    <w:p>
      <w:pPr>
        <w:ind w:left="660" w:right="2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A$4.3 million decrease in merchandise sales gross profit primarily due to our efforts to reshape our inventory profile and increase the velocity of inventory;</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 million decrease in jewelry scrapping sales gross profit primarily due to a decrease in proceeds realized per gram of gold jewelry scrapped coupled with a decrease in gold volume;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million decrease in other revenues;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$7.0 million increase in interest expense primarily due to debt discount amortization pertaining to our 2.125% cash convertible senior notes due 2019, coupled with a higher weighted-average debt outstanding;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$6.5 million decrease in gain on sale or disposal of assets primarily due to a prior-year quarter gain realized on the sale of seven U.S. pawn stores; partially offset by</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 million increase in revenue related to consumer loan fees and interest primarily driven by consumer loan fees and interest from Grupo Finmart;</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$7.4 million decrease in administrative expenses primarily due to one-time incentive bonus awards in the prior-year quarter of $2.2 million, coupled with a $2.1 million decrease in contract labor costs; and</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decrease in income tax expense primarily due to a decrease in income from continuing operations, partially offset by an increase in the effective tax rate primarily due to elimination of the tax rate differential on discontinued foreign operations, a reduction of costs paid to offshore affiliates and lower non-U.S. undistributed earnings.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revenues were $252.8 million compared to $253.8 million in the prior-year quarter. Excluding jewelry scrapping sales, total revenues increased $8.2 million, or 4%, primarily driven by an increase in merchandise sales and consumer loan fees and interest.</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Income from discontinued operations was $1.0 million in the current quarter compared to a loss of $2.7 million in the prior-year quarter primarily due to better-than-anticipated wind-down collection experience.</w:t>
      </w:r>
    </w:p>
    <w:p>
      <w:pPr>
        <w:spacing w:after="0" w:line="10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Net earning assets including our CSO loans decreased 5% from the prior-year quarter and were $446.0 million at current quarter end. This decrease was primarily driven by a decrease in consumer loans with unaffiliated lenders. Furthermore, inventory decreased 7% from the prior-year quarter due to our efforts to drive increased inventory turnover.</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60"/>
          </w:cols>
          <w:pgMar w:left="240" w:top="118" w:right="29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summary financial data from continuing operations for the U.S. &amp; Canada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59"/>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5"/>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5"/>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90,059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88,890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17,127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25,925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Pawn service charges</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57,035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57,069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42,532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45,750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207,328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218,165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58,994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13,414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18,570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loan bad debt</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14,310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14,183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120,610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131,812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expenses (income):</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84,763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86,567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(gain) on sale or disposal of assets</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contribution</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31,379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47,211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Other data:</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margin on merchandise sales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margin on 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margin on total sales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earning assets — continuing operations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298,951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316,303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pawn loan balance per pawn store at period end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Average yield on pawn loan portfolio*</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Pawn loan redemption rate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Consumer loan bad debt as a percentage of consumer loan fees</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Average yield on pawn loan portfolio is calculated as pawn service charge revenues for the period divided by the average pawn loan balance during the period.</w:t>
      </w:r>
    </w:p>
    <w:p>
      <w:pPr>
        <w:spacing w:after="0" w:line="16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U.S. &amp; Canada segment total revenues decreased $10.8 million from the prior-year quarter to $207.3 million. The overall decrease in total revenues was primarily due to an $8.8 million decrease in jewelry scrapping sales. Excluding jewelry scrapping sales, total revenues decreased $2.0 million, or 1%, primarily due to a $3.2 million decrease in consumer loan fees and interest, offset by a $1.2 million increase in merchandise sales. In the current quarter we opened ten de novo locations (consisting of five pawn locations and five financial services locations) bringing our total number of stores in the U.S. &amp; Canada segment to 1,054, a 3% increase over the prior-year quarter. Subsequent to December 31, 2014, we signed a definitive agreement to acquire 12 additional pawn stores in the United States. See Note 18 of Notes to Interim Condensed Consolidated Financial Statements included in "Part I, Item 1 — Financial Statements."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Total merchandise sales increased $1.2 million, or 1%, from the prior-year quarter to $90.1 million. Same-store merchandise sales increased $0.7 million, or 1%, from the prior-year quarter, and new and acquired stores, net of closed stores contributed sales of $0.5 million. The same store increase is mostly due to a 4% increase in jewelry sales, partially offset by a 1% decrease</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 general merchandise sales. Gross margin was 34% during the current quarter, down from 40% in the prior-year quarter, primarily as a result of our efforts to reshape our inventory profile and increase the velocity of inventory. General merchandise inventory held for a year or more turned 3.2 times compared to</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2.3 times in the prior-year quarter and aged inventory decreased 10%. Jewelry inventory held for a year or more turned 1.8 times compared to 0.8 times in the prior-year quarter and aged inventory decreased 17%. We will continue a concerted effort to improve the velocity of inventory and expect to further reduce aged inventory through the remainder of the fiscal year.</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Gross profit on jewelry scrapping sales decreased $3.6 million, or 50%, from the prior-year quarter to $3.7 million. Jewelry scrapping revenues decreased $8.8 million, or 34%, due to a 10% decrease in proceeds realized per gram of gold jewelry scrapped coupled with a 29% decrease in gold volume. The decrease in volume was primarily due to a change in strategy to retail jewelry rather than scrap it in addition to an overall decline due to the market price of gold. Same-store jewelry scrapping sales decreased $8.7 million, or 34%, with the remaining decrease due to stores sold during the prior-year quarter. Jewelry scrapping sales include approximately $2.6 million and $3.3 million of loose diamonds removed from scrap jewelry and sold in the current quarter and prior-year quarter, respectively. Scrap cost of goods sold decreased $5.2 million from the prior-year quarter, primarily due to a decrease in volume.</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current quarter pawn service charge revenues remained flat as compared to the prior-year quarter. There was a $0.4 million, or 1%, increase in same-store pawn service charges which was mostly offset by pawn service charges from stores sold in the prior-year quarter.</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Consumer loan fees and interest decreased by $3.2 million, or 7%, from the prior-year quarter to $42.5 million. The overall decrease in consumer loan fees and interest was primarily due to a decrease in consumer loan balances in Texas ordinance cities, mainly Houston and El Paso. Total consumer loan bad debt as a percentage of consumer loan fees increased 10% primarily due to higher duration products attributable to new customers acquired which generated higher than anticipated bad debt. Houston and El Paso ordinances have been in effect for two quarters, and we expect the year-over-year comparable amounts for the next two quarters to show similar trends.</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segment expenses increased to $89.2 million (43% of revenues) during the current quarter from $84.6 million (39% of revenues) in the prior-year quarter. This increase was primarily due to a prior-year quarter gain on sale or disposal of other assets of $6.3 million as a result of the gain realized on sale of seven U.S. pawn stores (three in Louisiana, two in Mississippi, one in Alabama and one in Florida), which reduced prior-year segment expenses.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current quarter, U.S. &amp; Canada delivered a segment contribution of $31.4 million, a $15.8 million decrease compared to the prior-year quarter. In the current and prior-year quarter, the U.S. &amp; Canada segment's contribution represented 115% of consolidated segment contribution, as there was a loss from the Latin America segment.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18" w:right="25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Latin America</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summary financial data from continuing operations for the Latin America segment after translation to U.S. dollars from its functional currency of the Mexican peso:</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6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59"/>
        </w:trPr>
        <w:tc>
          <w:tcPr>
            <w:tcW w:w="6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5"/>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19,580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16,697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Pawn service charges</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7,064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16,315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9,454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45,490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35,591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13,484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10,541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loan bad debt</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4,005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23,005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19,595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expenses (income):</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18,931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18,794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loss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67"/>
        </w:trPr>
        <w:tc>
          <w:tcPr>
            <w:tcW w:w="68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68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Other data:</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margin on merchandise sales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margin on 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margin on total sales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earning assets —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146,950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142,854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pawn loan balance per pawn store at period end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Average yield on pawn loan portfolio*</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Pawn loan redemption rate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Consumer loan bad debt as a percentage of consumer loan fees</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Average yield on pawn loan portfolio is calculated as pawn service charge revenues for the period divided by the average pawn loan balance during the period.</w:t>
      </w:r>
    </w:p>
    <w:p>
      <w:pPr>
        <w:spacing w:after="0" w:line="1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average exchange rate used to translate Latin America's results from Mexican pesos to U.S. dollars was 13.9 to 1, which was 7% higher than the prior-year quarter's rate of 13.0 to 1. At the end of the current quarter, we had 314 stores in the Latin America segment, operating under various brands, including Empeño Fácil, Crediamigo, Adex and TUYO.</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Latin America segment's total revenues increased $9.9 million, or 28%, from the prior-year quarter to $45.5 million. On a constant currency basis, total revenues increased $14.6 million, or 43%, from the prior-year quarter. The overall increase in total revenues was due to a $6.9 million increase in consumer loan fees and interest, a $2.9 million increase in merchandise sales and a $0.8 million increase in pawn service charges, partially offset by a $0.4 million decrease in jewelry scrapping sales and a $0.3 million decrease in other revenue.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Consumer loan fees and interest increased $6.9 million from the prior-year quarter to $16.3 million. On a constant currency basis, consumer loan fees and interest increased $9.5 million from the prior-year quarter. The increase was driven primarily by an increase in consumer loans at Grupo Finmart.</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Merchandise sales increased $2.9 million, or 17%, while merchandise gross profit decreased $0.1 million, or 1%, respectively, from the prior-year quarter. On a constant currency basis, merchandise sales and gross profit increased $4.2 million, or 25%, and $0.4 million, or 6%, respectively, from the prior-year quarter. Gross margin was 31% during the current quarter, down from 37% in the prior-year quarter, primarily as a result of our efforts to reshape our inventory profile and increase the velocity of inventory. General merchandise inventory held for a year or more turned 3.2 times compared to 1.5 times in the prior-year quarter and aged inventory decreased 43%. We will continue a concerted effort to improve the velocity of inventory and expect to further reduce aged inventory through the remainder of the fiscal year.</w:t>
      </w:r>
    </w:p>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Latin America's pawn service charge revenues increased $0.8 million, or 12%, from the prior-year quarter to $7.9 million. On a constant currency basis, pawn service charge revenues increased $1.4 million, or 19% from the prior-year quarter. This increase is attributable to an increase in same-store pawn service charges. The average yield on pawn loan portfolio declined to 199%.</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Latin America's other revenues decreased $0.3 million, or 51%, from the prior-year quarter to $0.3 million. On a constant currency basis, other revenues decreased $0.3 million, or 47% from the prior-year quarter.</w:t>
      </w:r>
    </w:p>
    <w:p>
      <w:pPr>
        <w:spacing w:after="0" w:line="10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Total segment expenses increased to $29.4 million (65% of revenues) during the current quarter from $24.5 million (69% of revenues) in the prior-year quarter. The increase was primarily due to a $4.4 million increase in interest expense and a $0.6 million increase in other expenses. The increase in interest expense was primarily a result of consolidated VIE debt and a higher weighted-average debt outstanding as compared to the prior-year quarter, offset by a decrease in the weighted-average rate on Grupo Finmart's third party debt. The weighted-average rate on Grupo Finmart's third party debt, excluding the consolidated VIE debt, decreased to 9%, from 11% in the prior-year quarter. At December 31, 2014 Grupo Finmart had outstanding debt of $115.9 million, excluding the consolidated VIE debt, and $113.2 million of consolidated VIE debt. On a constant currency basis, total segment expenses increased to $31.4 million during the current quarter, or 28%, from $24.5 million in the prior-year quarter.</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revenues increased $3.4 million and segment expenses increased $4.9 million from the prior-year quarter, resulting in a $1.5 million decrease in contribution for the Latin America segment from the prior-year quarter. On a constant currency basis, net revenues increased $5.0 million and segment expenses increased $6.9 million from the prior-year quarter, resulting in a $1.9 million decrease in contribution for the Latin America segment from the prior-year quarter.</w:t>
      </w:r>
    </w:p>
    <w:p>
      <w:pPr>
        <w:spacing w:after="0" w:line="1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Latin America segment's net earning assets from continuing operations increased $4.1 million, or 3%, from the prior-year quarter primarily due to an increase in consumer loans outstanding. On a constant currency basis, net earning assets increased $22.0 million, or 15%, from the prior-year quarter.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118" w:right="27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summary financial data from continuing operations for the Other International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330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6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64"/>
        </w:trPr>
        <w:tc>
          <w:tcPr>
            <w:tcW w:w="6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income:</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net income of unconsolidated affiliates</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contribution</w:t>
            </w:r>
          </w:p>
        </w:tc>
        <w:tc>
          <w:tcPr>
            <w:tcW w:w="98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7"/>
        </w:trPr>
        <w:tc>
          <w:tcPr>
            <w:tcW w:w="6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equity in the net income of unconsolidated affiliates increased $0.9 million, 73%, from the prior-year quarter to $2.2 million. The increase was due to a $0.3 million decrease from Cash Converters International and a $1.2 million increase due to no reported earnings from Albemarle &amp; Bond in the current quarter from a reported loss in the prior-year quarter.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consolidated segment contribution discussed above to net income attributable to EZCORP, including items that affect our consolidated financial results but are not allocated among segments: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60" w:type="dxa"/>
            <w:vAlign w:val="bottom"/>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59"/>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5"/>
        </w:trPr>
        <w:tc>
          <w:tcPr>
            <w:tcW w:w="7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contribution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27,168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43,592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expenses (income):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15,724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12,213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24,492</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8,635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19,668</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16,933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 attributable to redeemable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EZCORP</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19,728</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Total corporate expenses were $15.0 million compared to $19.1 million during the prior-year quarter. This $4.1 million decrease was primarily due to a $7.4 million decrease in administrative expenses, partially offset by a $2.5 million increase in interest expense. The decrease in administrative expenses was primarily due to one-time incentive bonus awards in the prior-year quarter of $2.2 million in addition to a $2.1 million decrease in contract labor costs as compared to the prior-year quarter. The increase in interest expense was primarily due to $2.1 million of debt discount amortization in the current quarter pertaining to our 2.125% cash convertible senior notes due 2019 issued in June 2014.</w:t>
      </w:r>
    </w:p>
    <w:p>
      <w:pPr>
        <w:spacing w:after="0" w:line="13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Consolidated income from continuing operations before income taxes decreased $12.3 million, or 50%, to $12.2 million primarily due to a $15.8 million decrease in contribution from the U.S. and Canada segment and a $1.5 million decrease in contribution from the Latin America segment, offset by a $0.9 million increase in contribution from the Other International segment and a $4.1 million decrease in corporate expenses.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the sources and uses of our cash: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8"/>
        </w:trPr>
        <w:tc>
          <w:tcPr>
            <w:tcW w:w="66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5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 (See Note</w:t>
            </w: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6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13,491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22,274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decrease in cash flows from operations was primarily due a $4.3 million decrease changes in operating assets and liabilities, and a $1.0 million decrease in net income plus several non-cash items and $2.3 million in restructuring payments.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increase in cash flows from investing activities was primarily due to a $10.4 million decrease in acquisitions, net of cash acquired, partially offset by a $12.1 million investment in Cash Converters International in order to maintain our equity ownership percentage in connection with a non-underwritten placement of shares and a $9.9 million decrease in proceeds from sale of assets, in addition to other normal, recurring changes.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cash flows from financing activities was primarily due to a $14.4 million increase in net proceeds from bank borrowings, a $3.1 million decrease in debt issuance costs and a $5.5 million decrease in deferred and contingent consideration, partially offset by a $6.0 million decrease in net proceeds from our revolving line of credit that was terminated in June 2014.</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debt and capital lease obligations outstanding increased by $96.3 million, or 38%, to $462.2 million as compared to the prior-year quarter. This total amount includes the effects of consolidated VIE debt as discussed in further detail below. Of this amount, $115.9 million was non-recourse to EZCORP and the remaining debt was non-recourse and attributable to Grupo Finmart.</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net effect of these and other smaller items was a $22.3 million increase in cash on hand, providing a $77.6 million ending cash balance. Of the aforementioned ending cash balance, approximately 40%, or $31.9 million, is held by foreign subsidiaries and is not available to fund domestic operations as we intend to permanently reinvest earnings from foreign operations.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our cash needs to meet future aggregate contractual obligations as of December 31, 2014: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96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2"/>
                <w:szCs w:val="12"/>
                <w:color w:val="auto"/>
              </w:rPr>
            </w:pPr>
          </w:p>
        </w:tc>
        <w:tc>
          <w:tcPr>
            <w:tcW w:w="104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59"/>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 (See Note 2)</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458,982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107,155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293,998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67,910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32,003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292,053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91,804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consideration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825,910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131,705</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231,637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363,403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99,165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0" w:right="3440" w:hanging="5"/>
        <w:spacing w:after="0" w:line="302" w:lineRule="auto"/>
        <w:tabs>
          <w:tab w:leader="none" w:pos="14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debt premium related to Grupo Finmart and 2.125% cash convertible senior notes due 2019 embedded derivative and discount ** Future interest on long-term obligations calculated based on interest rates effective at the balance sheet date</w:t>
      </w:r>
    </w:p>
    <w:p>
      <w:pPr>
        <w:ind w:left="40" w:right="240" w:hanging="5"/>
        <w:spacing w:after="0" w:line="262" w:lineRule="auto"/>
        <w:tabs>
          <w:tab w:leader="none" w:pos="2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 year corporate office lease signed in December 2014 with initial rent payment due beginning February 2016 after a five month rent holiday, and ending March 2029. Annual rent escalates from $3.0 million at lease inception to $4.6 million in the terminal year of the lease. Lease includes two five year extension options at the end of the initial lease term.</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to the contractual obligations in the table above, we are obligated under letters of credit issued to unaffiliated lenders as part of our credit service operations. As of December 31, 2014, our maximum exposure for losses on letters of credit, if all brokered loans defaulted and none were collected, was $28.1 million. Of that total, $8.2 million was secured by titles to customers’ automobiles. These amounts include principal, interest and insufficient funds fees.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operating lease obligations in the table above, we are responsible for the maintenance, property taxes and insurance at most of our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fiscal year ended September 30, 2014, these collectively amounted to $22.8 million.</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operating lease obligations in the table above include expected rent for all our store locations through the end of their current lease terms. Of the 506 U.S. financial services stores, 215 adjoin a pawn store and are covered by the same lease agreement. The lease agreements at approximately 95% of the remaining 291 free-standing U.S. financial services stores contain provisions that limit our exposure for additional rent to only a few months if laws were enacted that had a significant negative effect on our operations at these stores. If such laws were passed, the space currently utilized by stores adjoining pawn stores could be re-incorporated into the pawn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Sources of Cash</w:t>
      </w:r>
    </w:p>
    <w:p>
      <w:pPr>
        <w:spacing w:after="0" w:line="17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252525"/>
        </w:rPr>
        <w:t xml:space="preserve">In June 2014, we issued $200.0 million aggregate principal amount of 2.125% cash convertible senior notes due 2019 (the </w:t>
      </w:r>
      <w:r>
        <w:rPr>
          <w:rFonts w:ascii="Times New Roman" w:cs="Times New Roman" w:eastAsia="Times New Roman" w:hAnsi="Times New Roman"/>
          <w:sz w:val="17"/>
          <w:szCs w:val="17"/>
          <w:color w:val="000000"/>
        </w:rPr>
        <w:t>“Convertible Notes”). We granted</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the initial purchasers the option to purchase up to an additional $30.0 million aggregate principal amount of Convertible Notes. On June 27, 2014, such option was exercised in full, and we issued the additional $30.0 million of Convertible Notes on July 2, 2014. All of the Convertible Notes were issued </w:t>
      </w:r>
      <w:r>
        <w:rPr>
          <w:rFonts w:ascii="Times New Roman" w:cs="Times New Roman" w:eastAsia="Times New Roman" w:hAnsi="Times New Roman"/>
          <w:sz w:val="17"/>
          <w:szCs w:val="17"/>
          <w:color w:val="252525"/>
        </w:rPr>
        <w:t>pursuant to</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52525"/>
        </w:rPr>
        <w:t xml:space="preserve">an indenture dated June 23, 2014 (the "Indenture") by and between us and Wells Fargo Bank, National Association as the trustee. The Convertible Notes were issued in a private offering </w:t>
      </w:r>
      <w:r>
        <w:rPr>
          <w:rFonts w:ascii="Times New Roman" w:cs="Times New Roman" w:eastAsia="Times New Roman" w:hAnsi="Times New Roman"/>
          <w:sz w:val="17"/>
          <w:szCs w:val="17"/>
          <w:color w:val="000000"/>
        </w:rPr>
        <w:t>pursuant to Rule 144A under the Securities Act of 1933.</w:t>
      </w:r>
      <w:r>
        <w:rPr>
          <w:rFonts w:ascii="Times New Roman" w:cs="Times New Roman" w:eastAsia="Times New Roman" w:hAnsi="Times New Roman"/>
          <w:sz w:val="17"/>
          <w:szCs w:val="17"/>
          <w:color w:val="252525"/>
        </w:rPr>
        <w:t xml:space="preserve"> The Convertible Notes pay interest semi-annually in arrears at a rate of</w:t>
      </w:r>
    </w:p>
    <w:p>
      <w:pPr>
        <w:spacing w:after="0" w:line="3"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252525"/>
        </w:rPr>
        <w:t>2.125% per annum on June 15 and December 15 of each year, commencing on December 15, 2014, and will mature on June 15, 2019 (the "Maturity Date"). Upon conversion or maturity, the Convertible Notes will be settled only in cash (including, in the case of conversion, an amount of cash representing the net value attributable to certain increases in the price of our Class A Non-voting Common Stock).</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52525"/>
        </w:rPr>
        <w:t>Prior to December 15, 2018, the Convertible Notes will be convertible only upon the occurrence of certain events and during certain periods, and thereafter, at any time prior to the close of business on the second scheduled trading day immediately preceding the Maturity Date, as described in the indenture. The Convertible Notes are convertible into cash based on an initial conversion rate of 62.2471 shares of Class A Non-voting Common Stock per $1,000 principal amount of Convertible Notes (equivalent to an initial conversion price of approximately $16.065 per share of our Class A Non-voting Common Stock). The conversion rate will not be adjusted for any accrued and unpaid interest.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entered into hedges with counterparties to limit our exposure to the additional cash payments above the $230.0 million aggregate principal amount of the Convertible Notes that may be due to the holders upon conversion. In separate transactions, we sold warrants with a strike price of $20.83 per share.</w:t>
      </w:r>
    </w:p>
    <w:p>
      <w:pPr>
        <w:spacing w:after="0" w:line="108"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252525"/>
        </w:rPr>
        <w:t>The Convertible Notes are our unsubordinated unsecured obligations and rank senior in right of payment to any of our indebtedness that is expressly subordinated in right of payment to the Convertible Notes; equal in right of payment with all of our other unsecured unsubordinated indebtedness; and effectively junior to all debt or other obligations (including trade payables) of our wholly-owned subsidiaries.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2014, the Convertible Notes are not convertible because the </w:t>
      </w:r>
      <w:r>
        <w:rPr>
          <w:rFonts w:ascii="Times New Roman" w:cs="Times New Roman" w:eastAsia="Times New Roman" w:hAnsi="Times New Roman"/>
          <w:sz w:val="18"/>
          <w:szCs w:val="18"/>
          <w:color w:val="252525"/>
        </w:rPr>
        <w:t>conversion conditions</w:t>
      </w:r>
      <w:r>
        <w:rPr>
          <w:rFonts w:ascii="Times New Roman" w:cs="Times New Roman" w:eastAsia="Times New Roman" w:hAnsi="Times New Roman"/>
          <w:sz w:val="18"/>
          <w:szCs w:val="18"/>
          <w:color w:val="auto"/>
        </w:rPr>
        <w:t xml:space="preserve"> have not been met. Accordingly, the net balance of the Convertible Notes of $187.7 million is classified as a non-current liability on our condensed consolidated balance sheets as of December 31, 2014.</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an additional description of the Convertible Notes, the conversion terms thereof and the hedges and warrants transactions, see Note 7 "Long-term Debt and Capital Lease Obligations" in the notes to the condensed consolidated financial statements.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2014, Grupo Finmart's third party debt (non-recourse to EZCORP), excluding debt consolidated under VIEs, was $115.9 million, with a weighted-average interest rate of 9%. Since the acquisition of Grupo Finmart in January 2012, Grupo Finmart's debt has increased $6.2 million, and its weighted-average interest rate has decreased 10 percentage points, due to debt refinancing. This refinancing effort was a key assumption in our investment analysis and will result in significantly reduced interest expenses going forward.</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fiscal 2014 and the quarter ended December 31, 2014, Grupo Finmart completed several transfers of consumer loans to consolidated VIEs. The debt outstanding from these transfers was $113.2 million as of December 31, 2014. For an additional description of these proceeds, see "Secured notes consolidated from VIE's" in Note 10 of Notes to Interim Condense Consolidated Financial Statement included in "Part I, Item 1 — Financial Statements."</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$115.9 million Grupo Finmart debt, excluding debt consolidated under VIEs, and $113.2 million debt consolidated under VIEs comprise the $229.1 million total debt outstanding of Grupo Finmart.</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July 2012 Grupo Finmart transferred certain consumer loans to a bankruptcy remote trust in a securitization transaction. The securitization borrowing facility had a maximum capacity of approximately $115.4 million. On February 17, 2014, Grupo Finmart repaid this facility and entered into a new securitization transaction to transfer collection rights of certain eligible consumer loans to a bankruptcy remote trust. As of December 31, 2014, $49.5 million was outstanding under the securitization borrowing facility. The trust received financing as a result of the issuance of debt securities and delivered the proceeds of the financing to Grupo Finmart. The unrestricted cash received from this borrowing in the amount of $31.3 million was primarily used to repay the previous securitization borrowing facility due in 2017 and the transaction costs associated with this transaction. The cash proceeds of approximately $18.2 million is restricted primarily for $15.8 million of collection rights on the additional eligible loans from Grupo Finmart, which Grupo Finmart expects to deliver to the trust within the next 12 months, and $2.4 million of interest and trust maintenance costs to be recovered at repayment. The restricted cash proceeds of $15.8 million are recourse to Grupo Finmart unless additional eligible loans are delivered within two-year period specified in the agreement. As a result of higher average debt outstanding and greater utilization of our revolver, we have experienced an increase in payments on bank borrowings and revolving line of credit. We expect Grupo Finmart to continue its use of borrowing facilities and proceeds from loan repayments to fund loan originations, operations and contractual obligations.</w:t>
      </w:r>
    </w:p>
    <w:p>
      <w:pPr>
        <w:spacing w:after="0" w:line="13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anticipate that cash flow from operations and our cash on hand will be adequate to fund our contractual obligations, planned store growth, capital expenditures and working capital requirements during the remainder of the fiscal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issue letters of credit to enhance the creditworthiness of our credit service customers seeking unsecured consumer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condensed consolidated balance sheets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include an allowance for expected LOC losses under "Accounts payable and other accrued expenses" on our condensed consolidated balance sheets. As of December 31, 2014 the allowance for expected LOC losses was $3.3 million. At that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maximum exposure for losses on letters of credit, if all brokered loans defaulted and none were collected, was $28.1 million. This amount includes principal, interest and insufficient funds fees.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other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Amended Quarterly Report on Form 10-Q/A,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 — Risk Factors" of this Amended Quarterly Report on Form 10-Q/A and "Part I, Item 1A — Risk Factors" of our Amended Annual Report on Form 10-K/A for the year ended September 30, 2014.</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Amended Annual Report on Form 10-K/A for the year ended September 30, 2014. There have been no material changes to our exposure to market risks since September 30,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Amended Quarterly Report on Form 10-Q/A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recently completed a comprehensive review of our Grupo Finmart loan portfolio, and as a result of issues identified in that review, our Board of Directors, on the recommendation of the Audit Committee and in consultation with management and our independent registered public accounting firms, concluded that our previously issued financial statements for fiscal 2014, 2013 and 2012 (including the interim periods within those years, other than the first quarter of fiscal 2012) and the unaudited financial statements for the first quarter of fiscal 2015 should no longer be relied upon because of certain accounting errors in those financial statements. Accordingly, we have restated our previously issued financial statements for those periods. See “Part I, Item 2 — Management’s Discussion and Analysis of Financial Condition and Results of Operations — Grupo Finmart Portfolio Review and Restatement” and Note 2 of Notes to Interim Condensed Consolidated Financial Statements included in “Part I, Item 1 — Financial Statements.”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 result of management’s review of the Grupo Finmart portfolio issues, we have identified deficiencies in our internal controls which are discussed more fully below. Those deficiencies failed to prevent or detect accounting errors, which led to the restatement described above. The deficiencies, collectively, represent material weaknesses in our internal control over financial reporting and require corrective and remedial actions.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of 1934) are designed to ensure that information required to be disclosed in the reports we file or submit under the Exchange Act is recorded,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80"/>
          </w:cols>
          <w:pgMar w:left="240" w:top="118" w:right="27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our original Quarterly Report on Form 10-Q for the quarter ended December 31, 2014, our management, under the supervision and with the participation of our Chief Executive Officer and Chief Financial Officer at that time, evaluated the effectiveness of the design and operation of our disclosure controls and procedures as of December 31, 2014. Based on that evaluation, our Chief Executive Officer and Chief Financial Officer at that time concluded that our disclosure controls and procedures were effective as of December 31, 2014.</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this Amended Quarterly Report on Form 10-Q/A, our management, under the supervision and with the participation of our current Chief Executive Officer and Chief Financial Officer, reevaluated the effectiveness of the design and operation of our disclosure controls and procedures as of December 31, 2014. Based on that reevaluation, our current Chief Executive Officer and Chief Financial Officer concluded that our disclosure controls and procedures were not effective as of December 31, 2014 due to the existence of the material weaknesses in internal control over financial reporting described below (which we view as an integral part of our disclosure controls and procedures). Based on the completion of the review of the Grupo Finmart loan portfolio and the performance of additional procedures designed to ensure the reliability of our financial reporting, we believe that the interim condensed consolidated financial statements included in this Amended Quarterly Report on Form 10-Q/A fairly present, in all material respects, our financial position, results of operations and cash flows as of the date, and for the period, presented, in conformity with U.S. GAAP.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Internal Control Over Financial Reporting</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our original Annual Report on Form 10-K for the year ended September 30, 2014, we presented a Management's Report on Internal Control Over Financial Reporting in which our Chief Executive Officer and Chief Financial Officer at the time concluded that our internal control over financial reporting was effective as of September 30, 2014. In connection with the preparation of our Amended Annual Report on Form 10-K/A for the fiscal year ended September 30, 2014, our management, under the supervision and with the participation of our current Chief Executive Officer and Chief Financial Officer, reevaluated the effectiveness of our internal control over financial reporting as of September 30, 2014, and concluded that we did not maintain effective internal control over financial reporting as of September 30, 2014 due to the identification of material weaknesses. See "Part II, Item 9A — Controls and Procedures — Management's Report on Internal Control Over Financial Reporting (Revised)" in our Amended Annual Report on Form 10-K for the year ended September 30, 2014. For the same reasons, management also has concluded that we did not maintain effective internal control over financial reporting as of September 30, 2013 or September 30, 2012.</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Management identified a number of deficiencies in the design and operating effectiveness of the Company’s internal controls as of September 30, 2014 that represent material weaknesses in our internal control over financial reporting. These deficiencies are the result of management’s failure to design, implement and maintain adequate operational and internal controls and processes to (1) identify complex transactions requiring specialized accounting expertise and other financial reporting requirements and (2) monitor and report the performance of the Grupo Finmart loan portfolio.</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deficiencies in our internal control over financial reporting resulted in the accounting errors that led to the restatement of previously issued financial statements. See "Part I, Item 2 — Management's Discussion and Analysis of Financial Condition and Results of Operations — Grupo Finmart Portfolio Review and Restatement" and Note 2 of Notes to Interim Condensed Consolidated Financial Statements included in "Part I, Item 1 — Financial Statements."</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a complete description of the identified material weaknesses and the control and other deficiencies that contributed to them, see "Part II, Item 9A — Controls and Procedures" in our Amended Annual Report on Form 10-K/A for the year ended September 30, 2014.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18" w:right="25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management is in the process of designing and implementing remediation efforts intended to address the material weaknesses discussed above. These remediation efforts will be focused on:</w:t>
      </w:r>
    </w:p>
    <w:p>
      <w:pPr>
        <w:spacing w:after="0" w:line="108" w:lineRule="exact"/>
        <w:rPr>
          <w:sz w:val="20"/>
          <w:szCs w:val="20"/>
          <w:color w:val="auto"/>
        </w:rPr>
      </w:pPr>
    </w:p>
    <w:p>
      <w:pPr>
        <w:ind w:left="660" w:right="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appropriate operational and risk assessment processes, as well as transactional controls, at both the Grupo Finmart and EZCORP level in order to (1) ensure engagement and utilization of appropriately qualified U.S. GAAP experts where required and (2) provide appropriate access and visibility to loan performance information;</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internal resources and improving the organizational structure;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overall control environment within both EZCORP and Grupo Finmart.</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Audit Committee, will develop a comprehensive remediation plan, including a detailed plan and timetable for implementation, and will report regularly to the Audit Committee regarding the status of the implementation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2014 that have materially affected or are reasonably likely to materially affect our internal control over financial reporting, as the material weaknesses described above had not yet been identified by management.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Internal Controls</w:t>
      </w:r>
    </w:p>
    <w:p>
      <w:pPr>
        <w:spacing w:after="0" w:line="17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22" w:lineRule="exact"/>
        <w:rPr>
          <w:sz w:val="20"/>
          <w:szCs w:val="20"/>
          <w:color w:val="auto"/>
        </w:rPr>
      </w:pPr>
    </w:p>
    <w:p>
      <w:pPr>
        <w:ind w:left="360" w:hanging="325"/>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in decision-making can be faulty, and control and process breakdowns can occur because of simple errors or mistakes.</w:t>
      </w:r>
    </w:p>
    <w:p>
      <w:pPr>
        <w:spacing w:after="0" w:line="171" w:lineRule="exact"/>
        <w:rPr>
          <w:rFonts w:ascii="Times New Roman" w:cs="Times New Roman" w:eastAsia="Times New Roman" w:hAnsi="Times New Roman"/>
          <w:sz w:val="18"/>
          <w:szCs w:val="18"/>
          <w:color w:val="auto"/>
        </w:rPr>
      </w:pPr>
    </w:p>
    <w:p>
      <w:pPr>
        <w:ind w:left="360" w:hanging="325"/>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can be circumvented by individuals, acting alone or in collusion with others, or by management override.</w:t>
      </w:r>
    </w:p>
    <w:p>
      <w:pPr>
        <w:spacing w:after="0" w:line="171" w:lineRule="exact"/>
        <w:rPr>
          <w:rFonts w:ascii="Times New Roman" w:cs="Times New Roman" w:eastAsia="Times New Roman" w:hAnsi="Times New Roman"/>
          <w:sz w:val="18"/>
          <w:szCs w:val="18"/>
          <w:color w:val="auto"/>
        </w:rPr>
      </w:pPr>
    </w:p>
    <w:p>
      <w:pPr>
        <w:ind w:left="360" w:right="20" w:hanging="325"/>
        <w:spacing w:after="0" w:line="282"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07" w:lineRule="exact"/>
        <w:rPr>
          <w:rFonts w:ascii="Times New Roman" w:cs="Times New Roman" w:eastAsia="Times New Roman" w:hAnsi="Times New Roman"/>
          <w:sz w:val="18"/>
          <w:szCs w:val="18"/>
          <w:color w:val="auto"/>
        </w:rPr>
      </w:pPr>
    </w:p>
    <w:p>
      <w:pPr>
        <w:ind w:left="360" w:right="280" w:hanging="325"/>
        <w:spacing w:after="0" w:line="282"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time, controls may become inadequate because of changes in conditions or deterioration in the degree of compliance with associated policies or procedures.</w:t>
      </w:r>
    </w:p>
    <w:p>
      <w:pPr>
        <w:spacing w:after="0" w:line="107" w:lineRule="exact"/>
        <w:rPr>
          <w:rFonts w:ascii="Times New Roman" w:cs="Times New Roman" w:eastAsia="Times New Roman" w:hAnsi="Times New Roman"/>
          <w:sz w:val="18"/>
          <w:szCs w:val="18"/>
          <w:color w:val="auto"/>
        </w:rPr>
      </w:pPr>
    </w:p>
    <w:p>
      <w:pPr>
        <w:ind w:left="360" w:hanging="325"/>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 control system must reflect the fact that resources are constrained, and the benefits of controls must be considered relative to their costs.</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all control issues and instances of fraud, if any, have been detected.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currently subject to various litigation and regulatory actions. In addition to the matters described in Notes 11 and 18 of Notes to Interim Condensed Consolidated Financial Statements included in "Part I, Item 1 — Financial Statements," we are from time to time subject to other legal and regulatory actions, including the following:</w:t>
      </w:r>
    </w:p>
    <w:p>
      <w:pPr>
        <w:spacing w:after="0" w:line="120" w:lineRule="exact"/>
        <w:rPr>
          <w:sz w:val="20"/>
          <w:szCs w:val="20"/>
          <w:color w:val="auto"/>
        </w:rPr>
      </w:pPr>
    </w:p>
    <w:p>
      <w:pPr>
        <w:ind w:left="660" w:right="4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CFPB </w:t>
      </w:r>
      <w:r>
        <w:rPr>
          <w:rFonts w:ascii="Times New Roman" w:cs="Times New Roman" w:eastAsia="Times New Roman" w:hAnsi="Times New Roman"/>
          <w:sz w:val="18"/>
          <w:szCs w:val="18"/>
          <w:color w:val="auto"/>
        </w:rPr>
        <w:t>— In February 2014, we received a Civil Investigative Demand ("CID") from the Consumer Financial Protection Bureau ("CFPB"). The CID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us to produce documents and provide answers to written questions. We submitted all information requested by this CID. In October 2014, we received a follow-up CID requesting additional information regarding certain of the matters addressed in the initial CID, and since then, the CFPB has taken oral testimony from Company representatives and has requested certain follow-up information. We continue to cooperate fully with the CFPB in its investigation. To date, no claims have been asserted by the CFPB as a result of our responses, although there can be no assurance that the CFPB will not assert claims, including that one or more of</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118" w:right="27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80"/>
        <w:spacing w:after="0" w:line="308" w:lineRule="auto"/>
        <w:rPr>
          <w:sz w:val="20"/>
          <w:szCs w:val="20"/>
          <w:color w:val="auto"/>
        </w:rPr>
      </w:pPr>
      <w:r>
        <w:rPr>
          <w:rFonts w:ascii="Times New Roman" w:cs="Times New Roman" w:eastAsia="Times New Roman" w:hAnsi="Times New Roman"/>
          <w:sz w:val="18"/>
          <w:szCs w:val="18"/>
          <w:color w:val="auto"/>
        </w:rPr>
        <w:t>our historical practices constitute "unfair, deceptive or abusive acts or practices" ("UDAAP"), as defined in the Dodd-Frank Wall Street Reform and Consumer Protection Act of 2010. Any such claim could require us to pay fines, penalties and/or customer restitution, or could result in changes to our business practices to address the claims asserted. For update information regarding this matter subsequent to December 31, 2014, see Note 18 of Notes to Interim Condensed Consolidated Financial Statements included in "Part I, Item 1 — Financial Statements."</w:t>
      </w:r>
    </w:p>
    <w:p>
      <w:pPr>
        <w:spacing w:after="0" w:line="97" w:lineRule="exact"/>
        <w:rPr>
          <w:sz w:val="20"/>
          <w:szCs w:val="20"/>
          <w:color w:val="auto"/>
        </w:rPr>
      </w:pPr>
    </w:p>
    <w:p>
      <w:pPr>
        <w:ind w:left="660" w:right="200" w:hanging="328"/>
        <w:spacing w:after="0" w:line="25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FCA </w:t>
      </w:r>
      <w:r>
        <w:rPr>
          <w:rFonts w:ascii="Times New Roman" w:cs="Times New Roman" w:eastAsia="Times New Roman" w:hAnsi="Times New Roman"/>
          <w:sz w:val="18"/>
          <w:szCs w:val="18"/>
          <w:color w:val="auto"/>
        </w:rPr>
        <w:t>— In the course of evaluating and preparing our Cash Genie business (our U.K. online lending business, which we discontinued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for compliance with new guidelines and rules issued by the Financial Conduct Authority ("FCA"), we noted three issues primarily related to our legacy business and self-reported those to the FCA in June 2014 and have been in regular dialog with the FCA regarding those issues since. In July 2014, we agreed to the imposition of a Voluntary Requirement formalizing our commitment to review and evaluate the issues under the oversight of an independent "skilled person" appointed by the FCA to determine whether customers have been adversely affected by those issues and, if so, to assess the redress that would be appropriate. Grant Thornton was selected as the skilled person to oversee the process (referred to as a "section 166 process"), which commenced in November 2014. The section 166 process is ongoing, and at this point, we are unable to determine whether resolution of this matter will have a material adverse effect on our results of operations. For update information regarding this matter subsequent to December 31, 2014, see Note 18 of Notes to Interim Condensed Consolidated Financial Statements included in "Part I, Item 1 — Financial Statements."</w:t>
      </w:r>
    </w:p>
    <w:p>
      <w:pPr>
        <w:spacing w:after="0" w:line="1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unable to determine the ultimate outcome of any current litigation or regulatory actions.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results of operations and could negatively affect our reputation.</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procured management liability insurance policies that should protect us from much of the potential exposure related to the shareholder derivative litigation and the federal securities litigation described in Note 11 of "Part I, Item 1 — Condensed Consolidated Financial Statements and Supplementary Data." However, under the terms of those policies, we bear the first $1 million of costs or liability associated with those actions. Consequently, we expect that our results of operations will be adversely affected by the current litigation until we exhaust the retention under our management liability insurance policies. In addition, to the extent that our ultimate liability in the current litigation or any subsequent litigation that is included in the same policy year exceeds the management liability policy limits, our results of operations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Important risk factors that could affect our operations and financial performance, or that could cause results or events to differ from current expectations, are described in "Part I, Item 1A — Risk Factors" of our Amended Annual Report on Form 10-K/A for the year ended September 30, 2014. These factors are further supplemented by those discussed in "Part II, Item 7A — Quantitative and Qualitative Disclosures about Market Risk" of our Amended Annual Report on Form 10-K/A for the year ended September 30, 2014 and in “Part I, Item 3 — Quantitative and Qualitative Disclosures about Market Risk” and "Part II, Item 1 — Legal Proceedings" of this Amended Quarterly Report on Form 10-Q/A.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disclosure is not required. However, we are providing this information on a voluntary basis in the interest of transparency to investors.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2014, Phillip E. Cohen, the beneficial owner of all of our outstanding Class B Voting Common Stock, made a $550,000 personal loan to Stuart I. Grimshaw, our Chief Executive Officer. The loan bears interest at the rate of 4.5% per annum and is due to be repaid in 12 months. The Company had no involvement in this personal transaction between Mr. Grimshaw and Mr. Cohen.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with, or incorporated by reference into, this report.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3"/>
        </w:trPr>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Certification of Stuart I. Grimshaw, Chief Executive Officer, pursuant to Rule 13a-14(a) under the Securities Exchange Act of</w:t>
            </w:r>
          </w:p>
        </w:tc>
      </w:t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580" w:type="dxa"/>
            <w:vAlign w:val="bottom"/>
          </w:tcPr>
          <w:p>
            <w:pPr>
              <w:spacing w:after="0"/>
              <w:rPr>
                <w:sz w:val="21"/>
                <w:szCs w:val="21"/>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Mark S. Ashby, Chief Financial Officer, pursuant to Rule 13a-14(a) under the Securities Exchange Act of 1934, as</w:t>
            </w:r>
          </w:p>
        </w:tc>
      </w:t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1"/>
                <w:szCs w:val="21"/>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Certifications of Stuart I. Grimshaw, Chief Executive Officer, and Mark S. Ashby, Chief Financial Officer, pursuant to 18 U.S.C.</w:t>
            </w:r>
          </w:p>
        </w:tc>
      </w:t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w:t>
            </w:r>
          </w:p>
        </w:tc>
      </w:tr>
      <w:tr>
        <w:trPr>
          <w:trHeight w:val="500"/>
        </w:trPr>
        <w:tc>
          <w:tcPr>
            <w:tcW w:w="1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101.CAL***</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101.LAB***</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70"/>
        </w:trPr>
        <w:tc>
          <w:tcPr>
            <w:tcW w:w="1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101.DEF***</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1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71" w:lineRule="exact"/>
        <w:rPr>
          <w:sz w:val="20"/>
          <w:szCs w:val="20"/>
          <w:color w:val="auto"/>
        </w:rPr>
      </w:pPr>
    </w:p>
    <w:p>
      <w:pPr>
        <w:ind w:left="500" w:hanging="465"/>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63" w:lineRule="exact"/>
        <w:rPr>
          <w:rFonts w:ascii="Times New Roman" w:cs="Times New Roman" w:eastAsia="Times New Roman" w:hAnsi="Times New Roman"/>
          <w:sz w:val="18"/>
          <w:szCs w:val="18"/>
          <w:color w:val="auto"/>
        </w:rPr>
      </w:pPr>
    </w:p>
    <w:p>
      <w:pPr>
        <w:ind w:left="500" w:right="300" w:hanging="465"/>
        <w:spacing w:after="0" w:line="25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as Exhibit 101 to this report are the following formatted in XBRL (Extensible Business Reporting Language): (i) Condensed Consolidated Balance Sheets as of December 31, 2014 (As Restated), December 31, 2013 and September 30, 2014; (ii) Condensed Consolidated Statements of Operations for the three months ended December 31, 2014 (As Restated) and December 31, 2013; (iii) Condensed Consolidated Statements of Comprehensive (Loss) Income for the three months ended December 31, 2014 (As Restated) and December 31, 2013 (iv) Condensed Consolidated Statements of Cash Flows for the three months ended December 31, 2014 (As Restated) and December 31, 2013; and (v) Notes to Interim Condensed Consolidated Financial Statements.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EZCORP</w:t>
      </w:r>
    </w:p>
    <w:p>
      <w:pPr>
        <w:spacing w:after="0" w:line="387" w:lineRule="exact"/>
        <w:rPr>
          <w:sz w:val="20"/>
          <w:szCs w:val="20"/>
          <w:color w:val="auto"/>
        </w:rPr>
      </w:pPr>
    </w:p>
    <w:p>
      <w:pPr>
        <w:ind w:left="180"/>
        <w:spacing w:after="0"/>
        <w:tabs>
          <w:tab w:leader="none" w:pos="136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9, 2015</w:t>
      </w:r>
      <w:r>
        <w:rPr>
          <w:sz w:val="20"/>
          <w:szCs w:val="20"/>
          <w:color w:val="auto"/>
        </w:rPr>
        <w:tab/>
      </w:r>
      <w:r>
        <w:rPr>
          <w:rFonts w:ascii="Times New Roman" w:cs="Times New Roman" w:eastAsia="Times New Roman" w:hAnsi="Times New Roman"/>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S. Ashby,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240" w:top="118" w:right="4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3"/>
        </w:trPr>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3"/>
        </w:trPr>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Certification of Stuart I. Grimshaw, Chief Executive Officer, pursuant to Rule 13a-14(a) under the Securities Exchange Act of</w:t>
            </w:r>
          </w:p>
        </w:tc>
      </w:t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580" w:type="dxa"/>
            <w:vAlign w:val="bottom"/>
          </w:tcPr>
          <w:p>
            <w:pPr>
              <w:spacing w:after="0"/>
              <w:rPr>
                <w:sz w:val="21"/>
                <w:szCs w:val="21"/>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Mark S. Ashby, Chief Financial Officer, pursuant to Rule 13a-14(a) under the Securities Exchange Act of 1934, as</w:t>
            </w:r>
          </w:p>
        </w:tc>
      </w:t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1"/>
                <w:szCs w:val="21"/>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Certifications of Stuart I. Grimshaw, Chief Executive Officer, and Mark S. Ashby, Chief Financial Officer, pursuant to 18 U.S.C.</w:t>
            </w:r>
          </w:p>
        </w:tc>
      </w:t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w:t>
            </w:r>
          </w:p>
        </w:tc>
      </w:tr>
      <w:tr>
        <w:trPr>
          <w:trHeight w:val="500"/>
        </w:trPr>
        <w:tc>
          <w:tcPr>
            <w:tcW w:w="1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101.CAL***</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101.LAB***</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70"/>
        </w:trPr>
        <w:tc>
          <w:tcPr>
            <w:tcW w:w="1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101.DEF***</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1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71" w:lineRule="exact"/>
        <w:rPr>
          <w:sz w:val="20"/>
          <w:szCs w:val="20"/>
          <w:color w:val="auto"/>
        </w:rPr>
      </w:pPr>
    </w:p>
    <w:p>
      <w:pPr>
        <w:ind w:left="520" w:hanging="45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20" w:hanging="458"/>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63" w:lineRule="exact"/>
        <w:rPr>
          <w:rFonts w:ascii="Times New Roman" w:cs="Times New Roman" w:eastAsia="Times New Roman" w:hAnsi="Times New Roman"/>
          <w:sz w:val="18"/>
          <w:szCs w:val="18"/>
          <w:color w:val="auto"/>
        </w:rPr>
      </w:pPr>
    </w:p>
    <w:p>
      <w:pPr>
        <w:ind w:left="520" w:right="280" w:hanging="458"/>
        <w:spacing w:after="0" w:line="25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as Exhibit 101 to this report are the following formatted in XBRL (Extensible Business Reporting Language): (i) Condensed Consolidated Balance Sheets as of December 31, 2014 (As Restated), December 31, 2013 and September 30, 2014; (ii) Condensed Consolidated Statements of Operations for the three months ended December 31, 2014 (As Restated) and December 31, 2013; (iii) Condensed Consolidated Statements of Comprehensive (Loss) Income for the three months ended December 31, 2014 (As Restated) and December 31, 2013 (iv) Condensed Consolidated Statements of Cash Flows for the three months ended December 31, 2014 (As Restated) and December 31, 2013; and (v) Notes to Interim Condensed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Amended Quarterly Report on Form 10-Q/A of EZCORP, Inc.;</w:t>
      </w:r>
    </w:p>
    <w:p>
      <w:pPr>
        <w:spacing w:after="0" w:line="17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300" w:right="4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960" w:right="40" w:hanging="655"/>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960" w:right="160" w:hanging="655"/>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300" w:hanging="644"/>
        <w:spacing w:after="0" w:line="313"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7"/>
          <w:szCs w:val="17"/>
          <w:color w:val="auto"/>
        </w:rPr>
      </w:pPr>
    </w:p>
    <w:p>
      <w:pPr>
        <w:ind w:left="1960" w:right="100" w:hanging="655"/>
        <w:spacing w:after="0" w:line="313" w:lineRule="auto"/>
        <w:tabs>
          <w:tab w:leader="none" w:pos="196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7"/>
          <w:szCs w:val="17"/>
          <w:color w:val="auto"/>
        </w:rPr>
      </w:pPr>
    </w:p>
    <w:p>
      <w:pPr>
        <w:ind w:left="1960" w:right="280" w:hanging="655"/>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9, 2015</w:t>
      </w:r>
    </w:p>
    <w:p>
      <w:pPr>
        <w:spacing w:after="0" w:line="19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900"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Mark S. Ashby, Chief Financial Officer, pursuant to Rule 13a-14(a) under the Securities Exchange Act of 1934, as adopted pursuant to Section 302 of 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S. Ashby, certify that:</w:t>
      </w:r>
    </w:p>
    <w:p>
      <w:pPr>
        <w:spacing w:after="0" w:line="171"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Amended Quarterly Report on Form 10-Q/A of EZCORP, Inc.;</w:t>
      </w:r>
    </w:p>
    <w:p>
      <w:pPr>
        <w:spacing w:after="0" w:line="17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300" w:right="4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960" w:right="40" w:hanging="655"/>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960" w:right="160" w:hanging="655"/>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300" w:hanging="644"/>
        <w:spacing w:after="0" w:line="313"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7"/>
          <w:szCs w:val="17"/>
          <w:color w:val="auto"/>
        </w:rPr>
      </w:pPr>
    </w:p>
    <w:p>
      <w:pPr>
        <w:ind w:left="1960" w:right="100" w:hanging="655"/>
        <w:spacing w:after="0" w:line="313" w:lineRule="auto"/>
        <w:tabs>
          <w:tab w:leader="none" w:pos="196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7"/>
          <w:szCs w:val="17"/>
          <w:color w:val="auto"/>
        </w:rPr>
      </w:pPr>
    </w:p>
    <w:p>
      <w:pPr>
        <w:ind w:left="1960" w:right="280" w:hanging="655"/>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9, 2015</w:t>
      </w:r>
    </w:p>
    <w:p>
      <w:pPr>
        <w:spacing w:after="0" w:line="19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Mark S. Ashby</w:t>
      </w:r>
    </w:p>
    <w:p>
      <w:pPr>
        <w:spacing w:after="0" w:line="22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Certifications of Stuart I. Grimshaw, Chief Executive Officer, and Mark S. Ashby, Chief Financial Officer, pursuant to 18 U.S.C. Section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officers of EZCORP, Inc. hereby certify that (a) EZCORP's Amended Quarterly Report on Form 10-Q/A for the quarter ended December 31, 2014,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tabs>
          <w:tab w:leader="none" w:pos="7780" w:val="left"/>
        </w:tabs>
        <w:rPr>
          <w:sz w:val="20"/>
          <w:szCs w:val="20"/>
          <w:color w:val="auto"/>
        </w:rPr>
      </w:pPr>
      <w:r>
        <w:rPr>
          <w:rFonts w:ascii="Times New Roman" w:cs="Times New Roman" w:eastAsia="Times New Roman" w:hAnsi="Times New Roman"/>
          <w:sz w:val="18"/>
          <w:szCs w:val="18"/>
          <w:color w:val="auto"/>
        </w:rPr>
        <w:t>Date: November 9, 2015</w:t>
      </w:r>
      <w:r>
        <w:rPr>
          <w:sz w:val="20"/>
          <w:szCs w:val="20"/>
          <w:color w:val="auto"/>
        </w:rPr>
        <w:tab/>
      </w:r>
      <w:r>
        <w:rPr>
          <w:rFonts w:ascii="Times New Roman" w:cs="Times New Roman" w:eastAsia="Times New Roman" w:hAnsi="Times New Roman"/>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Stuart I. Grimshaw</w:t>
      </w:r>
    </w:p>
    <w:p>
      <w:pPr>
        <w:spacing w:after="0" w:line="6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tabs>
          <w:tab w:leader="none" w:pos="7780" w:val="left"/>
        </w:tabs>
        <w:rPr>
          <w:sz w:val="20"/>
          <w:szCs w:val="20"/>
          <w:color w:val="auto"/>
        </w:rPr>
      </w:pPr>
      <w:r>
        <w:rPr>
          <w:rFonts w:ascii="Times New Roman" w:cs="Times New Roman" w:eastAsia="Times New Roman" w:hAnsi="Times New Roman"/>
          <w:sz w:val="18"/>
          <w:szCs w:val="18"/>
          <w:color w:val="auto"/>
        </w:rPr>
        <w:t>Date: November 9, 2015</w:t>
      </w:r>
      <w:r>
        <w:rPr>
          <w:sz w:val="20"/>
          <w:szCs w:val="20"/>
          <w:color w:val="auto"/>
        </w:rPr>
        <w:tab/>
      </w:r>
      <w:r>
        <w:rPr>
          <w:rFonts w:ascii="Times New Roman" w:cs="Times New Roman" w:eastAsia="Times New Roman" w:hAnsi="Times New Roman"/>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Mark S. Ashby</w:t>
      </w:r>
    </w:p>
    <w:p>
      <w:pPr>
        <w:spacing w:after="0" w:line="2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
      <w:numFmt w:val="bullet"/>
      <w:start w:val="1"/>
    </w:lvl>
    <w:lvl w:ilvl="1">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lvl w:ilvl="1">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lvl w:ilvl="1">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lvl w:ilvl="1">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2020-01-25T05:44:40Z</dcterms:created>
  <dcterms:modified xsi:type="dcterms:W3CDTF">2020-01-25T05:44:40Z</dcterms:modified>
</cp:coreProperties>
</file>