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31, 2019 (July 31,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Symbol(s)</w:t>
            </w: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373"/>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4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90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July 31, 2019, EZCORP, Inc. issued a press release announcing its results of operations and financial condition for the quarter ended June 30, 2019. A copy of that press release is attached as Exhibit 99.1.</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financial information prepared in conformity with generally accepted accounting principles in the United States of America ("GAAP"), we provide certain other non-GAAP financial information on a constant currency basis ("constant currency") and adjusted basis.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believe that presentation of adjusted results, including adjustments for non-cash interest income and expenses, discrete equity method investment charges, start up and acquisition related costs, reserves related to a refiner, tax effects, and other, are meaningful and useful in understanding the activities and business metrics of our operations exclusive of certain non-core operating variances and other infrequent charges.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provide non-GAAP financial information for informational purposes and to enhance understanding of our GAAP consolidated financial statements.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third quarter 2019 earnings conference call (to be held on August 1, 2019)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6"/>
          <w:szCs w:val="16"/>
          <w:u w:val="single" w:color="auto"/>
          <w:color w:val="0000FF"/>
        </w:rPr>
        <w:t>Press Release, dated July 31, 2019, announcing EZCORP, Inc.’s results of operations and financial condition for the quarter ended June</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u w:val="single" w:color="auto"/>
          <w:color w:val="0000FF"/>
        </w:rPr>
        <w:t>30, 2019.</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McGuire</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Deputy Chief Financial Officer and Chief Accounting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00"/>
          </w:cols>
          <w:pgMar w:left="240" w:top="742" w:right="259" w:bottom="1440" w:gutter="0" w:footer="0" w:header="0"/>
        </w:sectPr>
      </w:pPr>
    </w:p>
    <w:bookmarkStart w:id="2" w:name="page3"/>
    <w:bookmarkEnd w:id="2"/>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EZCORP Reports Third Quarter Fiscal Year 2019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Austin, Texas (July 31, 2019) — </w:t>
      </w:r>
      <w:r>
        <w:rPr>
          <w:rFonts w:ascii="Arial" w:cs="Arial" w:eastAsia="Arial" w:hAnsi="Arial"/>
          <w:sz w:val="18"/>
          <w:szCs w:val="18"/>
          <w:color w:val="auto"/>
        </w:rPr>
        <w:t>EZCORP, Inc. (NASDAQ: EZPW) today announced results for its third quarter ended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All amounts in this release are from EZCORP continuing operations and in conformity with U.S. generally accepted accounting principles ("GAAP") unless otherwise noted.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Comparisons shown in this release are to the same period in the prior year unless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THIRD QUARTER OF FISCAL 2019</w:t>
      </w:r>
    </w:p>
    <w:p>
      <w:pPr>
        <w:spacing w:after="0" w:line="175" w:lineRule="exact"/>
        <w:rPr>
          <w:sz w:val="20"/>
          <w:szCs w:val="20"/>
          <w:color w:val="auto"/>
        </w:rPr>
      </w:pPr>
    </w:p>
    <w:p>
      <w:pPr>
        <w:ind w:left="660" w:right="100" w:hanging="328"/>
        <w:spacing w:after="0" w:line="27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revenues for the quarter were up 1% to $202.5 million. Included in the GAAP results is a discrete $6.1 million adjustment in Latin America to correct the calculation of certain transaction tax liabilities in prior periods ($4.6 million of which reduced merchandise sales and $1.5 million of which increased interest expense). Adjusted</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total revenues increased 4% to $206.9 million, driven by continued growth in key pawn operating metrics including pawn loans outstanding (PLO), pawn service charges (PSC) and merchandise sales, across U.S. and Latin America.</w:t>
      </w:r>
    </w:p>
    <w:p>
      <w:pPr>
        <w:spacing w:after="0" w:line="114" w:lineRule="exact"/>
        <w:rPr>
          <w:rFonts w:ascii="Arial" w:cs="Arial" w:eastAsia="Arial" w:hAnsi="Arial"/>
          <w:sz w:val="16"/>
          <w:szCs w:val="16"/>
          <w:color w:val="auto"/>
        </w:rPr>
      </w:pPr>
    </w:p>
    <w:p>
      <w:pPr>
        <w:ind w:left="660" w:right="100" w:hanging="328"/>
        <w:spacing w:after="0" w:line="23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before tax was $3.5 million, down 78%, and diluted earnings per share were $0.06, down 76%. These year-over-year comparisons were impacted primarily by a favorable litigation settlement in the prior-year quarter, the inclusion in the current quarter of costs related to certain growth investments, and other discrete items. Excluding those items and adjusting for constant currency</w:t>
      </w:r>
      <w:r>
        <w:rPr>
          <w:rFonts w:ascii="Arial" w:cs="Arial" w:eastAsia="Arial" w:hAnsi="Arial"/>
          <w:sz w:val="25"/>
          <w:szCs w:val="25"/>
          <w:color w:val="auto"/>
          <w:vertAlign w:val="superscript"/>
        </w:rPr>
        <w:t>2</w:t>
      </w:r>
      <w:r>
        <w:rPr>
          <w:rFonts w:ascii="Arial" w:cs="Arial" w:eastAsia="Arial" w:hAnsi="Arial"/>
          <w:sz w:val="18"/>
          <w:szCs w:val="18"/>
          <w:color w:val="auto"/>
        </w:rPr>
        <w:t>, adjusted income before tax was $15.0 million, up 16%, and adjusted diluted earnings per share were $0.18, up 13%.</w:t>
      </w:r>
    </w:p>
    <w:p>
      <w:pPr>
        <w:spacing w:after="0" w:line="148"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Cash and cash equivalents ended the current quarter at $138.9 million, after the retirement of $195.0 million of convertible notes in June 2019 using cash on hand and continued investment in growth initiatives. During the quarter, the company completed the acquisition of seven pawn stores in Nevada for $7.0 million and collected another $7.3 million of principal under the Alpha Credit / Grupo Finmart notes.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Chief Executive Officer Stuart Grimshaw commented, "Current quarter activities delivered solid operating results highlighted by ongoing momentum across all geographies. Steady growth in PLO and slightly improving yields, reflecting the health of the loan balance, drove strong growth in our primary net revenue component, PSC. On an adjusted basis, EBITDA and EPS growth accelerated as a result of rising operating leverage during the quarter.</w:t>
      </w:r>
    </w:p>
    <w:p>
      <w:pPr>
        <w:spacing w:after="0" w:line="111"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“We remain focused on longer-term strategic initiatives centered on best serving our customers’ need for cash, expanding our footprint both here in the U.S. and across Latin America via de novo store growth and capitalizing on higher-return M&amp;A opportunities, and proactively investing in differentiated digital engagement and data analytics programs. We are doing this while maintaining financial flexibility to fund growth to enhance long-term shareholder value.</w:t>
      </w:r>
    </w:p>
    <w:p>
      <w:pPr>
        <w:ind w:right="640"/>
        <w:spacing w:after="0" w:line="261" w:lineRule="auto"/>
        <w:rPr>
          <w:sz w:val="20"/>
          <w:szCs w:val="20"/>
          <w:color w:val="auto"/>
        </w:rPr>
      </w:pPr>
      <w:r>
        <w:rPr>
          <w:rFonts w:ascii="Arial" w:cs="Arial" w:eastAsia="Arial" w:hAnsi="Arial"/>
          <w:sz w:val="18"/>
          <w:szCs w:val="18"/>
          <w:color w:val="auto"/>
        </w:rPr>
        <w:t>Focusing on efficient and effective capital deployment, we recently acquired seven pawn stores expanding our presence in Nevada, opened four Latin America de novo stores in the quarter and retired a material tranche of convertible debt with cash on hand.”</w:t>
      </w:r>
    </w:p>
    <w:p>
      <w:pPr>
        <w:sectPr>
          <w:pgSz w:w="11900" w:h="16838" w:orient="portrait"/>
          <w:cols w:equalWidth="0" w:num="1">
            <w:col w:w="11420"/>
          </w:cols>
          <w:pgMar w:left="240" w:top="144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8"/>
        </w:trPr>
        <w:tc>
          <w:tcPr>
            <w:tcW w:w="6180" w:type="dxa"/>
            <w:vAlign w:val="bottom"/>
          </w:tcPr>
          <w:p>
            <w:pPr>
              <w:spacing w:after="0"/>
              <w:rPr>
                <w:sz w:val="20"/>
                <w:szCs w:val="20"/>
                <w:color w:val="auto"/>
              </w:rPr>
            </w:pPr>
            <w:r>
              <w:rPr>
                <w:rFonts w:ascii="Arial" w:cs="Arial" w:eastAsia="Arial" w:hAnsi="Arial"/>
                <w:sz w:val="18"/>
                <w:szCs w:val="18"/>
                <w:b w:val="1"/>
                <w:bCs w:val="1"/>
                <w:color w:val="auto"/>
              </w:rPr>
              <w:t>Three Months Ended June 30</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05"/>
        </w:trPr>
        <w:tc>
          <w:tcPr>
            <w:tcW w:w="6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1</w:t>
            </w:r>
          </w:p>
        </w:tc>
        <w:tc>
          <w:tcPr>
            <w:tcW w:w="780" w:type="dxa"/>
            <w:vAlign w:val="bottom"/>
          </w:tcPr>
          <w:p>
            <w:pPr>
              <w:spacing w:after="0"/>
              <w:rPr>
                <w:sz w:val="24"/>
                <w:szCs w:val="24"/>
                <w:color w:val="auto"/>
              </w:rPr>
            </w:pPr>
          </w:p>
        </w:tc>
      </w:tr>
      <w:tr>
        <w:trPr>
          <w:trHeight w:val="237"/>
        </w:trPr>
        <w:tc>
          <w:tcPr>
            <w:tcW w:w="6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6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58"/>
        </w:trPr>
        <w:tc>
          <w:tcPr>
            <w:tcW w:w="61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202,465</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199,612</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206,917</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199,612</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115,853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114,742</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120,382</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114,742</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3,459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15,506</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14,979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12,924</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14,004</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10,094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9,512</w:t>
            </w:r>
          </w:p>
        </w:tc>
      </w:tr>
      <w:tr>
        <w:trPr>
          <w:trHeight w:val="270"/>
        </w:trPr>
        <w:tc>
          <w:tcPr>
            <w:tcW w:w="6180" w:type="dxa"/>
            <w:vAlign w:val="bottom"/>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4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0.16</w:t>
            </w:r>
          </w:p>
        </w:tc>
      </w:tr>
      <w:tr>
        <w:trPr>
          <w:trHeight w:val="368"/>
        </w:trPr>
        <w:tc>
          <w:tcPr>
            <w:tcW w:w="61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17,373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24,666</w:t>
            </w:r>
          </w:p>
        </w:tc>
        <w:tc>
          <w:tcPr>
            <w:tcW w:w="4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23,334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19,588</w:t>
            </w:r>
          </w:p>
        </w:tc>
      </w:tr>
    </w:tbl>
    <w:p>
      <w:pPr>
        <w:spacing w:after="0" w:line="76" w:lineRule="exact"/>
        <w:rPr>
          <w:sz w:val="20"/>
          <w:szCs w:val="20"/>
          <w:color w:val="auto"/>
        </w:rPr>
      </w:pPr>
    </w:p>
    <w:p>
      <w:pPr>
        <w:ind w:left="660" w:right="320" w:hanging="328"/>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revenues were up 1% to $115.9 million on both a GAAP and constant currency basis. Adjusted net revenues increased 5% to $120.4 million. PLO growth of 4% (based on ending balance) and 7% (based on average balances), combined with a slight improvement in yields drove a</w:t>
      </w:r>
    </w:p>
    <w:p>
      <w:pPr>
        <w:ind w:left="660" w:right="220"/>
        <w:spacing w:after="0" w:line="255" w:lineRule="auto"/>
        <w:rPr>
          <w:rFonts w:ascii="Arial" w:cs="Arial" w:eastAsia="Arial" w:hAnsi="Arial"/>
          <w:sz w:val="16"/>
          <w:szCs w:val="16"/>
          <w:color w:val="auto"/>
        </w:rPr>
      </w:pPr>
      <w:r>
        <w:rPr>
          <w:rFonts w:ascii="Arial" w:cs="Arial" w:eastAsia="Arial" w:hAnsi="Arial"/>
          <w:sz w:val="18"/>
          <w:szCs w:val="18"/>
          <w:color w:val="auto"/>
        </w:rPr>
        <w:t>9% increase in PSC to $79.0 million. Consolidated merchandise sales gross profit declined 11% to $33.6 million on a 1% decrease in merchandise sales. Adjusted sales gross profit improved 1% to $38.1 million and sales margins decreased 90 basis points to 35.2%, reflecting the effective liquidation of aged general merchandise in U.S. Pawn from 7% to 6% in the current quarter.</w:t>
      </w:r>
    </w:p>
    <w:p>
      <w:pPr>
        <w:spacing w:after="0" w:line="136" w:lineRule="exact"/>
        <w:rPr>
          <w:rFonts w:ascii="Arial" w:cs="Arial" w:eastAsia="Arial" w:hAnsi="Arial"/>
          <w:sz w:val="16"/>
          <w:szCs w:val="16"/>
          <w:color w:val="auto"/>
        </w:rPr>
      </w:pPr>
    </w:p>
    <w:p>
      <w:pPr>
        <w:ind w:left="660" w:right="120" w:hanging="247"/>
        <w:spacing w:after="0" w:line="302" w:lineRule="auto"/>
        <w:tabs>
          <w:tab w:leader="none" w:pos="660" w:val="left"/>
        </w:tabs>
        <w:numPr>
          <w:ilvl w:val="2"/>
          <w:numId w:val="4"/>
        </w:numPr>
        <w:rPr>
          <w:rFonts w:ascii="Arial" w:cs="Arial" w:eastAsia="Arial" w:hAnsi="Arial"/>
          <w:sz w:val="16"/>
          <w:szCs w:val="16"/>
          <w:color w:val="auto"/>
        </w:rPr>
      </w:pPr>
      <w:r>
        <w:rPr>
          <w:rFonts w:ascii="Arial" w:cs="Arial" w:eastAsia="Arial" w:hAnsi="Arial"/>
          <w:sz w:val="16"/>
          <w:szCs w:val="16"/>
          <w:color w:val="auto"/>
        </w:rPr>
        <w:t>Consolidated operations expenses rose 2% to $84.7 million on both a GAAP and constant currency basis. Total store count also increased 2%, consisting of a net 18 stores acquired or opened since the prior year quarter (19 new and acquired stores in Latin America and seven acquired stores in the U.S., net of eight store closures in Canada and the U.S.). Same store operations expense increased 1% primarily due to labor and benefit cost increases, including reduced vacancies and increased staffing for expanded stores, an increase in robbery losses in Mexico, and other smaller items.</w:t>
      </w:r>
    </w:p>
    <w:p>
      <w:pPr>
        <w:spacing w:after="0" w:line="100" w:lineRule="exact"/>
        <w:rPr>
          <w:rFonts w:ascii="Arial" w:cs="Arial" w:eastAsia="Arial" w:hAnsi="Arial"/>
          <w:sz w:val="16"/>
          <w:szCs w:val="16"/>
          <w:color w:val="auto"/>
        </w:rPr>
      </w:pPr>
    </w:p>
    <w:p>
      <w:pPr>
        <w:ind w:left="660" w:right="120" w:hanging="247"/>
        <w:spacing w:after="0" w:line="264"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Administrative expense increased 13%, or $1.8 million to $15.1 million principally as a result of a $1.3 million strategic investment in the development of the Evergreen customer-centric digital platform. Another $2.9 million related to this project was capitalized in the quarter, based on the nature of the specific work performed.</w:t>
      </w:r>
    </w:p>
    <w:p>
      <w:pPr>
        <w:spacing w:after="0" w:line="127" w:lineRule="exact"/>
        <w:rPr>
          <w:rFonts w:ascii="Arial" w:cs="Arial" w:eastAsia="Arial" w:hAnsi="Arial"/>
          <w:sz w:val="18"/>
          <w:szCs w:val="18"/>
          <w:color w:val="auto"/>
        </w:rPr>
      </w:pPr>
    </w:p>
    <w:p>
      <w:pPr>
        <w:ind w:left="660" w:right="120" w:hanging="247"/>
        <w:spacing w:after="0" w:line="264" w:lineRule="auto"/>
        <w:tabs>
          <w:tab w:leader="none" w:pos="6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company’s global pawn businesses (consisting of U.S. Pawn and Latin America Pawn) generated consolidated segment contribution of $25.7 million, down 14% from the prior year quarter. On an adjusted basis, global pawn generated consolidated segment contribution of $31.7 million, up 6%.</w:t>
      </w:r>
    </w:p>
    <w:p>
      <w:pPr>
        <w:spacing w:after="0" w:line="19" w:lineRule="exact"/>
        <w:rPr>
          <w:rFonts w:ascii="Arial" w:cs="Arial" w:eastAsia="Arial" w:hAnsi="Arial"/>
          <w:sz w:val="18"/>
          <w:szCs w:val="18"/>
          <w:color w:val="auto"/>
        </w:rPr>
      </w:pPr>
    </w:p>
    <w:p>
      <w:pPr>
        <w:ind w:left="660" w:hanging="26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Contribution from the Other International segment improved $1.2 million to $0.9 million.</w:t>
      </w:r>
    </w:p>
    <w:p>
      <w:pPr>
        <w:spacing w:after="0" w:line="211" w:lineRule="exact"/>
        <w:rPr>
          <w:rFonts w:ascii="Arial" w:cs="Arial" w:eastAsia="Arial" w:hAnsi="Arial"/>
          <w:sz w:val="18"/>
          <w:szCs w:val="18"/>
          <w:color w:val="auto"/>
        </w:rPr>
      </w:pPr>
    </w:p>
    <w:p>
      <w:pPr>
        <w:ind w:left="660" w:right="240" w:hanging="260"/>
        <w:spacing w:after="0" w:line="31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interest expense increased $3.6 million. Excluding the $1.5 million of interest related to the transaction tax adjustment, net interest expense increased $2.1 million driven by additional debt issued in May 2018 and lower interest income on the declining balance of notes receivable from Alpha Credit as principal collections are received monthly, offset by the June 2019 repayment of our $195.0 million cash convertible senior notes.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640" w:hanging="328"/>
        <w:spacing w:after="0" w:line="27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color w:val="auto"/>
        </w:rPr>
        <w:t>Same store PSC rose 6%, with ending PLO per store of $289,000, up 3% on a year-over-year basis. The growth reflected disciplined lending practices and a focus on meeting customers' need for cash.</w:t>
      </w:r>
    </w:p>
    <w:p>
      <w:pPr>
        <w:spacing w:after="0" w:line="116" w:lineRule="exact"/>
        <w:rPr>
          <w:rFonts w:ascii="Arial" w:cs="Arial" w:eastAsia="Arial" w:hAnsi="Arial"/>
          <w:sz w:val="18"/>
          <w:szCs w:val="18"/>
          <w:b w:val="1"/>
          <w:bCs w:val="1"/>
          <w:i w:val="1"/>
          <w:iCs w:val="1"/>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margins remained strong at 37%. The 60 basis point margin reduction from the prior-year quarter reflects effective liquidation of aged general merchandise inventory, reduced during the quarter from 7% to 6%. Jewelry scrapping net revenues decreased $0.2 million on $3.9 million lower scrap proceeds, reflecting lower current market prices for scrap diamonds and an effort to sell more jewelry in store rather than to refiners at lower margins. Scrap margins improved 250 basis points to 16%.</w:t>
      </w:r>
    </w:p>
    <w:p>
      <w:pPr>
        <w:sectPr>
          <w:pgSz w:w="11900" w:h="16838" w:orient="portrait"/>
          <w:cols w:equalWidth="0" w:num="1">
            <w:col w:w="11420"/>
          </w:cols>
          <w:pgMar w:left="240" w:top="742" w:right="239" w:bottom="1440" w:gutter="0" w:footer="0" w:header="0"/>
        </w:sectPr>
      </w:pPr>
    </w:p>
    <w:bookmarkStart w:id="4" w:name="page5"/>
    <w:bookmarkEnd w:id="4"/>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Pawn's net revenues rose 3% to $92.0 million, with flat combined operating expenses and depreciation, resulting in an 11% increase in segment contribution to $23.6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4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declined 3% to $23.2 million ($23.3 million on a constant currency basis). Adjusted net revenues increased 16% to $27.7 million reflecting growth in new, acquired and same stores.</w:t>
      </w:r>
    </w:p>
    <w:p>
      <w:pPr>
        <w:spacing w:after="0" w:line="116"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PSC rose 20% to $20.3 million on both a GAAP and a constant currency basis, reflecting an 18% increase in average PLO for the quarter. Ending PLO grew 6% to $41.7 million (up 4% to $41.0 million on a constant currency basis), with ending PLO per store of $89,000, up 2%.</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sales decreased 4%, or $0.8 million (4% or $1.0 million constant currency). On an adjusted basis, merchandise sales increased 17%, or $3.6 million and gross margin on merchandise sales declined 100 basis points to 29%.</w:t>
      </w:r>
    </w:p>
    <w:p>
      <w:pPr>
        <w:spacing w:after="0" w:line="116"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Operations expense increased 22% to $18.3 million, including stores acquired or opened since the prior-year quarter and stores expanded or relocated, for which the revenue improvement is expected to lag the incremental costs. Same store operations expense increased 12%, primarily as a result of store licensing requirements recently enacted in Mexico, an increase in robbery losses and related security costs, and labor costs that increased at a rate slightly lower than the total revenue growth.</w:t>
      </w:r>
    </w:p>
    <w:p>
      <w:pPr>
        <w:spacing w:after="0" w:line="132"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added four de novo stores in the quarter. New stores drive attractive long-term profit enhancement but create a short-term drag on earnings as they ramp. Acquired stores are generally less efficient than our same stores until fully integrated, but typically are accretive in their first full quarter of ownership.</w:t>
      </w:r>
    </w:p>
    <w:p>
      <w:pPr>
        <w:spacing w:after="0" w:line="127" w:lineRule="exact"/>
        <w:rPr>
          <w:rFonts w:ascii="Arial" w:cs="Arial" w:eastAsia="Arial" w:hAnsi="Arial"/>
          <w:sz w:val="18"/>
          <w:szCs w:val="18"/>
          <w:color w:val="auto"/>
        </w:rPr>
      </w:pPr>
    </w:p>
    <w:p>
      <w:pPr>
        <w:ind w:left="660" w:right="3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contribution decreased 76% to $2.1 million (72% on a constant currency basis). Adjusted segment contribution decreased 4% to $8.0 million as a result of new and acquired stores, recently expanded and relocated stores, and the operations expense increase previously described combined with administrative costs to support the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EZCORP will host a conference call on Thursday, August 1, 2019, at 7:30am Central Time to discuss first quarter results. Analysts and institutional investors may participate on the conference call by dialing (877) 201-0168, Conference ID: 3967714, or internationally by dialing (647) 788-4901.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0000FF"/>
        </w:rPr>
        <w:t xml:space="preserve"> </w:t>
      </w:r>
      <w:r>
        <w:rPr>
          <w:rFonts w:ascii="Arial" w:cs="Arial" w:eastAsia="Arial" w:hAnsi="Arial"/>
          <w:sz w:val="18"/>
          <w:szCs w:val="18"/>
          <w:color w:val="000000"/>
        </w:rPr>
        <w:t>shortly after the end of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ectPr>
          <w:pgSz w:w="11900" w:h="16838" w:orient="portrait"/>
          <w:cols w:equalWidth="0" w:num="1">
            <w:col w:w="11360"/>
          </w:cols>
          <w:pgMar w:left="240" w:top="746"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Actual results for future periods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33" w:lineRule="exact"/>
        <w:rPr>
          <w:sz w:val="20"/>
          <w:szCs w:val="20"/>
          <w:color w:val="auto"/>
        </w:rPr>
      </w:pPr>
    </w:p>
    <w:p>
      <w:pPr>
        <w:ind w:right="320"/>
        <w:spacing w:after="0" w:line="250"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Adjusted basis, which is a non-GAAP measure, excludes certain items. For additional information about these calculations, as well as a reconciliation to the most comparable GAAP financial</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measures, see “Non-GAAP Financial Information” at the end of this release.</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“Constant currency” basis, which is a non-GAAP measure, excludes the impact of foreign currency exchange rate fluctuations. For additional information about these calculations, as well as a</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reconciliation to the most comparable GAAP financial measures, see “Non-GAAP Financial Information” at the end of this release.</w:t>
      </w:r>
    </w:p>
    <w:p>
      <w:pPr>
        <w:sectPr>
          <w:pgSz w:w="11900" w:h="16838" w:orient="portrait"/>
          <w:cols w:equalWidth="0" w:num="1">
            <w:col w:w="11400"/>
          </w:cols>
          <w:pgMar w:left="240" w:top="742" w:right="2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24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w w:val="95"/>
              </w:rPr>
              <w:t>Nine Months Ended June 30,</w:t>
            </w:r>
          </w:p>
        </w:tc>
      </w:tr>
      <w:tr>
        <w:trPr>
          <w:trHeight w:val="264"/>
        </w:trPr>
        <w:tc>
          <w:tcPr>
            <w:tcW w:w="60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379"/>
        </w:trPr>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49"/>
        </w:trPr>
        <w:tc>
          <w:tcPr>
            <w:tcW w:w="6020" w:type="dxa"/>
            <w:vAlign w:val="bottom"/>
          </w:tcPr>
          <w:p>
            <w:pPr>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103,902</w:t>
            </w:r>
          </w:p>
        </w:tc>
        <w:tc>
          <w:tcPr>
            <w:tcW w:w="12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104,737</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346,186</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333,270</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18,212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20,428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37,873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44,166</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78,980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72,544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244,298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222,597</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4,533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6,147</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202,465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199,612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632,890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606,180</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70,271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66,896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225,183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210,283</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15,765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17,625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32,648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37,536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Other cost of revenues</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115,853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114,742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373,592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357,088</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84,727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82,932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261,756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248,758</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15,053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13,268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46,795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39,688</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7,254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6,124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21,114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18,298</w:t>
            </w:r>
          </w:p>
        </w:tc>
      </w:tr>
      <w:tr>
        <w:trPr>
          <w:trHeight w:val="270"/>
        </w:trPr>
        <w:tc>
          <w:tcPr>
            <w:tcW w:w="6020" w:type="dxa"/>
            <w:vAlign w:val="bottom"/>
          </w:tcPr>
          <w:p>
            <w:pPr>
              <w:ind w:left="240"/>
              <w:spacing w:after="0"/>
              <w:rPr>
                <w:sz w:val="20"/>
                <w:szCs w:val="20"/>
                <w:color w:val="auto"/>
              </w:rPr>
            </w:pPr>
            <w:r>
              <w:rPr>
                <w:rFonts w:ascii="Arial" w:cs="Arial" w:eastAsia="Arial" w:hAnsi="Arial"/>
                <w:sz w:val="16"/>
                <w:szCs w:val="16"/>
                <w:color w:val="auto"/>
              </w:rPr>
              <w:t>Loss on sale or disposal of assets and other</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3,643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453</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107,058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102,638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333,308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307,197</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ind w:left="68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8,795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40,284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49,891</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9,832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7,394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27,212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19,070</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(12,896)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Equity in net income of unconsolidated affiliates</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(5,473)</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3,459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15,506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52,667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14,710</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Income from continuing operations, net of tax</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3,361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14,004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37,957</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(Loss) income from discontinued operations, net of tax</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3,158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14,095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1,956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37,326</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(1,348)</w:t>
            </w:r>
          </w:p>
        </w:tc>
      </w:tr>
      <w:tr>
        <w:trPr>
          <w:trHeight w:val="33"/>
        </w:trPr>
        <w:tc>
          <w:tcPr>
            <w:tcW w:w="6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20" w:type="dxa"/>
            <w:vAlign w:val="bottom"/>
          </w:tcPr>
          <w:p>
            <w:pPr>
              <w:spacing w:after="0"/>
              <w:rPr>
                <w:sz w:val="20"/>
                <w:szCs w:val="20"/>
                <w:color w:val="auto"/>
              </w:rPr>
            </w:pPr>
            <w:r>
              <w:rPr>
                <w:rFonts w:ascii="Arial" w:cs="Arial" w:eastAsia="Arial" w:hAnsi="Arial"/>
                <w:sz w:val="16"/>
                <w:szCs w:val="16"/>
                <w:color w:val="auto"/>
              </w:rPr>
              <w:t>Net income attributable to EZCORP, Inc.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14,454</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38,674</w:t>
            </w:r>
          </w:p>
        </w:tc>
      </w:tr>
      <w:tr>
        <w:trPr>
          <w:trHeight w:val="20"/>
        </w:trPr>
        <w:tc>
          <w:tcPr>
            <w:tcW w:w="6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94"/>
        </w:trPr>
        <w:tc>
          <w:tcPr>
            <w:tcW w:w="6020" w:type="dxa"/>
            <w:vAlign w:val="bottom"/>
          </w:tcPr>
          <w:p>
            <w:pPr>
              <w:spacing w:after="0"/>
              <w:rPr>
                <w:sz w:val="20"/>
                <w:szCs w:val="20"/>
                <w:color w:val="auto"/>
              </w:rPr>
            </w:pPr>
            <w:r>
              <w:rPr>
                <w:rFonts w:ascii="Arial" w:cs="Arial" w:eastAsia="Arial" w:hAnsi="Arial"/>
                <w:sz w:val="16"/>
                <w:szCs w:val="16"/>
                <w:color w:val="auto"/>
              </w:rPr>
              <w:t>Basic earnings per share attributable to EZCORP, Inc. —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0.72</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Diluted earnings per share attributable to EZCORP, Inc. — 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23"/>
                <w:szCs w:val="23"/>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0.69</w:t>
            </w:r>
          </w:p>
        </w:tc>
      </w:tr>
      <w:tr>
        <w:trPr>
          <w:trHeight w:val="540"/>
        </w:trPr>
        <w:tc>
          <w:tcPr>
            <w:tcW w:w="602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26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55,445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54,464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55,306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54,453</w:t>
            </w:r>
          </w:p>
        </w:tc>
      </w:tr>
      <w:tr>
        <w:trPr>
          <w:trHeight w:val="270"/>
        </w:trPr>
        <w:tc>
          <w:tcPr>
            <w:tcW w:w="602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26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55,487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57,954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55,327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57,080</w:t>
            </w:r>
          </w:p>
        </w:tc>
      </w:tr>
    </w:tbl>
    <w:p>
      <w:pPr>
        <w:sectPr>
          <w:pgSz w:w="11900" w:h="16838" w:orient="portrait"/>
          <w:cols w:equalWidth="0" w:num="1">
            <w:col w:w="11380"/>
          </w:cols>
          <w:pgMar w:left="280" w:top="990" w:right="2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w:t>
            </w:r>
          </w:p>
        </w:tc>
        <w:tc>
          <w:tcPr>
            <w:tcW w:w="30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3"/>
                <w:szCs w:val="13"/>
                <w:color w:val="auto"/>
              </w:rPr>
            </w:pPr>
          </w:p>
        </w:tc>
        <w:tc>
          <w:tcPr>
            <w:tcW w:w="100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76"/>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4"/>
                <w:szCs w:val="14"/>
                <w:color w:val="auto"/>
              </w:rPr>
              <w:t>Assets: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138,922</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284,493</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285,311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190,299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183,054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198,463</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29,847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26,439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30,959</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175,802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151,145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166,997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16,166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37,906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34,199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37,365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43,708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33,456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588,401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726,745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749,385</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Investments in unconsolidated affiliates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30,922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61,056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49,500</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66,214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71,587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73,649</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300,700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294,335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299,248</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63,646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59,678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54,923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10,912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13,432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3,956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6,146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3,575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1,069,223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1,236,554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1,241,780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195,796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190,181</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59,981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61,595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57,958</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12,750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11,938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11,824</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72,946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269,329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259,963</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235,449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222,897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226,702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7,522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4,285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8,817</w:t>
            </w:r>
          </w:p>
        </w:tc>
        <w:tc>
          <w:tcPr>
            <w:tcW w:w="0" w:type="dxa"/>
            <w:vAlign w:val="bottom"/>
          </w:tcPr>
          <w:p>
            <w:pPr>
              <w:spacing w:after="0"/>
              <w:rPr>
                <w:sz w:val="1"/>
                <w:szCs w:val="1"/>
                <w:color w:val="auto"/>
              </w:rPr>
            </w:pPr>
          </w:p>
        </w:tc>
      </w:tr>
      <w:tr>
        <w:trPr>
          <w:trHeight w:val="276"/>
        </w:trPr>
        <w:tc>
          <w:tcPr>
            <w:tcW w:w="774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5,990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6,890</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321,907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503,969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502,372</w:t>
            </w: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Commitments and contingencies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4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9"/>
              </w:rPr>
              <w:t>Class A Non-voting Common Stock, par value $.01 per share; shares authorized: 100 million;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52,475,070 as of June 30, 2019; 51,494,246 as of June 30, 2018; and 51,614,746 as of September 30, 2018</w:t>
            </w:r>
          </w:p>
        </w:tc>
        <w:tc>
          <w:tcPr>
            <w:tcW w:w="2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69"/>
        </w:trPr>
        <w:tc>
          <w:tcPr>
            <w:tcW w:w="7740" w:type="dxa"/>
            <w:vAlign w:val="bottom"/>
          </w:tcPr>
          <w:p>
            <w:pPr>
              <w:ind w:left="460"/>
              <w:spacing w:after="0"/>
              <w:rPr>
                <w:sz w:val="20"/>
                <w:szCs w:val="20"/>
                <w:color w:val="auto"/>
              </w:rPr>
            </w:pPr>
            <w:r>
              <w:rPr>
                <w:rFonts w:ascii="Arial" w:cs="Arial" w:eastAsia="Arial" w:hAnsi="Arial"/>
                <w:sz w:val="14"/>
                <w:szCs w:val="14"/>
                <w:color w:val="auto"/>
                <w:w w:val="95"/>
              </w:rPr>
              <w:t>Class B Voting Common Stock, convertible, par value $.01 per share; shares authorized: 3 million; issued and outstanding:</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40" w:type="dxa"/>
            <w:vAlign w:val="bottom"/>
          </w:tcPr>
          <w:p>
            <w:pPr>
              <w:ind w:left="460"/>
              <w:spacing w:after="0"/>
              <w:rPr>
                <w:sz w:val="20"/>
                <w:szCs w:val="20"/>
                <w:color w:val="auto"/>
              </w:rPr>
            </w:pPr>
            <w:r>
              <w:rPr>
                <w:rFonts w:ascii="Arial" w:cs="Arial" w:eastAsia="Arial" w:hAnsi="Arial"/>
                <w:sz w:val="14"/>
                <w:szCs w:val="14"/>
                <w:color w:val="auto"/>
              </w:rPr>
              <w:t>2,970,171</w:t>
            </w:r>
          </w:p>
        </w:tc>
        <w:tc>
          <w:tcPr>
            <w:tcW w:w="2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404,880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395,428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397,927</w:t>
            </w:r>
          </w:p>
        </w:tc>
        <w:tc>
          <w:tcPr>
            <w:tcW w:w="0" w:type="dxa"/>
            <w:vAlign w:val="bottom"/>
          </w:tcPr>
          <w:p>
            <w:pPr>
              <w:spacing w:after="0"/>
              <w:rPr>
                <w:sz w:val="1"/>
                <w:szCs w:val="1"/>
                <w:color w:val="auto"/>
              </w:rPr>
            </w:pPr>
          </w:p>
        </w:tc>
      </w:tr>
      <w:tr>
        <w:trPr>
          <w:trHeight w:val="270"/>
        </w:trPr>
        <w:tc>
          <w:tcPr>
            <w:tcW w:w="774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23"/>
                <w:szCs w:val="23"/>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389,808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388,014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386,622</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(47,926)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(47,712)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(42,356)</w:t>
            </w:r>
          </w:p>
        </w:tc>
        <w:tc>
          <w:tcPr>
            <w:tcW w:w="0" w:type="dxa"/>
            <w:vAlign w:val="bottom"/>
          </w:tcPr>
          <w:p>
            <w:pPr>
              <w:spacing w:after="0"/>
              <w:rPr>
                <w:sz w:val="1"/>
                <w:szCs w:val="1"/>
                <w:color w:val="auto"/>
              </w:rPr>
            </w:pPr>
          </w:p>
        </w:tc>
      </w:tr>
      <w:tr>
        <w:trPr>
          <w:trHeight w:val="244"/>
        </w:trPr>
        <w:tc>
          <w:tcPr>
            <w:tcW w:w="7740" w:type="dxa"/>
            <w:vAlign w:val="bottom"/>
          </w:tcPr>
          <w:p>
            <w:pPr>
              <w:ind w:left="680"/>
              <w:spacing w:after="0"/>
              <w:rPr>
                <w:sz w:val="20"/>
                <w:szCs w:val="20"/>
                <w:color w:val="auto"/>
              </w:rPr>
            </w:pPr>
            <w:r>
              <w:rPr>
                <w:rFonts w:ascii="Arial" w:cs="Arial" w:eastAsia="Arial" w:hAnsi="Arial"/>
                <w:sz w:val="14"/>
                <w:szCs w:val="14"/>
                <w:color w:val="auto"/>
              </w:rPr>
              <w:t>EZCORP, Inc. stockholders’ equity</w:t>
            </w:r>
          </w:p>
        </w:tc>
        <w:tc>
          <w:tcPr>
            <w:tcW w:w="220" w:type="dxa"/>
            <w:vAlign w:val="bottom"/>
          </w:tcPr>
          <w:p>
            <w:pPr>
              <w:spacing w:after="0"/>
              <w:rPr>
                <w:sz w:val="21"/>
                <w:szCs w:val="21"/>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747,316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736,275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742,739</w:t>
            </w:r>
          </w:p>
        </w:tc>
        <w:tc>
          <w:tcPr>
            <w:tcW w:w="0" w:type="dxa"/>
            <w:vAlign w:val="bottom"/>
          </w:tcPr>
          <w:p>
            <w:pPr>
              <w:spacing w:after="0"/>
              <w:rPr>
                <w:sz w:val="1"/>
                <w:szCs w:val="1"/>
                <w:color w:val="auto"/>
              </w:rPr>
            </w:pPr>
          </w:p>
        </w:tc>
      </w:tr>
      <w:tr>
        <w:trPr>
          <w:trHeight w:val="276"/>
        </w:trPr>
        <w:tc>
          <w:tcPr>
            <w:tcW w:w="7740" w:type="dxa"/>
            <w:vAlign w:val="bottom"/>
          </w:tcPr>
          <w:p>
            <w:pPr>
              <w:ind w:left="460"/>
              <w:spacing w:after="0"/>
              <w:rPr>
                <w:sz w:val="20"/>
                <w:szCs w:val="20"/>
                <w:color w:val="auto"/>
              </w:rPr>
            </w:pPr>
            <w:r>
              <w:rPr>
                <w:rFonts w:ascii="Arial" w:cs="Arial" w:eastAsia="Arial" w:hAnsi="Arial"/>
                <w:sz w:val="14"/>
                <w:szCs w:val="14"/>
                <w:color w:val="auto"/>
              </w:rPr>
              <w:t>Noncontrolling interest</w:t>
            </w:r>
          </w:p>
        </w:tc>
        <w:tc>
          <w:tcPr>
            <w:tcW w:w="22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250"/>
        </w:trPr>
        <w:tc>
          <w:tcPr>
            <w:tcW w:w="774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747,316</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732,585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739,408</w:t>
            </w: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1,069,223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1,236,554</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1,241,780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77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center"/>
              <w:ind w:right="259"/>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264"/>
        </w:trPr>
        <w:tc>
          <w:tcPr>
            <w:tcW w:w="8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79"/>
        </w:trPr>
        <w:tc>
          <w:tcPr>
            <w:tcW w:w="8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5"/>
              </w:rPr>
              <w:t>(Unaudited)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2"/>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300" w:type="dxa"/>
            <w:vAlign w:val="bottom"/>
          </w:tcPr>
          <w:p>
            <w:pPr>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1,956</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37,326</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21,114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18,298</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16,613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12,126</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(7,222)</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5,003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Impairment of investment in unconsolidated affiliate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19,725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1,948</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Reserve on jewelry scrap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3,646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7,036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8,216</w:t>
            </w:r>
          </w:p>
        </w:tc>
        <w:tc>
          <w:tcPr>
            <w:tcW w:w="0" w:type="dxa"/>
            <w:vAlign w:val="bottom"/>
          </w:tcPr>
          <w:p>
            <w:pPr>
              <w:spacing w:after="0"/>
              <w:rPr>
                <w:sz w:val="1"/>
                <w:szCs w:val="1"/>
                <w:color w:val="auto"/>
              </w:rPr>
            </w:pPr>
          </w:p>
        </w:tc>
      </w:tr>
      <w:tr>
        <w:trPr>
          <w:trHeight w:val="270"/>
        </w:trPr>
        <w:tc>
          <w:tcPr>
            <w:tcW w:w="8300" w:type="dxa"/>
            <w:vAlign w:val="bottom"/>
          </w:tcPr>
          <w:p>
            <w:pPr>
              <w:ind w:left="680"/>
              <w:spacing w:after="0"/>
              <w:rPr>
                <w:sz w:val="20"/>
                <w:szCs w:val="20"/>
                <w:color w:val="auto"/>
              </w:rPr>
            </w:pPr>
            <w:r>
              <w:rPr>
                <w:rFonts w:ascii="Arial" w:cs="Arial" w:eastAsia="Arial" w:hAnsi="Arial"/>
                <w:sz w:val="16"/>
                <w:szCs w:val="16"/>
                <w:color w:val="auto"/>
              </w:rPr>
              <w:t>Income from investment in unconsolidated affiliates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(3,477)</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2,609</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(3,356)</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(4,624)</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270"/>
        </w:trPr>
        <w:tc>
          <w:tcPr>
            <w:tcW w:w="8300" w:type="dxa"/>
            <w:vAlign w:val="bottom"/>
          </w:tcPr>
          <w:p>
            <w:pPr>
              <w:ind w:left="460"/>
              <w:spacing w:after="0"/>
              <w:rPr>
                <w:sz w:val="20"/>
                <w:szCs w:val="20"/>
                <w:color w:val="auto"/>
              </w:rPr>
            </w:pPr>
            <w:r>
              <w:rPr>
                <w:rFonts w:ascii="Arial" w:cs="Arial" w:eastAsia="Arial" w:hAnsi="Arial"/>
                <w:sz w:val="16"/>
                <w:szCs w:val="16"/>
                <w:color w:val="auto"/>
              </w:rPr>
              <w:t>Income taxes, net of excess tax benefit from stock compensation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64,977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69,321</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(542,512)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(512,914)</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328,079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318,636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211,979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202,078</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Additions to property and equipment, net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(24,568)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(33,917)</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(8,116)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(93,165)</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Investment in unconsolidated affiliate</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(14,036)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21,900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16,210</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(13,238)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(117,108)</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170,496</w:t>
            </w: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Payments on borrowings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(195,877)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ind w:left="780"/>
              <w:spacing w:after="0"/>
              <w:rPr>
                <w:sz w:val="20"/>
                <w:szCs w:val="20"/>
                <w:color w:val="auto"/>
              </w:rPr>
            </w:pPr>
            <w:r>
              <w:rPr>
                <w:rFonts w:ascii="Arial" w:cs="Arial" w:eastAsia="Arial" w:hAnsi="Arial"/>
                <w:sz w:val="16"/>
                <w:szCs w:val="16"/>
                <w:color w:val="auto"/>
              </w:rPr>
              <w:t>Net cash (used in) provided by financing activities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(198,101)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170,157</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00" w:type="dxa"/>
            <w:vAlign w:val="bottom"/>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(146,656)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120,877</w:t>
            </w:r>
          </w:p>
        </w:tc>
        <w:tc>
          <w:tcPr>
            <w:tcW w:w="0" w:type="dxa"/>
            <w:vAlign w:val="bottom"/>
          </w:tcPr>
          <w:p>
            <w:pPr>
              <w:spacing w:after="0"/>
              <w:rPr>
                <w:sz w:val="1"/>
                <w:szCs w:val="1"/>
                <w:color w:val="auto"/>
              </w:rPr>
            </w:pPr>
          </w:p>
        </w:tc>
      </w:tr>
      <w:tr>
        <w:trPr>
          <w:trHeight w:val="270"/>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6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285,578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163,868</w:t>
            </w:r>
          </w:p>
        </w:tc>
        <w:tc>
          <w:tcPr>
            <w:tcW w:w="0" w:type="dxa"/>
            <w:vAlign w:val="bottom"/>
          </w:tcPr>
          <w:p>
            <w:pPr>
              <w:spacing w:after="0"/>
              <w:rPr>
                <w:sz w:val="1"/>
                <w:szCs w:val="1"/>
                <w:color w:val="auto"/>
              </w:rPr>
            </w:pPr>
          </w:p>
        </w:tc>
      </w:tr>
      <w:tr>
        <w:trPr>
          <w:trHeight w:val="33"/>
        </w:trPr>
        <w:tc>
          <w:tcPr>
            <w:tcW w:w="8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138,922</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284,745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tcPr>
          <w:p>
            <w:pPr>
              <w:ind w:left="240"/>
              <w:spacing w:after="0"/>
              <w:rPr>
                <w:sz w:val="20"/>
                <w:szCs w:val="20"/>
                <w:color w:val="auto"/>
              </w:rPr>
            </w:pPr>
            <w:r>
              <w:rPr>
                <w:rFonts w:ascii="Arial" w:cs="Arial" w:eastAsia="Arial" w:hAnsi="Arial"/>
                <w:sz w:val="16"/>
                <w:szCs w:val="16"/>
                <w:color w:val="auto"/>
              </w:rPr>
              <w:t>Pawn loans forfeited and transferred to inventory</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221,940</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197,163</w:t>
            </w:r>
          </w:p>
        </w:tc>
        <w:tc>
          <w:tcPr>
            <w:tcW w:w="0" w:type="dxa"/>
            <w:vAlign w:val="bottom"/>
          </w:tcPr>
          <w:p>
            <w:pPr>
              <w:spacing w:after="0"/>
              <w:rPr>
                <w:sz w:val="1"/>
                <w:szCs w:val="1"/>
                <w:color w:val="auto"/>
              </w:rPr>
            </w:pPr>
          </w:p>
        </w:tc>
      </w:tr>
    </w:tbl>
    <w:p>
      <w:pPr>
        <w:sectPr>
          <w:pgSz w:w="11900" w:h="16838" w:orient="portrait"/>
          <w:cols w:equalWidth="0" w:num="1">
            <w:col w:w="11380"/>
          </w:cols>
          <w:pgMar w:left="280" w:top="936"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 2019</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5"/>
              </w:rPr>
              <w:t>Total Segments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83,904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19,998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103,902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103,902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4,323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18,212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58,635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20,345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78,980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78,980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156,462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44,733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202,465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202,465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52,855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17,416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70,271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70,271</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4,166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15,765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92,008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23,151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115,853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115,853</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65,449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18,284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84,727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84,727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15,053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7,254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w w:val="97"/>
              </w:rPr>
              <w:t>Loss (gain) on sale or disposal of assets and other</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8,265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23,621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585" w:right="25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7"/>
              </w:rPr>
              <w:t>Three Months Ended June 30, 2018</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Latin</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Pawn</w:t>
            </w: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5"/>
              </w:rPr>
              <w:t>Total Segments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Pawn</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Items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83,898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104,737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104,737</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17,813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20,428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20,428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72,544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72,544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157,302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40,707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199,612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199,612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52,340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66,896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66,896</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15,329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17,625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17,625</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89,633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23,855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114,742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114,742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65,257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14,997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2,678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82,932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82,932</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Loss on sale or disposal of assets and other</w:t>
            </w:r>
          </w:p>
        </w:tc>
        <w:tc>
          <w:tcPr>
            <w:tcW w:w="1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Equity in net income of unconsolidated affiliates</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70"/>
        </w:trPr>
        <w:tc>
          <w:tcPr>
            <w:tcW w:w="4180" w:type="dxa"/>
            <w:vAlign w:val="bottom"/>
          </w:tcPr>
          <w:p>
            <w:pPr>
              <w:ind w:left="2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21,292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180" w:type="dxa"/>
            <w:vAlign w:val="bottom"/>
          </w:tcPr>
          <w:p>
            <w:pPr>
              <w:spacing w:after="0"/>
              <w:rPr>
                <w:sz w:val="20"/>
                <w:szCs w:val="20"/>
                <w:color w:val="auto"/>
              </w:rPr>
            </w:pPr>
            <w:r>
              <w:rPr>
                <w:rFonts w:ascii="Arial" w:cs="Arial" w:eastAsia="Arial" w:hAnsi="Arial"/>
                <w:sz w:val="18"/>
                <w:szCs w:val="18"/>
                <w:color w:val="auto"/>
                <w:w w:val="93"/>
              </w:rPr>
              <w:t>Income from continuing operations before income taxes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29,624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Nine Months Ended June 30, 2019</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Total Segments</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Corporate Items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Pawn</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International</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5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275,639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70,547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346,186</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346,186</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28,357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9,516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37,873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184,658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59,640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244,298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244,298</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488,779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139,837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632,890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632,890</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172,931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52,252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225,183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225,183</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23,680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32,648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32,648</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292,168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78,617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373,592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373,592</w:t>
            </w:r>
          </w:p>
        </w:tc>
        <w:tc>
          <w:tcPr>
            <w:tcW w:w="0" w:type="dxa"/>
            <w:vAlign w:val="bottom"/>
          </w:tcPr>
          <w:p>
            <w:pPr>
              <w:spacing w:after="0"/>
              <w:rPr>
                <w:sz w:val="1"/>
                <w:szCs w:val="1"/>
                <w:color w:val="auto"/>
              </w:rPr>
            </w:pPr>
          </w:p>
        </w:tc>
      </w:tr>
      <w:tr>
        <w:trPr>
          <w:trHeight w:val="270"/>
        </w:trPr>
        <w:tc>
          <w:tcPr>
            <w:tcW w:w="3500" w:type="dxa"/>
            <w:vAlign w:val="bottom"/>
          </w:tcPr>
          <w:p>
            <w:pPr>
              <w:spacing w:after="0"/>
              <w:rPr>
                <w:sz w:val="20"/>
                <w:szCs w:val="20"/>
                <w:color w:val="auto"/>
              </w:rPr>
            </w:pPr>
            <w:r>
              <w:rPr>
                <w:rFonts w:ascii="Arial" w:cs="Arial" w:eastAsia="Arial" w:hAnsi="Arial"/>
                <w:sz w:val="18"/>
                <w:szCs w:val="18"/>
                <w:color w:val="auto"/>
                <w:w w:val="99"/>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200,884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54,703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261,756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261,756</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46,795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46,795</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13,684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21,114</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w w:val="92"/>
              </w:rPr>
              <w:t>Loss on sale or disposal of assets and other</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25,362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27,212</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6"/>
        </w:trPr>
        <w:tc>
          <w:tcPr>
            <w:tcW w:w="3500" w:type="dxa"/>
            <w:vAlign w:val="bottom"/>
          </w:tcPr>
          <w:p>
            <w:pPr>
              <w:ind w:left="240"/>
              <w:spacing w:after="0"/>
              <w:rPr>
                <w:sz w:val="20"/>
                <w:szCs w:val="20"/>
                <w:color w:val="auto"/>
              </w:rPr>
            </w:pPr>
            <w:r>
              <w:rPr>
                <w:rFonts w:ascii="Arial" w:cs="Arial" w:eastAsia="Arial" w:hAnsi="Arial"/>
                <w:sz w:val="18"/>
                <w:szCs w:val="18"/>
                <w:color w:val="auto"/>
                <w:w w:val="93"/>
              </w:rPr>
              <w:t>Impairment of investment in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70"/>
        </w:trPr>
        <w:tc>
          <w:tcPr>
            <w:tcW w:w="350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79,477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18,347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(23,237)</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74,587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74,587</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(70,850)</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Nine Months Ended June 30, 2018</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 Pawn</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 Segments</w:t>
            </w:r>
          </w:p>
        </w:tc>
        <w:tc>
          <w:tcPr>
            <w:tcW w:w="13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Corporate Items</w:t>
            </w:r>
          </w:p>
        </w:tc>
        <w:tc>
          <w:tcPr>
            <w:tcW w:w="160" w:type="dxa"/>
            <w:vAlign w:val="bottom"/>
          </w:tcPr>
          <w:p>
            <w:pPr>
              <w:spacing w:after="0"/>
              <w:rPr>
                <w:sz w:val="13"/>
                <w:szCs w:val="13"/>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Pawn</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International</w:t>
            </w:r>
          </w:p>
        </w:tc>
        <w:tc>
          <w:tcPr>
            <w:tcW w:w="124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270,145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63,125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333,270</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333,270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34,515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44,166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44,166</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174,180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48,417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222,597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222,597</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479,045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121,781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606,180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606,180</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166,965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43,318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210,283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210,283</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8,853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37,536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Other cost of revenues</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2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283,397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69,610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357,088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357,088</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color w:val="auto"/>
              </w:rPr>
              <w:t>Segment and corporate expenses (income):</w:t>
            </w: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196,635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44,847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248,758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248,758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39,688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39,688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18,298</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w w:val="95"/>
              </w:rPr>
              <w:t>Loss on sale or disposal of assets and other</w:t>
            </w:r>
          </w:p>
        </w:tc>
        <w:tc>
          <w:tcPr>
            <w:tcW w:w="20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19,070</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(12,896)</w:t>
            </w:r>
          </w:p>
        </w:tc>
        <w:tc>
          <w:tcPr>
            <w:tcW w:w="0" w:type="dxa"/>
            <w:vAlign w:val="bottom"/>
          </w:tcPr>
          <w:p>
            <w:pPr>
              <w:spacing w:after="0"/>
              <w:rPr>
                <w:sz w:val="1"/>
                <w:szCs w:val="1"/>
                <w:color w:val="auto"/>
              </w:rPr>
            </w:pPr>
          </w:p>
        </w:tc>
      </w:tr>
      <w:tr>
        <w:trPr>
          <w:trHeight w:val="256"/>
        </w:trPr>
        <w:tc>
          <w:tcPr>
            <w:tcW w:w="3620" w:type="dxa"/>
            <w:vAlign w:val="bottom"/>
          </w:tcPr>
          <w:p>
            <w:pPr>
              <w:ind w:left="240"/>
              <w:spacing w:after="0"/>
              <w:rPr>
                <w:sz w:val="20"/>
                <w:szCs w:val="20"/>
                <w:color w:val="auto"/>
              </w:rPr>
            </w:pPr>
            <w:r>
              <w:rPr>
                <w:rFonts w:ascii="Arial" w:cs="Arial" w:eastAsia="Arial" w:hAnsi="Arial"/>
                <w:sz w:val="18"/>
                <w:szCs w:val="18"/>
                <w:color w:val="auto"/>
              </w:rPr>
              <w:t>Equity in net income of unconsolidated</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2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70"/>
        </w:trPr>
        <w:tc>
          <w:tcPr>
            <w:tcW w:w="362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Pr>
          <w:p>
            <w:pPr>
              <w:spacing w:after="0"/>
              <w:rPr>
                <w:sz w:val="20"/>
                <w:szCs w:val="20"/>
                <w:color w:val="auto"/>
              </w:rPr>
            </w:pPr>
            <w:r>
              <w:rPr>
                <w:rFonts w:ascii="Arial" w:cs="Arial" w:eastAsia="Arial" w:hAnsi="Arial"/>
                <w:sz w:val="18"/>
                <w:szCs w:val="18"/>
                <w:color w:val="auto"/>
              </w:rPr>
              <w:t>Segment contribution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77,228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24,075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101,561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vMerge w:val="restart"/>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101,561</w:t>
            </w:r>
          </w:p>
        </w:tc>
        <w:tc>
          <w:tcPr>
            <w:tcW w:w="100" w:type="dxa"/>
            <w:vAlign w:val="bottom"/>
          </w:tcPr>
          <w:p>
            <w:pPr>
              <w:spacing w:after="0"/>
              <w:rPr>
                <w:sz w:val="16"/>
                <w:szCs w:val="16"/>
                <w:color w:val="auto"/>
              </w:rPr>
            </w:pPr>
          </w:p>
        </w:tc>
        <w:tc>
          <w:tcPr>
            <w:tcW w:w="340" w:type="dxa"/>
            <w:vAlign w:val="bottom"/>
            <w:vMerge w:val="restart"/>
          </w:tcPr>
          <w:p>
            <w:pPr>
              <w:jc w:val="right"/>
              <w:ind w:right="136"/>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(48,894)</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31"/>
              <w:spacing w:after="0"/>
              <w:rPr>
                <w:sz w:val="20"/>
                <w:szCs w:val="20"/>
                <w:color w:val="auto"/>
              </w:rPr>
            </w:pPr>
            <w:r>
              <w:rPr>
                <w:rFonts w:ascii="Arial" w:cs="Arial" w:eastAsia="Arial" w:hAnsi="Arial"/>
                <w:sz w:val="18"/>
                <w:szCs w:val="18"/>
                <w:color w:val="auto"/>
              </w:rPr>
              <w:t>52,667</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00" w:top="738"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June 30, 2019</w:t>
            </w: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March 31, 2019</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June 30,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37"/>
              <w:spacing w:after="0"/>
              <w:rPr>
                <w:sz w:val="20"/>
                <w:szCs w:val="20"/>
                <w:color w:val="auto"/>
              </w:rPr>
            </w:pPr>
            <w:r>
              <w:rPr>
                <w:rFonts w:ascii="Arial" w:cs="Arial" w:eastAsia="Arial" w:hAnsi="Arial"/>
                <w:sz w:val="14"/>
                <w:szCs w:val="14"/>
                <w:b w:val="1"/>
                <w:bCs w:val="1"/>
                <w:color w:val="auto"/>
                <w:w w:val="93"/>
              </w:rPr>
              <w:t>Three Months Ended June 30,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20" w:type="dxa"/>
            <w:vAlign w:val="bottom"/>
            <w:vMerge w:val="restart"/>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4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Pawn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spacing w:after="0"/>
              <w:rPr>
                <w:sz w:val="20"/>
                <w:szCs w:val="20"/>
                <w:color w:val="auto"/>
              </w:rPr>
            </w:pPr>
            <w:r>
              <w:rPr>
                <w:rFonts w:ascii="Arial" w:cs="Arial" w:eastAsia="Arial" w:hAnsi="Arial"/>
                <w:sz w:val="18"/>
                <w:szCs w:val="18"/>
                <w:color w:val="auto"/>
              </w:rPr>
              <w:t>As of March 31, 2018</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spacing w:after="0"/>
              <w:rPr>
                <w:sz w:val="20"/>
                <w:szCs w:val="20"/>
                <w:color w:val="auto"/>
              </w:rPr>
            </w:pPr>
            <w:r>
              <w:rPr>
                <w:rFonts w:ascii="Arial" w:cs="Arial" w:eastAsia="Arial" w:hAnsi="Arial"/>
                <w:sz w:val="18"/>
                <w:szCs w:val="18"/>
                <w:color w:val="auto"/>
              </w:rPr>
              <w:t>As of June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3"/>
              </w:rPr>
              <w:t>Nine Months Ended June 30, 2019</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2018</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June 30, 2019</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60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17"/>
              <w:spacing w:after="0"/>
              <w:rPr>
                <w:sz w:val="20"/>
                <w:szCs w:val="20"/>
                <w:color w:val="auto"/>
              </w:rPr>
            </w:pPr>
            <w:r>
              <w:rPr>
                <w:rFonts w:ascii="Arial" w:cs="Arial" w:eastAsia="Arial" w:hAnsi="Arial"/>
                <w:sz w:val="14"/>
                <w:szCs w:val="14"/>
                <w:b w:val="1"/>
                <w:bCs w:val="1"/>
                <w:color w:val="auto"/>
                <w:w w:val="93"/>
              </w:rPr>
              <w:t>Nine Months Ended June 30, 2018</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20" w:type="dxa"/>
            <w:vAlign w:val="bottom"/>
          </w:tcPr>
          <w:p>
            <w:pPr>
              <w:spacing w:after="0"/>
              <w:rPr>
                <w:sz w:val="13"/>
                <w:szCs w:val="13"/>
                <w:color w:val="auto"/>
              </w:rPr>
            </w:pPr>
          </w:p>
        </w:tc>
        <w:tc>
          <w:tcPr>
            <w:tcW w:w="15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International</w:t>
            </w:r>
          </w:p>
        </w:tc>
        <w:tc>
          <w:tcPr>
            <w:tcW w:w="20" w:type="dxa"/>
            <w:vAlign w:val="bottom"/>
          </w:tcPr>
          <w:p>
            <w:pPr>
              <w:spacing w:after="0"/>
              <w:rPr>
                <w:sz w:val="13"/>
                <w:szCs w:val="13"/>
                <w:color w:val="auto"/>
              </w:rPr>
            </w:pP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Pawn</w:t>
            </w:r>
          </w:p>
        </w:tc>
        <w:tc>
          <w:tcPr>
            <w:tcW w:w="2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6020" w:type="dxa"/>
            <w:vAlign w:val="bottom"/>
          </w:tcPr>
          <w:p>
            <w:pPr>
              <w:ind w:left="20"/>
              <w:spacing w:after="0"/>
              <w:rPr>
                <w:sz w:val="20"/>
                <w:szCs w:val="20"/>
                <w:color w:val="auto"/>
              </w:rPr>
            </w:pPr>
            <w:r>
              <w:rPr>
                <w:rFonts w:ascii="Arial" w:cs="Arial" w:eastAsia="Arial" w:hAnsi="Arial"/>
                <w:sz w:val="18"/>
                <w:szCs w:val="18"/>
                <w:color w:val="auto"/>
              </w:rPr>
              <w:t>As of September 30, 2017</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4"/>
                <w:szCs w:val="24"/>
                <w:color w:val="auto"/>
              </w:rPr>
            </w:pP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246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New locations opened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acquired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260"/>
              <w:spacing w:after="0"/>
              <w:rPr>
                <w:sz w:val="20"/>
                <w:szCs w:val="20"/>
                <w:color w:val="auto"/>
              </w:rPr>
            </w:pPr>
            <w:r>
              <w:rPr>
                <w:rFonts w:ascii="Arial" w:cs="Arial" w:eastAsia="Arial" w:hAnsi="Arial"/>
                <w:sz w:val="18"/>
                <w:szCs w:val="18"/>
                <w:color w:val="auto"/>
              </w:rPr>
              <w:t>Locations sold, combined or closed</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As of June 30, 2018</w:t>
            </w: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20" w:type="dxa"/>
            <w:vAlign w:val="bottom"/>
            <w:vMerge w:val="continue"/>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8"/>
                <w:szCs w:val="18"/>
                <w:color w:val="auto"/>
              </w:rPr>
              <w:t>988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ectPr>
          <w:pgSz w:w="11900" w:h="16838" w:orient="portrait"/>
          <w:cols w:equalWidth="0" w:num="1">
            <w:col w:w="11420"/>
          </w:cols>
          <w:pgMar w:left="240" w:top="585" w:right="239" w:bottom="1440" w:gutter="0" w:footer="0" w:header="0"/>
        </w:sectPr>
      </w:pPr>
    </w:p>
    <w:bookmarkStart w:id="14" w:name="page15"/>
    <w:bookmarkEnd w:id="14"/>
    <w:p>
      <w:pPr>
        <w:ind w:right="20"/>
        <w:spacing w:after="0" w:line="255"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Mexican pesos, Guatemalan quetzals, Honduran lempiras and Peruvian sols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currency as compared to U.S. dollars as of and for the three and nine months ended June 30, 2019 and 2018 were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1700" w:type="dxa"/>
            <w:vAlign w:val="bottom"/>
            <w:gridSpan w:val="3"/>
          </w:tcPr>
          <w:p>
            <w:pPr>
              <w:ind w:left="106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3"/>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254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Nine Months Ended June 30,</w:t>
            </w:r>
          </w:p>
        </w:tc>
      </w:tr>
      <w:tr>
        <w:trPr>
          <w:trHeight w:val="264"/>
        </w:trPr>
        <w:tc>
          <w:tcPr>
            <w:tcW w:w="32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364"/>
        </w:trPr>
        <w:tc>
          <w:tcPr>
            <w:tcW w:w="3220" w:type="dxa"/>
            <w:vAlign w:val="bottom"/>
          </w:tcPr>
          <w:p>
            <w:pPr>
              <w:spacing w:after="0"/>
              <w:rPr>
                <w:sz w:val="20"/>
                <w:szCs w:val="20"/>
                <w:color w:val="auto"/>
              </w:rPr>
            </w:pPr>
            <w:r>
              <w:rPr>
                <w:rFonts w:ascii="Arial" w:cs="Arial" w:eastAsia="Arial" w:hAnsi="Arial"/>
                <w:sz w:val="18"/>
                <w:szCs w:val="18"/>
                <w:color w:val="auto"/>
              </w:rPr>
              <w:t>Mexican peso</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4"/>
                <w:szCs w:val="24"/>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19.1</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19.0</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Guatemalan quetzal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7.5</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7.3</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Honduran lempira</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24.2</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23.5</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Peruvian sol</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3"/>
                <w:szCs w:val="23"/>
                <w:color w:val="auto"/>
              </w:rPr>
            </w:pP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3.2</w:t>
            </w:r>
          </w:p>
        </w:tc>
      </w:tr>
    </w:tbl>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constant currency results of our statement of operations reflect the monthly exchange rate fluctuations and so are not directly calculable from the above rates. Constant currency results, where presented, also exclude the foreign currency gain or loss. We have experienced a prolonged weakening of the Mexican peso to the U.S. dollar and may continue to experience further weakening in future reporting periods, which may adversely impact our future operating results when stated on a GAAP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2019 Q3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b w:val="1"/>
                <w:bCs w:val="1"/>
                <w:color w:val="auto"/>
                <w:w w:val="93"/>
              </w:rPr>
              <w:t>2018 Q3</w:t>
            </w:r>
          </w:p>
        </w:tc>
        <w:tc>
          <w:tcPr>
            <w:tcW w:w="0" w:type="dxa"/>
            <w:vAlign w:val="bottom"/>
          </w:tcPr>
          <w:p>
            <w:pPr>
              <w:spacing w:after="0"/>
              <w:rPr>
                <w:sz w:val="1"/>
                <w:szCs w:val="1"/>
                <w:color w:val="auto"/>
              </w:rPr>
            </w:pPr>
          </w:p>
        </w:tc>
      </w:tr>
      <w:tr>
        <w:trPr>
          <w:trHeight w:val="53"/>
        </w:trPr>
        <w:tc>
          <w:tcPr>
            <w:tcW w:w="5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gridSpan w:val="7"/>
          </w:tcPr>
          <w:p>
            <w:pPr>
              <w:jc w:val="right"/>
              <w:spacing w:after="0"/>
              <w:rPr>
                <w:sz w:val="20"/>
                <w:szCs w:val="20"/>
                <w:color w:val="auto"/>
              </w:rPr>
            </w:pPr>
            <w:r>
              <w:rPr>
                <w:rFonts w:ascii="Arial" w:cs="Arial" w:eastAsia="Arial" w:hAnsi="Arial"/>
                <w:sz w:val="14"/>
                <w:szCs w:val="14"/>
                <w:i w:val="1"/>
                <w:iCs w:val="1"/>
                <w:color w:val="auto"/>
              </w:rPr>
              <w:t>(in millions)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00" w:type="dxa"/>
            <w:vAlign w:val="bottom"/>
            <w:gridSpan w:val="6"/>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
              <w:spacing w:after="0"/>
              <w:rPr>
                <w:sz w:val="20"/>
                <w:szCs w:val="20"/>
                <w:color w:val="auto"/>
              </w:rPr>
            </w:pPr>
            <w:r>
              <w:rPr>
                <w:rFonts w:ascii="Arial" w:cs="Arial" w:eastAsia="Arial" w:hAnsi="Arial"/>
                <w:sz w:val="14"/>
                <w:szCs w:val="14"/>
                <w:color w:val="auto"/>
              </w:rPr>
              <w:t>3.2</w:t>
            </w:r>
          </w:p>
        </w:tc>
        <w:tc>
          <w:tcPr>
            <w:tcW w:w="4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4"/>
                <w:szCs w:val="14"/>
                <w:color w:val="auto"/>
              </w:rPr>
              <w:t>0.2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4"/>
                <w:szCs w:val="14"/>
                <w:color w:val="auto"/>
              </w:rPr>
              <w:t>9.8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Income tax expense</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gridSpan w:val="3"/>
          </w:tcPr>
          <w:p>
            <w:pPr>
              <w:jc w:val="right"/>
              <w:ind w:right="8"/>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7.3</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gridSpan w:val="6"/>
          </w:tcPr>
          <w:p>
            <w:pPr>
              <w:jc w:val="right"/>
              <w:ind w:right="348"/>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8"/>
              <w:spacing w:after="0"/>
              <w:rPr>
                <w:sz w:val="20"/>
                <w:szCs w:val="20"/>
                <w:color w:val="auto"/>
              </w:rPr>
            </w:pPr>
            <w:r>
              <w:rPr>
                <w:rFonts w:ascii="Arial" w:cs="Arial" w:eastAsia="Arial" w:hAnsi="Arial"/>
                <w:sz w:val="14"/>
                <w:szCs w:val="14"/>
                <w:color w:val="auto"/>
              </w:rPr>
              <w:t>17.4</w:t>
            </w:r>
          </w:p>
        </w:tc>
        <w:tc>
          <w:tcPr>
            <w:tcW w:w="46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300"/>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12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Consolidated Net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7"/>
          </w:tcPr>
          <w:p>
            <w:pPr>
              <w:jc w:val="center"/>
              <w:ind w:right="148"/>
              <w:spacing w:after="0"/>
              <w:rPr>
                <w:sz w:val="20"/>
                <w:szCs w:val="20"/>
                <w:color w:val="auto"/>
              </w:rPr>
            </w:pPr>
            <w:r>
              <w:rPr>
                <w:rFonts w:ascii="Arial" w:cs="Arial" w:eastAsia="Arial" w:hAnsi="Arial"/>
                <w:sz w:val="14"/>
                <w:szCs w:val="14"/>
                <w:b w:val="1"/>
                <w:bCs w:val="1"/>
                <w:color w:val="auto"/>
                <w:w w:val="90"/>
              </w:rPr>
              <w:t>Consolidated</w:t>
            </w:r>
          </w:p>
        </w:tc>
        <w:tc>
          <w:tcPr>
            <w:tcW w:w="1280" w:type="dxa"/>
            <w:vAlign w:val="bottom"/>
            <w:gridSpan w:val="5"/>
            <w:vMerge w:val="restart"/>
          </w:tcPr>
          <w:p>
            <w:pPr>
              <w:jc w:val="right"/>
              <w:ind w:right="48"/>
              <w:spacing w:after="0"/>
              <w:rPr>
                <w:sz w:val="20"/>
                <w:szCs w:val="20"/>
                <w:color w:val="auto"/>
              </w:rPr>
            </w:pPr>
            <w:r>
              <w:rPr>
                <w:rFonts w:ascii="Arial" w:cs="Arial" w:eastAsia="Arial" w:hAnsi="Arial"/>
                <w:sz w:val="14"/>
                <w:szCs w:val="14"/>
                <w:b w:val="1"/>
                <w:bCs w:val="1"/>
                <w:color w:val="auto"/>
                <w:w w:val="88"/>
              </w:rPr>
              <w:t>Consolidated Sales</w:t>
            </w: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6"/>
          </w:tcPr>
          <w:p>
            <w:pPr>
              <w:jc w:val="center"/>
              <w:ind w:right="348"/>
              <w:spacing w:after="0" w:line="149" w:lineRule="exact"/>
              <w:rPr>
                <w:sz w:val="20"/>
                <w:szCs w:val="20"/>
                <w:color w:val="auto"/>
              </w:rPr>
            </w:pPr>
            <w:r>
              <w:rPr>
                <w:rFonts w:ascii="Arial" w:cs="Arial" w:eastAsia="Arial" w:hAnsi="Arial"/>
                <w:sz w:val="14"/>
                <w:szCs w:val="14"/>
                <w:b w:val="1"/>
                <w:bCs w:val="1"/>
                <w:color w:val="auto"/>
                <w:w w:val="88"/>
              </w:rPr>
              <w:t>Sales Gross</w:t>
            </w:r>
          </w:p>
        </w:tc>
        <w:tc>
          <w:tcPr>
            <w:tcW w:w="12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Revenues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w w:val="87"/>
              </w:rPr>
              <w:t>Revenues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8"/>
              </w:rPr>
              <w:t>Profit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jc w:val="right"/>
              <w:ind w:right="8"/>
              <w:spacing w:after="0"/>
              <w:rPr>
                <w:sz w:val="20"/>
                <w:szCs w:val="20"/>
                <w:color w:val="auto"/>
              </w:rPr>
            </w:pPr>
            <w:r>
              <w:rPr>
                <w:rFonts w:ascii="Arial" w:cs="Arial" w:eastAsia="Arial" w:hAnsi="Arial"/>
                <w:sz w:val="14"/>
                <w:szCs w:val="14"/>
                <w:b w:val="1"/>
                <w:bCs w:val="1"/>
                <w:color w:val="auto"/>
                <w:w w:val="99"/>
              </w:rPr>
              <w:t>Gross Profit Margin</w:t>
            </w: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3"/>
          </w:tcPr>
          <w:p>
            <w:pPr>
              <w:jc w:val="center"/>
              <w:ind w:right="128"/>
              <w:spacing w:after="0"/>
              <w:rPr>
                <w:sz w:val="20"/>
                <w:szCs w:val="20"/>
                <w:color w:val="auto"/>
              </w:rPr>
            </w:pPr>
            <w:r>
              <w:rPr>
                <w:rFonts w:ascii="Arial" w:cs="Arial" w:eastAsia="Arial" w:hAnsi="Arial"/>
                <w:sz w:val="14"/>
                <w:szCs w:val="14"/>
                <w:i w:val="1"/>
                <w:iCs w:val="1"/>
                <w:color w:val="auto"/>
                <w:w w:val="98"/>
              </w:rPr>
              <w:t>(in millions)</w:t>
            </w: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2019 Q3 reported</w:t>
            </w:r>
          </w:p>
        </w:tc>
        <w:tc>
          <w:tcPr>
            <w:tcW w:w="280" w:type="dxa"/>
            <w:vAlign w:val="bottom"/>
          </w:tcPr>
          <w:p>
            <w:pPr>
              <w:spacing w:after="0"/>
              <w:rPr>
                <w:sz w:val="23"/>
                <w:szCs w:val="23"/>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115.9</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33.6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Discrete transaction tax adjustment</w:t>
            </w: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gridSpan w:val="3"/>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(0.1)</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2019 Q3 adjusted</w:t>
            </w:r>
          </w:p>
        </w:tc>
        <w:tc>
          <w:tcPr>
            <w:tcW w:w="280" w:type="dxa"/>
            <w:vAlign w:val="bottom"/>
          </w:tcPr>
          <w:p>
            <w:pPr>
              <w:spacing w:after="0"/>
              <w:rPr>
                <w:sz w:val="21"/>
                <w:szCs w:val="21"/>
                <w:color w:val="auto"/>
              </w:rPr>
            </w:pPr>
          </w:p>
        </w:tc>
        <w:tc>
          <w:tcPr>
            <w:tcW w:w="4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48"/>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120.4</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38.1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300"/>
        </w:trPr>
        <w:tc>
          <w:tcPr>
            <w:tcW w:w="5580" w:type="dxa"/>
            <w:vAlign w:val="bottom"/>
          </w:tcPr>
          <w:p>
            <w:pPr>
              <w:spacing w:after="0"/>
              <w:rPr>
                <w:sz w:val="24"/>
                <w:szCs w:val="24"/>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U.S. Pawn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Latin America</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Percentage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gridSpan w:val="2"/>
          </w:tcPr>
          <w:p>
            <w:pPr>
              <w:jc w:val="center"/>
              <w:ind w:left="268"/>
              <w:spacing w:after="0"/>
              <w:rPr>
                <w:sz w:val="20"/>
                <w:szCs w:val="20"/>
                <w:color w:val="auto"/>
              </w:rPr>
            </w:pPr>
            <w:r>
              <w:rPr>
                <w:rFonts w:ascii="Arial" w:cs="Arial" w:eastAsia="Arial" w:hAnsi="Arial"/>
                <w:sz w:val="14"/>
                <w:szCs w:val="14"/>
                <w:b w:val="1"/>
                <w:bCs w:val="1"/>
                <w:color w:val="auto"/>
                <w:w w:val="98"/>
              </w:rPr>
              <w:t>Pawn</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Change YOY</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80" w:type="dxa"/>
            <w:vAlign w:val="bottom"/>
          </w:tcPr>
          <w:p>
            <w:pPr>
              <w:spacing w:after="0"/>
              <w:rPr>
                <w:sz w:val="20"/>
                <w:szCs w:val="20"/>
                <w:color w:val="auto"/>
              </w:rPr>
            </w:pPr>
            <w:r>
              <w:rPr>
                <w:rFonts w:ascii="Arial" w:cs="Arial" w:eastAsia="Arial" w:hAnsi="Arial"/>
                <w:sz w:val="14"/>
                <w:szCs w:val="14"/>
                <w:color w:val="auto"/>
              </w:rPr>
              <w:t>2019 Q3 reported segment contribution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980" w:type="dxa"/>
            <w:vAlign w:val="bottom"/>
            <w:gridSpan w:val="3"/>
          </w:tcPr>
          <w:p>
            <w:pPr>
              <w:jc w:val="right"/>
              <w:ind w:right="6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2.1</w:t>
            </w:r>
          </w:p>
        </w:tc>
        <w:tc>
          <w:tcPr>
            <w:tcW w:w="940" w:type="dxa"/>
            <w:vAlign w:val="bottom"/>
            <w:gridSpan w:val="3"/>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w w:val="87"/>
              </w:rPr>
              <w:t>25.7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4"/>
                <w:szCs w:val="14"/>
                <w:color w:val="auto"/>
              </w:rPr>
              <w:t>(14.0)%</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0"/>
                <w:szCs w:val="20"/>
                <w:color w:val="auto"/>
              </w:rPr>
            </w:pPr>
            <w:r>
              <w:rPr>
                <w:rFonts w:ascii="Arial" w:cs="Arial" w:eastAsia="Arial" w:hAnsi="Arial"/>
                <w:sz w:val="14"/>
                <w:szCs w:val="14"/>
                <w:color w:val="auto"/>
              </w:rPr>
              <w:t>Discrete transaction tax adjustment</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580" w:type="dxa"/>
            <w:vAlign w:val="bottom"/>
          </w:tcPr>
          <w:p>
            <w:pPr>
              <w:ind w:left="240"/>
              <w:spacing w:after="0"/>
              <w:rPr>
                <w:sz w:val="20"/>
                <w:szCs w:val="20"/>
                <w:color w:val="auto"/>
              </w:rPr>
            </w:pPr>
            <w:r>
              <w:rPr>
                <w:rFonts w:ascii="Arial" w:cs="Arial" w:eastAsia="Arial" w:hAnsi="Arial"/>
                <w:sz w:val="14"/>
                <w:szCs w:val="14"/>
                <w:color w:val="auto"/>
              </w:rPr>
              <w:t>2019 Q3 adjusted segment contribution</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23.6</w:t>
            </w:r>
          </w:p>
        </w:tc>
        <w:tc>
          <w:tcPr>
            <w:tcW w:w="980" w:type="dxa"/>
            <w:vAlign w:val="bottom"/>
            <w:gridSpan w:val="3"/>
          </w:tcPr>
          <w:p>
            <w:pPr>
              <w:jc w:val="right"/>
              <w:ind w:right="6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8.1</w:t>
            </w:r>
          </w:p>
        </w:tc>
        <w:tc>
          <w:tcPr>
            <w:tcW w:w="940" w:type="dxa"/>
            <w:vAlign w:val="bottom"/>
            <w:gridSpan w:val="3"/>
          </w:tcPr>
          <w:p>
            <w:pPr>
              <w:jc w:val="right"/>
              <w:ind w:right="588"/>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28"/>
              <w:spacing w:after="0"/>
              <w:rPr>
                <w:sz w:val="20"/>
                <w:szCs w:val="20"/>
                <w:color w:val="auto"/>
              </w:rPr>
            </w:pPr>
            <w:r>
              <w:rPr>
                <w:rFonts w:ascii="Arial" w:cs="Arial" w:eastAsia="Arial" w:hAnsi="Arial"/>
                <w:sz w:val="14"/>
                <w:szCs w:val="14"/>
                <w:color w:val="auto"/>
                <w:w w:val="87"/>
              </w:rPr>
              <w:t>31.7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6.0 %</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Latin America Pawn</w:t>
            </w:r>
          </w:p>
        </w:tc>
        <w:tc>
          <w:tcPr>
            <w:tcW w:w="14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b w:val="1"/>
                <w:bCs w:val="1"/>
                <w:color w:val="auto"/>
              </w:rPr>
              <w:t>Latin America Pawn</w:t>
            </w:r>
          </w:p>
        </w:tc>
        <w:tc>
          <w:tcPr>
            <w:tcW w:w="22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4"/>
              </w:rPr>
              <w:t>Latin America Pawn Sales Gross</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Consolidated Sales</w:t>
            </w:r>
          </w:p>
        </w:tc>
      </w:tr>
      <w:tr>
        <w:trPr>
          <w:trHeight w:val="192"/>
        </w:trPr>
        <w:tc>
          <w:tcPr>
            <w:tcW w:w="4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Net 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9"/>
              </w:rPr>
              <w:t>Merchandise Sales</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Profit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Gross Profit Margin</w:t>
            </w:r>
          </w:p>
        </w:tc>
      </w:tr>
      <w:tr>
        <w:trPr>
          <w:trHeight w:val="379"/>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ind w:left="680"/>
              <w:spacing w:after="0"/>
              <w:rPr>
                <w:sz w:val="20"/>
                <w:szCs w:val="20"/>
                <w:color w:val="auto"/>
              </w:rPr>
            </w:pPr>
            <w:r>
              <w:rPr>
                <w:rFonts w:ascii="Arial" w:cs="Arial" w:eastAsia="Arial" w:hAnsi="Arial"/>
                <w:sz w:val="14"/>
                <w:szCs w:val="14"/>
                <w:i w:val="1"/>
                <w:iCs w:val="1"/>
                <w:color w:val="auto"/>
              </w:rPr>
              <w:t>(in millions)</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4"/>
                <w:szCs w:val="14"/>
                <w:color w:val="auto"/>
              </w:rPr>
              <w:t>2019 Q3 reported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4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4320" w:type="dxa"/>
            <w:vAlign w:val="bottom"/>
          </w:tcPr>
          <w:p>
            <w:pPr>
              <w:spacing w:after="0"/>
              <w:rPr>
                <w:sz w:val="20"/>
                <w:szCs w:val="20"/>
                <w:color w:val="auto"/>
              </w:rPr>
            </w:pPr>
            <w:r>
              <w:rPr>
                <w:rFonts w:ascii="Arial" w:cs="Arial" w:eastAsia="Arial" w:hAnsi="Arial"/>
                <w:sz w:val="14"/>
                <w:szCs w:val="14"/>
                <w:color w:val="auto"/>
              </w:rPr>
              <w:t>Discrete transaction tax adjustment</w:t>
            </w:r>
          </w:p>
        </w:tc>
        <w:tc>
          <w:tcPr>
            <w:tcW w:w="100" w:type="dxa"/>
            <w:vAlign w:val="bottom"/>
          </w:tcPr>
          <w:p>
            <w:pPr>
              <w:spacing w:after="0"/>
              <w:rPr>
                <w:sz w:val="23"/>
                <w:szCs w:val="23"/>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4.6</w:t>
            </w:r>
          </w:p>
        </w:tc>
        <w:tc>
          <w:tcPr>
            <w:tcW w:w="1440" w:type="dxa"/>
            <w:vAlign w:val="bottom"/>
          </w:tcPr>
          <w:p>
            <w:pPr>
              <w:spacing w:after="0"/>
              <w:rPr>
                <w:sz w:val="23"/>
                <w:szCs w:val="23"/>
                <w:color w:val="auto"/>
              </w:rPr>
            </w:pPr>
          </w:p>
        </w:tc>
      </w:tr>
      <w:tr>
        <w:trPr>
          <w:trHeight w:val="276"/>
        </w:trPr>
        <w:tc>
          <w:tcPr>
            <w:tcW w:w="432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440" w:type="dxa"/>
            <w:vAlign w:val="bottom"/>
            <w:tcBorders>
              <w:bottom w:val="single" w:sz="8" w:color="auto"/>
            </w:tcBorders>
          </w:tcPr>
          <w:p>
            <w:pPr>
              <w:spacing w:after="0"/>
              <w:rPr>
                <w:sz w:val="24"/>
                <w:szCs w:val="24"/>
                <w:color w:val="auto"/>
              </w:rPr>
            </w:pPr>
          </w:p>
        </w:tc>
      </w:tr>
      <w:tr>
        <w:trPr>
          <w:trHeight w:val="258"/>
        </w:trPr>
        <w:tc>
          <w:tcPr>
            <w:tcW w:w="4320" w:type="dxa"/>
            <w:vAlign w:val="bottom"/>
          </w:tcPr>
          <w:p>
            <w:pPr>
              <w:ind w:left="240"/>
              <w:spacing w:after="0"/>
              <w:rPr>
                <w:sz w:val="20"/>
                <w:szCs w:val="20"/>
                <w:color w:val="auto"/>
              </w:rPr>
            </w:pPr>
            <w:r>
              <w:rPr>
                <w:rFonts w:ascii="Arial" w:cs="Arial" w:eastAsia="Arial" w:hAnsi="Arial"/>
                <w:sz w:val="14"/>
                <w:szCs w:val="14"/>
                <w:color w:val="auto"/>
              </w:rPr>
              <w:t>2019 Q3 adjusted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1440" w:type="dxa"/>
            <w:vAlign w:val="bottom"/>
          </w:tcPr>
          <w:p>
            <w:pPr>
              <w:jc w:val="right"/>
              <w:spacing w:after="0"/>
              <w:rPr>
                <w:sz w:val="20"/>
                <w:szCs w:val="20"/>
                <w:color w:val="auto"/>
              </w:rPr>
            </w:pPr>
            <w:r>
              <w:rPr>
                <w:rFonts w:ascii="Arial" w:cs="Arial" w:eastAsia="Arial" w:hAnsi="Arial"/>
                <w:sz w:val="14"/>
                <w:szCs w:val="14"/>
                <w:color w:val="auto"/>
              </w:rPr>
              <w:t>29%</w:t>
            </w:r>
          </w:p>
        </w:tc>
      </w:tr>
    </w:tbl>
    <w:p>
      <w:pPr>
        <w:sectPr>
          <w:pgSz w:w="11900" w:h="16838" w:orient="portrait"/>
          <w:cols w:equalWidth="0" w:num="1">
            <w:col w:w="11420"/>
          </w:cols>
          <w:pgMar w:left="240" w:top="746"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Income from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Continuing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Operations,</w:t>
            </w:r>
          </w:p>
        </w:tc>
        <w:tc>
          <w:tcPr>
            <w:tcW w:w="82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Tax Effect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Continuing</w:t>
            </w: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5"/>
              </w:rPr>
              <w:t>Operations Diluted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2019 Q3 reported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Discrete transaction tax adjustment</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Non-recurring income tax benefit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40" w:type="dxa"/>
            <w:vAlign w:val="bottom"/>
          </w:tcPr>
          <w:p>
            <w:pPr>
              <w:spacing w:after="0"/>
              <w:rPr>
                <w:sz w:val="23"/>
                <w:szCs w:val="23"/>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14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6"/>
        </w:trPr>
        <w:tc>
          <w:tcPr>
            <w:tcW w:w="5340" w:type="dxa"/>
            <w:vAlign w:val="bottom"/>
          </w:tcPr>
          <w:p>
            <w:pPr>
              <w:spacing w:after="0"/>
              <w:rPr>
                <w:sz w:val="20"/>
                <w:szCs w:val="20"/>
                <w:color w:val="auto"/>
              </w:rPr>
            </w:pPr>
            <w:r>
              <w:rPr>
                <w:rFonts w:ascii="Arial" w:cs="Arial" w:eastAsia="Arial" w:hAnsi="Arial"/>
                <w:sz w:val="14"/>
                <w:szCs w:val="14"/>
                <w:color w:val="auto"/>
              </w:rPr>
              <w:t>Discretionary strategic investment in digital platform</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44"/>
        </w:trPr>
        <w:tc>
          <w:tcPr>
            <w:tcW w:w="5340" w:type="dxa"/>
            <w:vAlign w:val="bottom"/>
          </w:tcPr>
          <w:p>
            <w:pPr>
              <w:ind w:left="240"/>
              <w:spacing w:after="0"/>
              <w:rPr>
                <w:sz w:val="20"/>
                <w:szCs w:val="20"/>
                <w:color w:val="auto"/>
              </w:rPr>
            </w:pPr>
            <w:r>
              <w:rPr>
                <w:rFonts w:ascii="Arial" w:cs="Arial" w:eastAsia="Arial" w:hAnsi="Arial"/>
                <w:sz w:val="14"/>
                <w:szCs w:val="14"/>
                <w:color w:val="auto"/>
              </w:rPr>
              <w:t>2019 Q3 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300"/>
        </w:trPr>
        <w:tc>
          <w:tcPr>
            <w:tcW w:w="5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5"/>
              </w:rPr>
              <w:t>Income from</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2"/>
              </w:rPr>
              <w:t>Net Income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Continuing</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Continuing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Operations, Before</w:t>
            </w:r>
          </w:p>
        </w:tc>
        <w:tc>
          <w:tcPr>
            <w:tcW w:w="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5"/>
              </w:rPr>
              <w:t>Tax Effect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4"/>
              </w:rPr>
              <w:t>Continuing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w w:val="90"/>
              </w:rPr>
              <w:t>Tax</w:t>
            </w: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gridSpan w:val="2"/>
          </w:tcPr>
          <w:p>
            <w:pPr>
              <w:jc w:val="center"/>
              <w:ind w:left="88"/>
              <w:spacing w:after="0"/>
              <w:rPr>
                <w:sz w:val="20"/>
                <w:szCs w:val="20"/>
                <w:color w:val="auto"/>
              </w:rPr>
            </w:pPr>
            <w:r>
              <w:rPr>
                <w:rFonts w:ascii="Arial" w:cs="Arial" w:eastAsia="Arial" w:hAnsi="Arial"/>
                <w:sz w:val="14"/>
                <w:szCs w:val="14"/>
                <w:b w:val="1"/>
                <w:bCs w:val="1"/>
                <w:color w:val="auto"/>
                <w:w w:val="91"/>
              </w:rPr>
              <w:t>Operations</w:t>
            </w: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EBITDA</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8140"/>
        <w:spacing w:after="0"/>
        <w:rPr>
          <w:sz w:val="20"/>
          <w:szCs w:val="20"/>
          <w:color w:val="auto"/>
        </w:rPr>
      </w:pPr>
      <w:r>
        <w:rPr>
          <w:rFonts w:ascii="Arial" w:cs="Arial" w:eastAsia="Arial" w:hAnsi="Arial"/>
          <w:sz w:val="14"/>
          <w:szCs w:val="14"/>
          <w:i w:val="1"/>
          <w:iCs w:val="1"/>
          <w:color w:val="auto"/>
        </w:rPr>
        <w:t>(in millions)</w:t>
      </w:r>
    </w:p>
    <w:p>
      <w:pPr>
        <w:sectPr>
          <w:pgSz w:w="11900" w:h="16838" w:orient="portrait"/>
          <w:cols w:equalWidth="0" w:num="1">
            <w:col w:w="11380"/>
          </w:cols>
          <w:pgMar w:left="280" w:top="1158" w:right="2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2018 Q3 reported</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Gain on litigation settlement, net of tax impact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Non-recurring income tax benefit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Acquisition expenses, net of tax impact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Non-cash net interest expense</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2018 Q3 adjusted</w:t>
      </w:r>
    </w:p>
    <w:p>
      <w:pPr>
        <w:spacing w:after="0" w:line="3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2019 Q3:</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5"/>
                <w:szCs w:val="15"/>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24.7</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(5.2)</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44"/>
        </w:trPr>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40" w:type="dxa"/>
            <w:vAlign w:val="bottom"/>
            <w:gridSpan w:val="3"/>
          </w:tcPr>
          <w:p>
            <w:pPr>
              <w:jc w:val="right"/>
              <w:ind w:right="60"/>
              <w:spacing w:after="0"/>
              <w:rPr>
                <w:sz w:val="20"/>
                <w:szCs w:val="20"/>
                <w:color w:val="auto"/>
              </w:rPr>
            </w:pPr>
            <w:r>
              <w:rPr>
                <w:rFonts w:ascii="Arial" w:cs="Arial" w:eastAsia="Arial" w:hAnsi="Arial"/>
                <w:sz w:val="14"/>
                <w:szCs w:val="14"/>
                <w:color w:val="auto"/>
              </w:rPr>
              <w:t>19.6</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300"/>
        </w:trPr>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U.S. Dollar Amount</w:t>
            </w:r>
          </w:p>
        </w:tc>
        <w:tc>
          <w:tcPr>
            <w:tcW w:w="100" w:type="dxa"/>
            <w:vAlign w:val="bottom"/>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8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w w:val="90"/>
              </w:rPr>
              <w:t>Percentage Change</w:t>
            </w:r>
          </w:p>
        </w:tc>
        <w:tc>
          <w:tcPr>
            <w:tcW w:w="0" w:type="dxa"/>
            <w:vAlign w:val="bottom"/>
          </w:tcPr>
          <w:p>
            <w:pPr>
              <w:spacing w:after="0"/>
              <w:rPr>
                <w:sz w:val="1"/>
                <w:szCs w:val="1"/>
                <w:color w:val="auto"/>
              </w:rPr>
            </w:pPr>
          </w:p>
        </w:tc>
      </w:tr>
      <w:tr>
        <w:trPr>
          <w:trHeight w:val="192"/>
        </w:trPr>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2">
            <w:col w:w="4860" w:space="720"/>
            <w:col w:w="5800"/>
          </w:cols>
          <w:pgMar w:left="280" w:top="1158"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8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Pr>
          <w:p>
            <w:pPr>
              <w:spacing w:after="0"/>
              <w:rPr>
                <w:sz w:val="15"/>
                <w:szCs w:val="15"/>
                <w:color w:val="auto"/>
              </w:rPr>
            </w:pPr>
          </w:p>
        </w:tc>
      </w:tr>
      <w:tr>
        <w:trPr>
          <w:trHeight w:val="270"/>
        </w:trPr>
        <w:tc>
          <w:tcPr>
            <w:tcW w:w="858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6 %</w:t>
            </w: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Consolidated operations expenses (three months ended June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4"/>
                <w:szCs w:val="24"/>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consolidated operations expenses (three months ended June 30, 2019)</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2 %</w:t>
            </w: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PSC revenues (three months ended June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spacing w:after="0"/>
              <w:rPr>
                <w:sz w:val="24"/>
                <w:szCs w:val="24"/>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revenues (three months ended June 30, 2019)</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20 %</w:t>
            </w: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June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 (three months ended June 30, 2019)</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June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92"/>
        </w:trPr>
        <w:tc>
          <w:tcPr>
            <w:tcW w:w="858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June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276"/>
        </w:trPr>
        <w:tc>
          <w:tcPr>
            <w:tcW w:w="858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44"/>
        </w:trPr>
        <w:tc>
          <w:tcPr>
            <w:tcW w:w="858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June 30, 2019)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w:t>
            </w:r>
          </w:p>
        </w:tc>
      </w:tr>
    </w:tbl>
    <w:p>
      <w:pPr>
        <w:spacing w:after="0" w:line="1" w:lineRule="exact"/>
        <w:rPr>
          <w:sz w:val="20"/>
          <w:szCs w:val="20"/>
          <w:color w:val="auto"/>
        </w:rPr>
      </w:pPr>
    </w:p>
    <w:sectPr>
      <w:pgSz w:w="11900" w:h="16838" w:orient="portrait"/>
      <w:cols w:equalWidth="0" w:num="1">
        <w:col w:w="11380"/>
      </w:cols>
      <w:pgMar w:left="280" w:top="115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2020-02-19T20:40:57Z</dcterms:created>
  <dcterms:modified xsi:type="dcterms:W3CDTF">2020-02-19T20:40:57Z</dcterms:modified>
</cp:coreProperties>
</file>