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760"/>
          </w:cols>
          <w:pgMar w:left="240" w:top="225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BRINKLEY STERLING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108 FORREST AVE.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5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the Board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366"/>
          </w:cols>
          <w:pgMar w:left="240" w:top="225" w:right="239" w:bottom="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LOCUST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11560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VALLEY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5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01/04/2007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1,044,237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2,928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1,041,309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16.63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1,040,709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21,972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1,018,737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16.59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1,018,437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2,714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16.58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1,015,723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16.56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1,015,523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486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16.55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1,015,037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16.51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1,014,837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1,014,337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16.49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1,014,037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16.48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1,013,697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16.47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1,013,197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16.46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1,013,097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2,018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16.45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1,011,079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16.42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1,010,879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1,570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1,009,309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142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16.39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1,009,167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54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16.38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1,009,113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1,503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16.36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1,007,610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1,575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16.35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1,006,035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27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16.33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1,006,008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16.32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1,005,608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773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16.31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1,004,835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5,671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999,164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2,046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16.25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997,118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2,700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16.21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994,418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727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993,691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16.18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993,391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5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35045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350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3,154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16.17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990,237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9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276,000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2.09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09/17/2004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09/17/2013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6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2003 Plan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78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total Non-Derivative Securities currently held by Reporting Person reflects the increase in the number of shares resulting from EZCORP's 3-for-1 stock split announed on November 9, 2006.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total Non-Derivative Securities reported does not include Derivative Securities currently held by Reporting Person. After the 3-for-1 stock split announced on November 9, 2006, the total Derivative Securities held by Reporting Person is 1,326,000.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were sold pursuant to the provisions of a Rule 10b(5)-1 Plan established in November 2006.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total Derivative Securities currenly held by Reporting Person includes the increase in the number of shares resulting from EZCORP's 3-for-1 stock split announced on November 9, 2006.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Laura Jones Attorney-in-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01/08/2007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9632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2020-02-02T22:52:39Z</dcterms:created>
  <dcterms:modified xsi:type="dcterms:W3CDTF">2020-02-02T22:52:39Z</dcterms:modified>
</cp:coreProperties>
</file>