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8988A572BD5E797B84DF5E127EE684AF"/>
      <w:bookmarkStart w:id="1" w:name="ezcorp-resalesx3asr.htm"/>
      <w:bookmarkStart w:id="2" w:name="ksezcorpresalesx3asr"/>
      <w:bookmarkStart w:id="3" w:name="s8988A572BD5E797B84DF5E127EE684AF"/>
      <w:bookmarkStart w:id="4" w:name="ezcorp-resalesx3asr.htm"/>
      <w:bookmarkStart w:id="5" w:name="ksezcorpresalesx3asr"/>
      <w:bookmarkEnd w:id="3"/>
      <w:bookmarkEnd w:id="4"/>
      <w:bookmarkEnd w:id="5"/>
    </w:p>
    <w:p>
      <w:pPr>
        <w:pStyle w:val="TextBody"/>
        <w:spacing w:lineRule="auto" w:line="288" w:before="0" w:after="0"/>
        <w:jc w:val="center"/>
        <w:rPr>
          <w:rFonts w:ascii="inherit" w:hAnsi="inherit"/>
          <w:b/>
          <w:sz w:val="17"/>
        </w:rPr>
      </w:pPr>
      <w:r>
        <w:rPr>
          <w:rFonts w:ascii="inherit" w:hAnsi="inherit"/>
          <w:b/>
          <w:sz w:val="17"/>
        </w:rPr>
        <w:t>As filed with the Securities and Exchange Commission on January 15, 2013</w:t>
      </w:r>
    </w:p>
    <w:p>
      <w:pPr>
        <w:pStyle w:val="TextBody"/>
        <w:spacing w:lineRule="auto" w:line="288" w:before="0" w:after="0"/>
        <w:jc w:val="right"/>
        <w:rPr>
          <w:rFonts w:ascii="inherit" w:hAnsi="inherit"/>
          <w:sz w:val="17"/>
        </w:rPr>
      </w:pPr>
      <w:r>
        <w:rPr>
          <w:rFonts w:ascii="inherit" w:hAnsi="inherit"/>
          <w:sz w:val="17"/>
        </w:rPr>
        <w:t>Registration No. 333-</w:t>
      </w:r>
    </w:p>
    <w:p>
      <w:pPr>
        <w:pStyle w:val="TextBody"/>
        <w:spacing w:lineRule="auto" w:line="288" w:before="0" w:after="0"/>
        <w:jc w:val="both"/>
        <w:rPr>
          <w:rFonts w:ascii="inherit" w:hAnsi="inherit"/>
          <w:sz w:val="17"/>
        </w:rPr>
      </w:pPr>
      <w:r>
        <w:rPr>
          <w:rFonts w:ascii="inherit" w:hAnsi="inherit"/>
          <w:sz w:val="17"/>
        </w:rPr>
      </w:r>
    </w:p>
    <w:p>
      <w:pPr>
        <w:pStyle w:val="HorizontalLine"/>
        <w:spacing w:lineRule="auto" w:line="288"/>
        <w:rPr/>
      </w:pPr>
      <w:r>
        <w:rPr/>
      </w:r>
    </w:p>
    <w:p>
      <w:pPr>
        <w:pStyle w:val="TextBody"/>
        <w:spacing w:lineRule="auto" w:line="259" w:before="0" w:after="0"/>
        <w:jc w:val="center"/>
        <w:rPr>
          <w:rFonts w:ascii="inherit" w:hAnsi="inherit"/>
          <w:b/>
          <w:sz w:val="23"/>
        </w:rPr>
      </w:pPr>
      <w:r>
        <w:rPr>
          <w:rFonts w:ascii="inherit" w:hAnsi="inherit"/>
          <w:b/>
          <w:sz w:val="23"/>
        </w:rPr>
        <w:t>UNITED STATES</w:t>
      </w:r>
    </w:p>
    <w:p>
      <w:pPr>
        <w:pStyle w:val="TextBody"/>
        <w:spacing w:lineRule="auto" w:line="259" w:before="0" w:after="0"/>
        <w:jc w:val="center"/>
        <w:rPr>
          <w:rFonts w:ascii="inherit" w:hAnsi="inherit"/>
          <w:b/>
          <w:sz w:val="23"/>
        </w:rPr>
      </w:pPr>
      <w:r>
        <w:rPr>
          <w:rFonts w:ascii="inherit" w:hAnsi="inherit"/>
          <w:b/>
          <w:sz w:val="23"/>
        </w:rPr>
        <w:t>SECURITIES AND EXCHANGE COMMISSION</w:t>
      </w:r>
    </w:p>
    <w:p>
      <w:pPr>
        <w:pStyle w:val="TextBody"/>
        <w:spacing w:lineRule="auto" w:line="259"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sz w:val="30"/>
        </w:rPr>
      </w:pPr>
      <w:r>
        <w:rPr>
          <w:rFonts w:ascii="inherit" w:hAnsi="inherit"/>
          <w:sz w:val="17"/>
        </w:rPr>
        <w:br/>
      </w:r>
      <w:r>
        <w:rPr>
          <w:rFonts w:ascii="inherit" w:hAnsi="inherit"/>
          <w:b/>
          <w:sz w:val="30"/>
        </w:rPr>
        <w:t>FORM S-3</w:t>
      </w:r>
    </w:p>
    <w:p>
      <w:pPr>
        <w:pStyle w:val="TextBody"/>
        <w:spacing w:lineRule="auto" w:line="288" w:before="0" w:after="0"/>
        <w:jc w:val="center"/>
        <w:rPr>
          <w:sz w:val="17"/>
        </w:rPr>
      </w:pPr>
      <w:r>
        <w:rPr>
          <w:rFonts w:ascii="inherit" w:hAnsi="inherit"/>
          <w:b/>
          <w:sz w:val="17"/>
        </w:rPr>
        <w:t>REGISTRATION STATEMENT</w:t>
      </w:r>
      <w:r>
        <w:rPr>
          <w:sz w:val="17"/>
        </w:rPr>
        <w:t xml:space="preserve"> </w:t>
      </w:r>
      <w:r>
        <w:rPr>
          <w:rFonts w:ascii="inherit" w:hAnsi="inherit"/>
          <w:sz w:val="17"/>
        </w:rPr>
        <w:br/>
      </w:r>
      <w:r>
        <w:rPr>
          <w:rFonts w:ascii="inherit" w:hAnsi="inherit"/>
          <w:b/>
          <w:sz w:val="17"/>
        </w:rPr>
        <w:t>UNDER THE SECURITIES ACT OF 1933</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sz w:val="40"/>
        </w:rPr>
      </w:pPr>
      <w:r>
        <w:rPr>
          <w:rFonts w:ascii="inherit" w:hAnsi="inherit"/>
          <w:sz w:val="17"/>
        </w:rPr>
        <w:br/>
      </w:r>
      <w:r>
        <w:rPr>
          <w:rFonts w:ascii="inherit" w:hAnsi="inherit"/>
          <w:b/>
          <w:sz w:val="40"/>
        </w:rPr>
        <w:t>EZCORP, INC.</w:t>
      </w:r>
      <w:r>
        <w:rPr>
          <w:sz w:val="40"/>
        </w:rPr>
        <w:t xml:space="preserve"> </w:t>
      </w:r>
      <w:r>
        <w:rPr>
          <w:rFonts w:ascii="inherit" w:hAnsi="inherit"/>
          <w:sz w:val="17"/>
        </w:rPr>
        <w:br/>
      </w:r>
      <w:r>
        <w:rPr>
          <w:rFonts w:ascii="inherit" w:hAnsi="inherit"/>
          <w:sz w:val="13"/>
        </w:rPr>
        <w:t>(Exact name of registrant as specified in its charter)</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ind w:left="0" w:right="0" w:firstLine="2160"/>
        <w:jc w:val="left"/>
        <w:rPr>
          <w:rFonts w:ascii="inherit" w:hAnsi="inherit"/>
          <w:b/>
          <w:sz w:val="17"/>
        </w:rPr>
      </w:pPr>
      <w:r>
        <w:rPr>
          <w:rFonts w:ascii="inherit" w:hAnsi="inherit"/>
          <w:b/>
          <w:sz w:val="17"/>
        </w:rPr>
        <w:t>Delaware    74-2540145</w:t>
      </w:r>
    </w:p>
    <w:p>
      <w:pPr>
        <w:pStyle w:val="TextBody"/>
        <w:spacing w:lineRule="auto" w:line="288" w:before="0" w:after="0"/>
        <w:ind w:left="0" w:right="0" w:firstLine="2160"/>
        <w:jc w:val="left"/>
        <w:rPr>
          <w:rFonts w:ascii="inherit" w:hAnsi="inherit"/>
          <w:sz w:val="13"/>
        </w:rPr>
      </w:pPr>
      <w:r>
        <w:rPr>
          <w:rFonts w:ascii="inherit" w:hAnsi="inherit"/>
          <w:sz w:val="13"/>
        </w:rPr>
        <w:t xml:space="preserve">(State or other jurisdiction of    (I.R.S. Employer </w:t>
      </w:r>
    </w:p>
    <w:p>
      <w:pPr>
        <w:pStyle w:val="TextBody"/>
        <w:spacing w:lineRule="auto" w:line="288" w:before="0" w:after="0"/>
        <w:ind w:left="0" w:right="0" w:firstLine="2160"/>
        <w:jc w:val="left"/>
        <w:rPr>
          <w:rFonts w:ascii="inherit" w:hAnsi="inherit"/>
          <w:sz w:val="13"/>
        </w:rPr>
      </w:pPr>
      <w:r>
        <w:rPr>
          <w:rFonts w:ascii="inherit" w:hAnsi="inherit"/>
          <w:sz w:val="13"/>
        </w:rPr>
        <w:t>incorporation or organization)     Identification Number)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1901 Capital Parkway</w:t>
      </w:r>
    </w:p>
    <w:p>
      <w:pPr>
        <w:pStyle w:val="TextBody"/>
        <w:spacing w:lineRule="auto" w:line="288" w:before="0" w:after="0"/>
        <w:jc w:val="center"/>
        <w:rPr>
          <w:rFonts w:ascii="inherit" w:hAnsi="inherit"/>
          <w:b/>
          <w:sz w:val="17"/>
        </w:rPr>
      </w:pPr>
      <w:r>
        <w:rPr>
          <w:rFonts w:ascii="inherit" w:hAnsi="inherit"/>
          <w:b/>
          <w:sz w:val="17"/>
        </w:rPr>
        <w:t>Austin, Texas 78746</w:t>
      </w:r>
    </w:p>
    <w:p>
      <w:pPr>
        <w:pStyle w:val="TextBody"/>
        <w:spacing w:lineRule="auto" w:line="288" w:before="0" w:after="0"/>
        <w:jc w:val="center"/>
        <w:rPr>
          <w:rFonts w:ascii="inherit" w:hAnsi="inherit"/>
          <w:b/>
          <w:sz w:val="17"/>
        </w:rPr>
      </w:pPr>
      <w:r>
        <w:rPr>
          <w:rFonts w:ascii="inherit" w:hAnsi="inherit"/>
          <w:b/>
          <w:sz w:val="17"/>
        </w:rPr>
        <w:t>(512) 314-3400</w:t>
      </w:r>
    </w:p>
    <w:p>
      <w:pPr>
        <w:pStyle w:val="TextBody"/>
        <w:spacing w:lineRule="auto" w:line="288" w:before="0" w:after="0"/>
        <w:jc w:val="center"/>
        <w:rPr>
          <w:rFonts w:ascii="inherit" w:hAnsi="inherit"/>
          <w:sz w:val="13"/>
        </w:rPr>
      </w:pPr>
      <w:r>
        <w:rPr>
          <w:rFonts w:ascii="inherit" w:hAnsi="inherit"/>
          <w:sz w:val="13"/>
        </w:rPr>
        <w:t>(Address, including zip code, and telephone number, including area code, of registrant’s principal executive offices)</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7"/>
        </w:rPr>
      </w:pPr>
      <w:r>
        <w:rPr>
          <w:rFonts w:ascii="inherit" w:hAnsi="inherit"/>
          <w:b/>
          <w:sz w:val="17"/>
        </w:rPr>
        <w:t>Thomas H. Welch, Jr.</w:t>
      </w:r>
    </w:p>
    <w:p>
      <w:pPr>
        <w:pStyle w:val="TextBody"/>
        <w:spacing w:lineRule="auto" w:line="288" w:before="0" w:after="0"/>
        <w:jc w:val="center"/>
        <w:rPr>
          <w:rFonts w:ascii="inherit" w:hAnsi="inherit"/>
          <w:b/>
          <w:sz w:val="17"/>
        </w:rPr>
      </w:pPr>
      <w:r>
        <w:rPr>
          <w:rFonts w:ascii="inherit" w:hAnsi="inherit"/>
          <w:b/>
          <w:sz w:val="17"/>
        </w:rPr>
        <w:t>Senior Vice President, General Counsel and Secretary</w:t>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1901 Capital Parkway</w:t>
      </w:r>
    </w:p>
    <w:p>
      <w:pPr>
        <w:pStyle w:val="TextBody"/>
        <w:spacing w:lineRule="auto" w:line="288" w:before="0" w:after="0"/>
        <w:jc w:val="center"/>
        <w:rPr>
          <w:rFonts w:ascii="inherit" w:hAnsi="inherit"/>
          <w:b/>
          <w:sz w:val="17"/>
        </w:rPr>
      </w:pPr>
      <w:r>
        <w:rPr>
          <w:rFonts w:ascii="inherit" w:hAnsi="inherit"/>
          <w:b/>
          <w:sz w:val="17"/>
        </w:rPr>
        <w:t>Austin, Texas 78746</w:t>
      </w:r>
    </w:p>
    <w:p>
      <w:pPr>
        <w:pStyle w:val="TextBody"/>
        <w:spacing w:lineRule="auto" w:line="288" w:before="0" w:after="0"/>
        <w:jc w:val="center"/>
        <w:rPr>
          <w:rFonts w:ascii="inherit" w:hAnsi="inherit"/>
          <w:b/>
          <w:sz w:val="17"/>
        </w:rPr>
      </w:pPr>
      <w:r>
        <w:rPr>
          <w:rFonts w:ascii="inherit" w:hAnsi="inherit"/>
          <w:b/>
          <w:sz w:val="17"/>
        </w:rPr>
        <w:t>(512) 314-3409</w:t>
      </w:r>
    </w:p>
    <w:p>
      <w:pPr>
        <w:pStyle w:val="TextBody"/>
        <w:spacing w:lineRule="auto" w:line="288" w:before="0" w:after="0"/>
        <w:jc w:val="center"/>
        <w:rPr>
          <w:rFonts w:ascii="inherit" w:hAnsi="inherit"/>
          <w:sz w:val="13"/>
        </w:rPr>
      </w:pPr>
      <w:r>
        <w:rPr>
          <w:rFonts w:ascii="inherit" w:hAnsi="inherit"/>
          <w:sz w:val="13"/>
        </w:rPr>
        <w:t>(Name, address, including zip code, and telephone number, including area code, of agent for service)</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3"/>
        </w:rPr>
      </w:pPr>
      <w:r>
        <w:rPr>
          <w:rFonts w:ascii="inherit" w:hAnsi="inherit"/>
          <w:sz w:val="13"/>
        </w:rPr>
        <w:t>Copies to:</w:t>
      </w:r>
    </w:p>
    <w:p>
      <w:pPr>
        <w:pStyle w:val="TextBody"/>
        <w:spacing w:lineRule="auto" w:line="288" w:before="0" w:after="0"/>
        <w:jc w:val="center"/>
        <w:rPr>
          <w:rFonts w:ascii="inherit" w:hAnsi="inherit"/>
          <w:b/>
          <w:sz w:val="17"/>
        </w:rPr>
      </w:pPr>
      <w:r>
        <w:rPr>
          <w:rFonts w:ascii="inherit" w:hAnsi="inherit"/>
          <w:b/>
          <w:sz w:val="17"/>
        </w:rPr>
        <w:t>Christopher G. Schmitt</w:t>
      </w:r>
    </w:p>
    <w:p>
      <w:pPr>
        <w:pStyle w:val="TextBody"/>
        <w:spacing w:lineRule="auto" w:line="288" w:before="0" w:after="0"/>
        <w:jc w:val="center"/>
        <w:rPr>
          <w:rFonts w:ascii="inherit" w:hAnsi="inherit"/>
          <w:b/>
          <w:sz w:val="17"/>
        </w:rPr>
      </w:pPr>
      <w:r>
        <w:rPr>
          <w:rFonts w:ascii="inherit" w:hAnsi="inherit"/>
          <w:b/>
          <w:sz w:val="17"/>
        </w:rPr>
        <w:t>Vinson &amp; Elkins L.L.P.</w:t>
      </w:r>
    </w:p>
    <w:p>
      <w:pPr>
        <w:pStyle w:val="TextBody"/>
        <w:spacing w:lineRule="auto" w:line="288" w:before="0" w:after="0"/>
        <w:jc w:val="center"/>
        <w:rPr>
          <w:rFonts w:ascii="inherit" w:hAnsi="inherit"/>
          <w:b/>
          <w:sz w:val="17"/>
        </w:rPr>
      </w:pPr>
      <w:r>
        <w:rPr>
          <w:rFonts w:ascii="inherit" w:hAnsi="inherit"/>
          <w:b/>
          <w:sz w:val="17"/>
        </w:rPr>
        <w:t>2001 Ross Avenue, Suite 3700</w:t>
      </w:r>
    </w:p>
    <w:p>
      <w:pPr>
        <w:pStyle w:val="TextBody"/>
        <w:spacing w:lineRule="auto" w:line="288" w:before="0" w:after="0"/>
        <w:jc w:val="center"/>
        <w:rPr>
          <w:rFonts w:ascii="inherit" w:hAnsi="inherit"/>
          <w:b/>
          <w:sz w:val="17"/>
        </w:rPr>
      </w:pPr>
      <w:r>
        <w:rPr>
          <w:rFonts w:ascii="inherit" w:hAnsi="inherit"/>
          <w:b/>
          <w:sz w:val="17"/>
        </w:rPr>
        <w:t>Dallas, Texas 75201-2975</w:t>
      </w:r>
    </w:p>
    <w:p>
      <w:pPr>
        <w:pStyle w:val="TextBody"/>
        <w:spacing w:lineRule="auto" w:line="288" w:before="0" w:after="0"/>
        <w:jc w:val="center"/>
        <w:rPr>
          <w:rFonts w:ascii="inherit" w:hAnsi="inherit"/>
          <w:b/>
          <w:sz w:val="17"/>
        </w:rPr>
      </w:pPr>
      <w:r>
        <w:rPr>
          <w:rFonts w:ascii="inherit" w:hAnsi="inherit"/>
          <w:b/>
          <w:sz w:val="17"/>
        </w:rPr>
        <w:t>(214) 220-7700</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ind w:left="0" w:right="0" w:firstLine="360"/>
        <w:jc w:val="left"/>
        <w:rPr>
          <w:sz w:val="15"/>
        </w:rPr>
      </w:pPr>
      <w:r>
        <w:rPr>
          <w:rFonts w:ascii="inherit" w:hAnsi="inherit"/>
          <w:b/>
          <w:sz w:val="15"/>
        </w:rPr>
        <w:t>Approximate date of commencement of proposed sale of the securities to the public:</w:t>
      </w:r>
      <w:r>
        <w:rPr>
          <w:sz w:val="15"/>
        </w:rPr>
        <w:t xml:space="preserve">  </w:t>
      </w:r>
      <w:r>
        <w:rPr>
          <w:rFonts w:ascii="inherit" w:hAnsi="inherit"/>
          <w:sz w:val="15"/>
        </w:rPr>
        <w:t>From time to time after the effective date of this registration statement.</w:t>
      </w:r>
    </w:p>
    <w:p>
      <w:pPr>
        <w:pStyle w:val="TextBody"/>
        <w:spacing w:lineRule="auto" w:line="288" w:before="0" w:after="0"/>
        <w:ind w:left="0" w:right="0" w:firstLine="360"/>
        <w:jc w:val="left"/>
        <w:rPr>
          <w:sz w:val="15"/>
        </w:rPr>
      </w:pPr>
      <w:r>
        <w:rPr>
          <w:rFonts w:ascii="inherit" w:hAnsi="inherit"/>
          <w:sz w:val="15"/>
        </w:rPr>
        <w:t>If the only securities being registered on this Form are being offered pursuant to dividend or interest reinvestment plans, please check the following box.  </w:t>
      </w:r>
      <w:r>
        <w:rPr>
          <w:sz w:val="15"/>
        </w:rPr>
        <w:t>☐</w:t>
      </w:r>
    </w:p>
    <w:p>
      <w:pPr>
        <w:pStyle w:val="TextBody"/>
        <w:spacing w:lineRule="auto" w:line="288" w:before="0" w:after="0"/>
        <w:ind w:left="0" w:right="0" w:firstLine="360"/>
        <w:jc w:val="left"/>
        <w:rPr>
          <w:sz w:val="15"/>
        </w:rPr>
      </w:pPr>
      <w:r>
        <w:rPr>
          <w:rFonts w:ascii="inherit" w:hAnsi="inherit"/>
          <w:sz w:val="15"/>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sz w:val="15"/>
        </w:rPr>
        <w:t>☑</w:t>
      </w:r>
    </w:p>
    <w:p>
      <w:pPr>
        <w:pStyle w:val="TextBody"/>
        <w:rPr/>
      </w:pPr>
      <w:r>
        <w:rPr/>
      </w:r>
      <w:r>
        <w:br w:type="page"/>
      </w:r>
    </w:p>
    <w:p>
      <w:pPr>
        <w:pStyle w:val="TextBody"/>
        <w:spacing w:before="0" w:after="0"/>
        <w:rPr/>
      </w:pPr>
      <w:r>
        <w:rPr/>
      </w:r>
      <w:bookmarkStart w:id="6" w:name="s8988A572BD5E797B84DF5E127EE684AF1"/>
      <w:bookmarkStart w:id="7" w:name="s8988A572BD5E797B84DF5E127EE684AF1"/>
      <w:bookmarkEnd w:id="7"/>
    </w:p>
    <w:p>
      <w:pPr>
        <w:pStyle w:val="TextBody"/>
        <w:spacing w:lineRule="auto" w:line="288" w:before="0" w:after="0"/>
        <w:ind w:left="0" w:right="0" w:firstLine="360"/>
        <w:jc w:val="left"/>
        <w:rPr>
          <w:sz w:val="15"/>
        </w:rPr>
      </w:pPr>
      <w:r>
        <w:rPr>
          <w:rFonts w:ascii="inherit" w:hAnsi="inherit"/>
          <w:sz w:val="15"/>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sz w:val="15"/>
        </w:rPr>
        <w:t>☐</w:t>
      </w:r>
    </w:p>
    <w:p>
      <w:pPr>
        <w:pStyle w:val="TextBody"/>
        <w:spacing w:lineRule="auto" w:line="288" w:before="0" w:after="0"/>
        <w:ind w:left="0" w:right="0" w:firstLine="360"/>
        <w:jc w:val="left"/>
        <w:rPr>
          <w:sz w:val="15"/>
        </w:rPr>
      </w:pPr>
      <w:r>
        <w:rPr>
          <w:rFonts w:ascii="inherit" w:hAnsi="inherit"/>
          <w:sz w:val="15"/>
        </w:rPr>
        <w:t>If this Form is a post-effective amendment filed pursuant to Rule 462(c) under the Securities Act, check the following box and list the Securities Act registration statement number of the earlier effective registration statement for the same offering.   </w:t>
      </w:r>
      <w:r>
        <w:rPr>
          <w:sz w:val="15"/>
        </w:rPr>
        <w:t>☐</w:t>
      </w:r>
    </w:p>
    <w:p>
      <w:pPr>
        <w:pStyle w:val="TextBody"/>
        <w:spacing w:lineRule="auto" w:line="288" w:before="0" w:after="0"/>
        <w:ind w:left="0" w:right="0" w:firstLine="360"/>
        <w:jc w:val="left"/>
        <w:rPr>
          <w:sz w:val="15"/>
        </w:rPr>
      </w:pPr>
      <w:r>
        <w:rPr>
          <w:rFonts w:ascii="inherit" w:hAnsi="inherit"/>
          <w:sz w:val="15"/>
        </w:rPr>
        <w:t>If this Form is a registration statement pursuant to General Instruction I.D. or a post-effective amendment thereto that shall become effective upon filing with the Commission pursuant to Rule 462(e) under the Securities Act, check the following box.  </w:t>
      </w:r>
      <w:r>
        <w:rPr>
          <w:sz w:val="15"/>
        </w:rPr>
        <w:t>☑</w:t>
      </w:r>
    </w:p>
    <w:p>
      <w:pPr>
        <w:pStyle w:val="TextBody"/>
        <w:spacing w:lineRule="auto" w:line="288" w:before="0" w:after="0"/>
        <w:ind w:left="0" w:right="0" w:firstLine="360"/>
        <w:jc w:val="left"/>
        <w:rPr>
          <w:sz w:val="15"/>
        </w:rPr>
      </w:pPr>
      <w:r>
        <w:rPr>
          <w:rFonts w:ascii="inherit" w:hAnsi="inherit"/>
          <w:sz w:val="15"/>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sz w:val="15"/>
        </w:rPr>
        <w:t>☐</w:t>
      </w:r>
    </w:p>
    <w:p>
      <w:pPr>
        <w:pStyle w:val="TextBody"/>
        <w:spacing w:lineRule="auto" w:line="288" w:before="0" w:after="0"/>
        <w:ind w:left="0" w:right="0" w:firstLine="360"/>
        <w:jc w:val="left"/>
        <w:rPr>
          <w:rFonts w:ascii="inherit" w:hAnsi="inherit"/>
          <w:sz w:val="15"/>
        </w:rPr>
      </w:pPr>
      <w:r>
        <w:rPr>
          <w:rFonts w:ascii="inherit" w:hAnsi="inherit"/>
          <w:sz w:val="15"/>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ind w:left="0" w:right="0" w:firstLine="1080"/>
        <w:jc w:val="center"/>
        <w:rPr>
          <w:sz w:val="15"/>
        </w:rPr>
      </w:pPr>
      <w:r>
        <w:rPr>
          <w:rFonts w:ascii="inherit" w:hAnsi="inherit"/>
          <w:sz w:val="15"/>
        </w:rPr>
        <w:t>Large accelerated filer     </w:t>
      </w:r>
      <w:r>
        <w:rPr>
          <w:sz w:val="15"/>
        </w:rPr>
        <w:t>☑    </w:t>
      </w:r>
      <w:r>
        <w:rPr>
          <w:rFonts w:ascii="inherit" w:hAnsi="inherit"/>
          <w:sz w:val="15"/>
        </w:rPr>
        <w:t>Accelerated filer    </w:t>
      </w:r>
      <w:r>
        <w:rPr>
          <w:sz w:val="15"/>
        </w:rPr>
        <w:t>☐</w:t>
      </w:r>
    </w:p>
    <w:p>
      <w:pPr>
        <w:pStyle w:val="TextBody"/>
        <w:spacing w:lineRule="auto" w:line="288" w:before="0" w:after="0"/>
        <w:ind w:left="0" w:right="0" w:firstLine="1080"/>
        <w:jc w:val="center"/>
        <w:rPr>
          <w:sz w:val="15"/>
        </w:rPr>
      </w:pPr>
      <w:r>
        <w:rPr>
          <w:rFonts w:ascii="inherit" w:hAnsi="inherit"/>
          <w:sz w:val="15"/>
        </w:rPr>
        <w:t>Non-accelerated filer    </w:t>
      </w:r>
      <w:r>
        <w:rPr>
          <w:sz w:val="15"/>
        </w:rPr>
        <w:t>☐    </w:t>
      </w:r>
      <w:r>
        <w:rPr>
          <w:rFonts w:ascii="inherit" w:hAnsi="inherit"/>
          <w:sz w:val="15"/>
        </w:rPr>
        <w:t>Smaller reporting company    </w:t>
      </w:r>
      <w:r>
        <w:rPr>
          <w:sz w:val="15"/>
        </w:rPr>
        <w:t>☐</w:t>
      </w:r>
    </w:p>
    <w:p>
      <w:pPr>
        <w:pStyle w:val="TextBody"/>
        <w:spacing w:lineRule="auto" w:line="288" w:before="0" w:after="0"/>
        <w:ind w:left="0" w:right="0" w:firstLine="1080"/>
        <w:jc w:val="center"/>
        <w:rPr>
          <w:rFonts w:ascii="inherit" w:hAnsi="inherit"/>
          <w:sz w:val="15"/>
        </w:rPr>
      </w:pPr>
      <w:r>
        <w:rPr>
          <w:rFonts w:ascii="inherit" w:hAnsi="inherit"/>
          <w:sz w:val="15"/>
        </w:rPr>
        <w:t>(Do not check if a smaller reporting company)</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b/>
          <w:sz w:val="15"/>
        </w:rPr>
      </w:pPr>
      <w:r>
        <w:rPr>
          <w:rFonts w:ascii="inherit" w:hAnsi="inherit"/>
          <w:b/>
          <w:sz w:val="15"/>
        </w:rPr>
        <w:t>CALCULATION OF REGISTRATION FEE</w:t>
      </w:r>
    </w:p>
    <w:tbl>
      <w:tblPr>
        <w:tblW w:w="10205" w:type="dxa"/>
        <w:jc w:val="left"/>
        <w:tblInd w:w="0" w:type="dxa"/>
        <w:tblCellMar>
          <w:top w:w="0" w:type="dxa"/>
          <w:left w:w="0" w:type="dxa"/>
          <w:bottom w:w="0" w:type="dxa"/>
          <w:right w:w="0" w:type="dxa"/>
        </w:tblCellMar>
      </w:tblPr>
      <w:tblGrid>
        <w:gridCol w:w="2954"/>
        <w:gridCol w:w="1749"/>
        <w:gridCol w:w="1699"/>
        <w:gridCol w:w="1890"/>
        <w:gridCol w:w="1913"/>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2954"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54"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120"/>
              <w:jc w:val="center"/>
              <w:rPr>
                <w:rFonts w:ascii="inherit" w:hAnsi="inherit"/>
                <w:b/>
                <w:sz w:val="13"/>
              </w:rPr>
            </w:pPr>
            <w:r>
              <w:rPr>
                <w:rFonts w:ascii="inherit" w:hAnsi="inherit"/>
                <w:b/>
                <w:sz w:val="13"/>
              </w:rPr>
              <w:t xml:space="preserve">Title of Each Class of </w:t>
              <w:br/>
              <w:t>Securities to be Registered</w:t>
            </w:r>
          </w:p>
        </w:tc>
        <w:tc>
          <w:tcPr>
            <w:tcW w:w="1749"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120"/>
              <w:jc w:val="center"/>
              <w:rPr>
                <w:sz w:val="13"/>
              </w:rPr>
            </w:pPr>
            <w:r>
              <w:rPr>
                <w:rFonts w:ascii="inherit" w:hAnsi="inherit"/>
                <w:b/>
                <w:sz w:val="13"/>
              </w:rPr>
              <w:t xml:space="preserve">Amount to be </w:t>
              <w:br/>
              <w:t xml:space="preserve">Registered </w:t>
            </w:r>
            <w:r>
              <w:rPr>
                <w:rFonts w:ascii="inherit" w:hAnsi="inherit"/>
                <w:b/>
                <w:sz w:val="8"/>
              </w:rPr>
              <w:t>(1)</w:t>
            </w:r>
          </w:p>
        </w:tc>
        <w:tc>
          <w:tcPr>
            <w:tcW w:w="1699"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120"/>
              <w:jc w:val="center"/>
              <w:rPr>
                <w:sz w:val="13"/>
              </w:rPr>
            </w:pPr>
            <w:r>
              <w:rPr>
                <w:rFonts w:ascii="inherit" w:hAnsi="inherit"/>
                <w:b/>
                <w:sz w:val="13"/>
              </w:rPr>
              <w:t xml:space="preserve">Proposed Maximum </w:t>
              <w:br/>
              <w:t xml:space="preserve">Offering Price </w:t>
              <w:br/>
              <w:t xml:space="preserve">per Share </w:t>
            </w:r>
            <w:r>
              <w:rPr>
                <w:rFonts w:ascii="inherit" w:hAnsi="inherit"/>
                <w:b/>
                <w:sz w:val="8"/>
              </w:rPr>
              <w:t>(2)</w:t>
            </w:r>
          </w:p>
        </w:tc>
        <w:tc>
          <w:tcPr>
            <w:tcW w:w="1890"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30"/>
              <w:jc w:val="center"/>
              <w:rPr>
                <w:sz w:val="13"/>
              </w:rPr>
            </w:pPr>
            <w:r>
              <w:rPr>
                <w:rFonts w:ascii="inherit" w:hAnsi="inherit"/>
                <w:b/>
                <w:sz w:val="13"/>
              </w:rPr>
              <w:t xml:space="preserve">Proposed Maximum Aggregate Offering Price </w:t>
            </w:r>
            <w:r>
              <w:rPr>
                <w:rFonts w:ascii="inherit" w:hAnsi="inherit"/>
                <w:b/>
                <w:sz w:val="8"/>
              </w:rPr>
              <w:t>(2)</w:t>
            </w:r>
          </w:p>
        </w:tc>
        <w:tc>
          <w:tcPr>
            <w:tcW w:w="1913" w:type="dxa"/>
            <w:tcBorders>
              <w:top w:val="double" w:sz="6" w:space="0" w:color="000000"/>
              <w:bottom w:val="single" w:sz="2" w:space="0" w:color="000000"/>
              <w:right w:val="single" w:sz="2" w:space="0" w:color="000000"/>
            </w:tcBorders>
            <w:shd w:fill="auto" w:val="clear"/>
            <w:tcMar>
              <w:top w:w="30" w:type="dxa"/>
              <w:bottom w:w="30" w:type="dxa"/>
              <w:right w:w="12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Amount of </w:t>
              <w:br/>
              <w:t>Registration fee</w:t>
            </w:r>
          </w:p>
        </w:tc>
      </w:tr>
      <w:tr>
        <w:trPr/>
        <w:tc>
          <w:tcPr>
            <w:tcW w:w="2954"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$0.01 per share</w:t>
            </w:r>
          </w:p>
        </w:tc>
        <w:tc>
          <w:tcPr>
            <w:tcW w:w="1749"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120"/>
              <w:jc w:val="center"/>
              <w:rPr>
                <w:rFonts w:ascii="inherit" w:hAnsi="inherit"/>
                <w:b/>
                <w:sz w:val="13"/>
              </w:rPr>
            </w:pPr>
            <w:r>
              <w:rPr>
                <w:rFonts w:ascii="inherit" w:hAnsi="inherit"/>
                <w:b/>
                <w:sz w:val="13"/>
              </w:rPr>
              <w:t>1,400,198</w:t>
            </w:r>
          </w:p>
        </w:tc>
        <w:tc>
          <w:tcPr>
            <w:tcW w:w="1699"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$20.19</w:t>
            </w:r>
          </w:p>
        </w:tc>
        <w:tc>
          <w:tcPr>
            <w:tcW w:w="1890"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$28,269,998</w:t>
            </w:r>
          </w:p>
        </w:tc>
        <w:tc>
          <w:tcPr>
            <w:tcW w:w="1913"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$3,856</w:t>
            </w:r>
          </w:p>
        </w:tc>
      </w:tr>
    </w:tbl>
    <w:p>
      <w:pPr>
        <w:pStyle w:val="TextBody"/>
        <w:spacing w:lineRule="auto" w:line="288" w:before="0" w:after="0"/>
        <w:ind w:left="0" w:right="0" w:hanging="540"/>
        <w:jc w:val="left"/>
        <w:rPr>
          <w:rFonts w:ascii="inherit" w:hAnsi="inherit"/>
          <w:sz w:val="13"/>
        </w:rPr>
      </w:pPr>
      <w:r>
        <w:rPr>
          <w:rFonts w:ascii="inherit" w:hAnsi="inherit"/>
          <w:sz w:val="13"/>
        </w:rPr>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(1)</w:t>
            </w:r>
          </w:p>
        </w:tc>
        <w:tc>
          <w:tcPr>
            <w:tcW w:w="10007"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Pursuant to Rule 416 under the Securities Act of 1933 (the “Securities Act”), there is also being registered hereunder such number of additional shares of Class A Non-Voting Common Stock of the registrant as may be issued to the selling stockholders because of any future stock dividends, stock distributions, stock splits or other similar transactions and such lesser amount of shares of Class A Non-Voting Common Stock of the registrant as may be issued to the selling stockholders because of any reverse stock split, stock combination or other similar transaction.</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(2)</w:t>
            </w:r>
          </w:p>
        </w:tc>
        <w:tc>
          <w:tcPr>
            <w:tcW w:w="9995"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Estimated solely for the purpose of calculating the registration fee in accordance with Rule 457(c) promulgated under the Securities Act, based on the average of the high and low prices of the registrant’s Class A Non-Voting Common Stock reported by the NASDAQ Global Select Market on January 8, 2013.</w:t>
            </w:r>
          </w:p>
        </w:tc>
      </w:tr>
    </w:tbl>
    <w:p>
      <w:pPr>
        <w:pStyle w:val="TextBody"/>
        <w:rPr/>
      </w:pPr>
      <w:r>
        <w:rPr/>
      </w:r>
      <w:r>
        <w:br w:type="page"/>
      </w:r>
    </w:p>
    <w:p>
      <w:pPr>
        <w:pStyle w:val="TextBody"/>
        <w:spacing w:before="0" w:after="0"/>
        <w:rPr/>
      </w:pPr>
      <w:r>
        <w:rPr/>
      </w:r>
      <w:bookmarkStart w:id="8" w:name="s74900E74B0DAE103E0ED5E127F070D46"/>
      <w:bookmarkStart w:id="9" w:name="s74900E74B0DAE103E0ED5E127F070D46"/>
      <w:bookmarkEnd w:id="9"/>
    </w:p>
    <w:p>
      <w:pPr>
        <w:pStyle w:val="TextBody"/>
        <w:spacing w:lineRule="auto" w:line="288" w:before="0" w:after="0"/>
        <w:jc w:val="left"/>
        <w:rPr>
          <w:rFonts w:ascii="inherit" w:hAnsi="inherit"/>
          <w:b/>
          <w:sz w:val="17"/>
        </w:rPr>
      </w:pPr>
      <w:r>
        <w:rPr>
          <w:rFonts w:ascii="inherit" w:hAnsi="inherit"/>
          <w:b/>
          <w:sz w:val="17"/>
        </w:rPr>
        <w:t>PROSPECTUS</w:t>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rFonts w:ascii="inherit" w:hAnsi="inherit"/>
          <w:b/>
          <w:sz w:val="17"/>
        </w:rPr>
      </w:pPr>
      <w:r>
        <w:rPr>
          <w:rFonts w:ascii="inherit" w:hAnsi="inherit"/>
          <w:b/>
          <w:sz w:val="17"/>
        </w:rPr>
        <w:t>1,400,198 Shares of Class A Non-Voting Common Stock</w:t>
      </w:r>
    </w:p>
    <w:p>
      <w:pPr>
        <w:pStyle w:val="TextBody"/>
        <w:spacing w:lineRule="auto" w:line="288" w:before="0" w:after="0"/>
        <w:ind w:left="0" w:right="0" w:firstLine="720"/>
        <w:jc w:val="left"/>
        <w:rPr>
          <w:sz w:val="17"/>
        </w:rPr>
      </w:pPr>
      <w:r>
        <w:rPr>
          <w:rFonts w:ascii="inherit" w:hAnsi="inherit"/>
          <w:sz w:val="17"/>
        </w:rPr>
        <w:t>This prospectus relates to 1,400,198 shares of our Class A Non-Voting Common Stock, which may be sold from time to time by the selling stockholders named herein.</w:t>
      </w:r>
      <w:r>
        <w:rPr>
          <w:sz w:val="17"/>
        </w:rPr>
        <w:t xml:space="preserve"> </w:t>
      </w:r>
      <w:r>
        <w:rPr>
          <w:rFonts w:ascii="inherit" w:hAnsi="inherit"/>
          <w:sz w:val="17"/>
        </w:rPr>
        <w:t xml:space="preserve">The shares of our Class A Non-Voting Common Stock offered under this prospectus were issued to the selling stockholders by us in connection with our acquisition of the assets of Go Cash, LLC and certain of its affiliates. </w:t>
      </w:r>
    </w:p>
    <w:p>
      <w:pPr>
        <w:pStyle w:val="TextBody"/>
        <w:spacing w:lineRule="auto" w:line="288" w:before="0" w:after="0"/>
        <w:ind w:left="0" w:right="0" w:firstLine="720"/>
        <w:jc w:val="left"/>
        <w:rPr>
          <w:rFonts w:ascii="inherit" w:hAnsi="inherit"/>
          <w:sz w:val="17"/>
        </w:rPr>
      </w:pPr>
      <w:r>
        <w:rPr>
          <w:rFonts w:ascii="inherit" w:hAnsi="inherit"/>
          <w:sz w:val="17"/>
        </w:rPr>
        <w:t xml:space="preserve">The selling stockholders may sell none, some or all of the shares offered by this prospectus. We cannot predict when or in what amount the selling stockholders may sell any of the shares offered by this prospectus. The selling stockholders may sell the shares of our Class A Non-Voting Common Stock offered by this prospectus at market prices prevailing at the time of sale, at prices related to such prevailing market prices, at negotiated prices or at fixed prices that may be changed. Such sales may occur in the open market, in negotiated transactions or in a combination of these methods. </w:t>
      </w:r>
    </w:p>
    <w:p>
      <w:pPr>
        <w:pStyle w:val="TextBody"/>
        <w:spacing w:lineRule="auto" w:line="288" w:before="0" w:after="0"/>
        <w:ind w:left="0" w:right="0" w:firstLine="720"/>
        <w:jc w:val="left"/>
        <w:rPr>
          <w:rFonts w:ascii="inherit" w:hAnsi="inherit"/>
          <w:sz w:val="17"/>
        </w:rPr>
      </w:pPr>
      <w:r>
        <w:rPr>
          <w:rFonts w:ascii="inherit" w:hAnsi="inherit"/>
          <w:sz w:val="17"/>
        </w:rPr>
        <w:t xml:space="preserve">We are not selling any securities under this prospectus and will not receive any of the proceeds from the sale of the shares covered by this prospectus. </w:t>
      </w:r>
    </w:p>
    <w:p>
      <w:pPr>
        <w:pStyle w:val="TextBody"/>
        <w:spacing w:lineRule="auto" w:line="288" w:before="0" w:after="0"/>
        <w:ind w:left="0" w:right="0" w:firstLine="720"/>
        <w:jc w:val="left"/>
        <w:rPr>
          <w:rFonts w:ascii="inherit" w:hAnsi="inherit"/>
          <w:sz w:val="17"/>
        </w:rPr>
      </w:pPr>
      <w:r>
        <w:rPr>
          <w:rFonts w:ascii="inherit" w:hAnsi="inherit"/>
          <w:sz w:val="17"/>
        </w:rPr>
        <w:t>Our Class A Non-Voting Common Stock is traded on the NASDAQ Global Select Market under the symbol “EZPW.” On January 14, 2013, the last reported sale price of our Class A Non-Voting Common Stock was $20.66 per share.</w:t>
      </w:r>
    </w:p>
    <w:p>
      <w:pPr>
        <w:pStyle w:val="TextBody"/>
        <w:spacing w:lineRule="auto" w:line="288" w:before="0" w:after="0"/>
        <w:ind w:left="0" w:right="0" w:firstLine="720"/>
        <w:jc w:val="left"/>
        <w:rPr>
          <w:rFonts w:ascii="inherit" w:hAnsi="inherit"/>
          <w:b/>
          <w:sz w:val="17"/>
        </w:rPr>
      </w:pPr>
      <w:r>
        <w:rPr>
          <w:rFonts w:ascii="inherit" w:hAnsi="inherit"/>
          <w:b/>
          <w:sz w:val="17"/>
        </w:rPr>
        <w:t>Investing in our Class A Non-Voting Common Stock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1.</w:t>
      </w:r>
    </w:p>
    <w:p>
      <w:pPr>
        <w:pStyle w:val="TextBody"/>
        <w:spacing w:lineRule="auto" w:line="288" w:before="0" w:after="0"/>
        <w:ind w:left="0" w:right="0" w:firstLine="720"/>
        <w:jc w:val="left"/>
        <w:rPr>
          <w:rFonts w:ascii="inherit" w:hAnsi="inherit"/>
          <w:b/>
          <w:sz w:val="17"/>
        </w:rPr>
      </w:pPr>
      <w:r>
        <w:rPr>
          <w:rFonts w:ascii="inherit" w:hAnsi="inherit"/>
          <w:b/>
          <w:sz w:val="17"/>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lineRule="auto" w:line="288" w:before="0" w:after="0"/>
        <w:jc w:val="center"/>
        <w:rPr>
          <w:rFonts w:ascii="inherit" w:hAnsi="inherit"/>
          <w:sz w:val="17"/>
        </w:rPr>
      </w:pPr>
      <w:r>
        <w:rPr>
          <w:rFonts w:ascii="inherit" w:hAnsi="inherit"/>
          <w:sz w:val="17"/>
        </w:rPr>
        <w:t>The date of this prospectus is January 15, 2013.</w:t>
      </w:r>
    </w:p>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10" w:name="s3B030B3E113960886ADF5E127F39DC09"/>
      <w:bookmarkStart w:id="11" w:name="s3B030B3E113960886ADF5E127F39DC09"/>
      <w:bookmarkEnd w:id="11"/>
    </w:p>
    <w:p>
      <w:pPr>
        <w:pStyle w:val="TextBody"/>
        <w:spacing w:lineRule="auto" w:line="288" w:before="0" w:after="0"/>
        <w:jc w:val="center"/>
        <w:rPr>
          <w:rFonts w:ascii="inherit" w:hAnsi="inherit"/>
          <w:b/>
          <w:sz w:val="17"/>
        </w:rPr>
      </w:pPr>
      <w:r>
        <w:rPr>
          <w:rFonts w:ascii="inherit" w:hAnsi="inherit"/>
          <w:b/>
          <w:sz w:val="17"/>
        </w:rPr>
        <w:t>TABLE OF CONTENTS</w:t>
      </w:r>
    </w:p>
    <w:tbl>
      <w:tblPr>
        <w:tblW w:w="6816" w:type="dxa"/>
        <w:jc w:val="center"/>
        <w:tblInd w:w="0" w:type="dxa"/>
        <w:tblCellMar>
          <w:top w:w="0" w:type="dxa"/>
          <w:left w:w="0" w:type="dxa"/>
          <w:bottom w:w="0" w:type="dxa"/>
          <w:right w:w="0" w:type="dxa"/>
        </w:tblCellMar>
      </w:tblPr>
      <w:tblGrid>
        <w:gridCol w:w="6203"/>
        <w:gridCol w:w="613"/>
      </w:tblGrid>
      <w:tr>
        <w:trPr/>
        <w:tc>
          <w:tcPr>
            <w:tcW w:w="6816" w:type="dxa"/>
            <w:gridSpan w:val="2"/>
            <w:tcBorders/>
            <w:shd w:fill="auto" w:val="clear"/>
            <w:vAlign w:val="center"/>
          </w:tcPr>
          <w:p>
            <w:pPr>
              <w:pStyle w:val="TableContents"/>
              <w:spacing w:before="0" w:after="283"/>
              <w:rPr>
                <w:sz w:val="4"/>
                <w:szCs w:val="4"/>
              </w:rPr>
            </w:pPr>
            <w:r>
              <w:rPr>
                <w:sz w:val="4"/>
                <w:szCs w:val="4"/>
              </w:rPr>
            </w:r>
          </w:p>
        </w:tc>
      </w:tr>
      <w:tr>
        <w:trPr/>
        <w:tc>
          <w:tcPr>
            <w:tcW w:w="6203"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3" w:type="dxa"/>
            <w:tcBorders/>
            <w:shd w:fill="auto" w:val="clear"/>
            <w:vAlign w:val="center"/>
          </w:tcPr>
          <w:p>
            <w:pPr>
              <w:pStyle w:val="TableContents"/>
              <w:spacing w:before="0" w:after="0"/>
              <w:ind w:left="0" w:right="0" w:firstLine="30"/>
              <w:rPr/>
            </w:pPr>
            <w:hyperlink w:anchor="sB2B9402114FBD787C48F5E127F5A7A1E">
              <w:r>
                <w:rPr>
                  <w:rStyle w:val="InternetLink"/>
                  <w:rFonts w:ascii="inherit" w:hAnsi="inherit"/>
                  <w:color w:val="0000FF"/>
                  <w:sz w:val="17"/>
                  <w:u w:val="single"/>
                </w:rPr>
                <w:t>ABOUT EZCORP, INC.</w:t>
              </w:r>
            </w:hyperlink>
          </w:p>
        </w:tc>
        <w:tc>
          <w:tcPr>
            <w:tcW w:w="613" w:type="dxa"/>
            <w:tcBorders/>
            <w:shd w:fill="auto" w:val="clear"/>
            <w:vAlign w:val="center"/>
          </w:tcPr>
          <w:p>
            <w:pPr>
              <w:pStyle w:val="TableContents"/>
              <w:spacing w:before="0" w:after="0"/>
              <w:ind w:left="0" w:right="0" w:firstLine="30"/>
              <w:rPr/>
            </w:pPr>
            <w:hyperlink w:anchor="sB2B9402114FBD787C48F5E127F5A7A1E">
              <w:r>
                <w:rPr>
                  <w:rStyle w:val="InternetLink"/>
                  <w:rFonts w:ascii="Times New Roman" w:hAnsi="Times New Roman"/>
                  <w:color w:val="0000FF"/>
                  <w:sz w:val="17"/>
                  <w:u w:val="single"/>
                </w:rPr>
                <w:t>1</w:t>
              </w:r>
            </w:hyperlink>
          </w:p>
        </w:tc>
      </w:tr>
      <w:tr>
        <w:trPr/>
        <w:tc>
          <w:tcPr>
            <w:tcW w:w="6203" w:type="dxa"/>
            <w:tcBorders/>
            <w:shd w:fill="auto" w:val="clear"/>
            <w:vAlign w:val="center"/>
          </w:tcPr>
          <w:p>
            <w:pPr>
              <w:pStyle w:val="TableContents"/>
              <w:spacing w:before="0" w:after="0"/>
              <w:ind w:left="0" w:right="0" w:firstLine="30"/>
              <w:rPr/>
            </w:pPr>
            <w:hyperlink w:anchor="sC3ACB5A8A4695065A2F05E127F8D7013">
              <w:r>
                <w:rPr>
                  <w:rStyle w:val="InternetLink"/>
                  <w:rFonts w:ascii="inherit" w:hAnsi="inherit"/>
                  <w:color w:val="0000FF"/>
                  <w:sz w:val="17"/>
                  <w:u w:val="single"/>
                </w:rPr>
                <w:t>RISK FACTORS</w:t>
              </w:r>
            </w:hyperlink>
          </w:p>
        </w:tc>
        <w:tc>
          <w:tcPr>
            <w:tcW w:w="613" w:type="dxa"/>
            <w:tcBorders/>
            <w:shd w:fill="auto" w:val="clear"/>
            <w:vAlign w:val="center"/>
          </w:tcPr>
          <w:p>
            <w:pPr>
              <w:pStyle w:val="TableContents"/>
              <w:spacing w:before="0" w:after="0"/>
              <w:ind w:left="0" w:right="0" w:firstLine="30"/>
              <w:rPr/>
            </w:pPr>
            <w:hyperlink w:anchor="sC3ACB5A8A4695065A2F05E127F8D7013">
              <w:r>
                <w:rPr>
                  <w:rStyle w:val="InternetLink"/>
                  <w:rFonts w:ascii="Times New Roman" w:hAnsi="Times New Roman"/>
                  <w:color w:val="0000FF"/>
                  <w:sz w:val="17"/>
                  <w:u w:val="single"/>
                </w:rPr>
                <w:t>1</w:t>
              </w:r>
            </w:hyperlink>
          </w:p>
        </w:tc>
      </w:tr>
      <w:tr>
        <w:trPr/>
        <w:tc>
          <w:tcPr>
            <w:tcW w:w="6203" w:type="dxa"/>
            <w:tcBorders/>
            <w:shd w:fill="auto" w:val="clear"/>
            <w:vAlign w:val="center"/>
          </w:tcPr>
          <w:p>
            <w:pPr>
              <w:pStyle w:val="TableContents"/>
              <w:spacing w:before="0" w:after="0"/>
              <w:ind w:left="0" w:right="0" w:firstLine="30"/>
              <w:rPr/>
            </w:pPr>
            <w:hyperlink w:anchor="s29DA47BE0E88186B03505E127FAD8D28">
              <w:r>
                <w:rPr>
                  <w:rStyle w:val="InternetLink"/>
                  <w:rFonts w:ascii="inherit" w:hAnsi="inherit"/>
                  <w:color w:val="0000FF"/>
                  <w:sz w:val="17"/>
                  <w:u w:val="single"/>
                </w:rPr>
                <w:t>CAUTIONARY STATEMENT REGARDING FORWARD-LOOKING STATEMENTS</w:t>
              </w:r>
            </w:hyperlink>
          </w:p>
        </w:tc>
        <w:tc>
          <w:tcPr>
            <w:tcW w:w="613" w:type="dxa"/>
            <w:tcBorders/>
            <w:shd w:fill="auto" w:val="clear"/>
            <w:vAlign w:val="center"/>
          </w:tcPr>
          <w:p>
            <w:pPr>
              <w:pStyle w:val="TableContents"/>
              <w:spacing w:before="0" w:after="0"/>
              <w:ind w:left="0" w:right="0" w:firstLine="30"/>
              <w:rPr/>
            </w:pPr>
            <w:hyperlink w:anchor="s29DA47BE0E88186B03505E127FAD8D28">
              <w:r>
                <w:rPr>
                  <w:rStyle w:val="InternetLink"/>
                  <w:rFonts w:ascii="Times New Roman" w:hAnsi="Times New Roman"/>
                  <w:color w:val="0000FF"/>
                  <w:sz w:val="17"/>
                  <w:u w:val="single"/>
                </w:rPr>
                <w:t>1</w:t>
              </w:r>
            </w:hyperlink>
          </w:p>
        </w:tc>
      </w:tr>
      <w:tr>
        <w:trPr/>
        <w:tc>
          <w:tcPr>
            <w:tcW w:w="6203" w:type="dxa"/>
            <w:tcBorders/>
            <w:shd w:fill="auto" w:val="clear"/>
            <w:vAlign w:val="center"/>
          </w:tcPr>
          <w:p>
            <w:pPr>
              <w:pStyle w:val="TableContents"/>
              <w:spacing w:before="0" w:after="0"/>
              <w:ind w:left="0" w:right="0" w:firstLine="30"/>
              <w:rPr/>
            </w:pPr>
            <w:hyperlink w:anchor="s1FA46A72075C9385E8EB5E127FE021D9">
              <w:r>
                <w:rPr>
                  <w:rStyle w:val="InternetLink"/>
                  <w:rFonts w:ascii="inherit" w:hAnsi="inherit"/>
                  <w:color w:val="0000FF"/>
                  <w:sz w:val="17"/>
                  <w:u w:val="single"/>
                </w:rPr>
                <w:t>USE OF PROCEEDS</w:t>
              </w:r>
            </w:hyperlink>
          </w:p>
        </w:tc>
        <w:tc>
          <w:tcPr>
            <w:tcW w:w="613" w:type="dxa"/>
            <w:tcBorders/>
            <w:shd w:fill="auto" w:val="clear"/>
            <w:vAlign w:val="center"/>
          </w:tcPr>
          <w:p>
            <w:pPr>
              <w:pStyle w:val="TableContents"/>
              <w:spacing w:before="0" w:after="0"/>
              <w:ind w:left="0" w:right="0" w:firstLine="30"/>
              <w:rPr/>
            </w:pPr>
            <w:hyperlink w:anchor="s1FA46A72075C9385E8EB5E127FE021D9">
              <w:r>
                <w:rPr>
                  <w:rStyle w:val="InternetLink"/>
                  <w:rFonts w:ascii="Times New Roman" w:hAnsi="Times New Roman"/>
                  <w:color w:val="0000FF"/>
                  <w:sz w:val="17"/>
                  <w:u w:val="single"/>
                </w:rPr>
                <w:t>3</w:t>
              </w:r>
            </w:hyperlink>
          </w:p>
        </w:tc>
      </w:tr>
      <w:tr>
        <w:trPr/>
        <w:tc>
          <w:tcPr>
            <w:tcW w:w="6203" w:type="dxa"/>
            <w:tcBorders/>
            <w:shd w:fill="auto" w:val="clear"/>
            <w:vAlign w:val="center"/>
          </w:tcPr>
          <w:p>
            <w:pPr>
              <w:pStyle w:val="TableContents"/>
              <w:spacing w:before="0" w:after="0"/>
              <w:ind w:left="0" w:right="0" w:firstLine="30"/>
              <w:rPr/>
            </w:pPr>
            <w:hyperlink w:anchor="s453D62861DCFAC7E1F855E1280010661">
              <w:r>
                <w:rPr>
                  <w:rStyle w:val="InternetLink"/>
                  <w:rFonts w:ascii="inherit" w:hAnsi="inherit"/>
                  <w:color w:val="0000FF"/>
                  <w:sz w:val="17"/>
                  <w:u w:val="single"/>
                </w:rPr>
                <w:t>SELLING STOCKHOLDERS</w:t>
              </w:r>
            </w:hyperlink>
          </w:p>
        </w:tc>
        <w:tc>
          <w:tcPr>
            <w:tcW w:w="613" w:type="dxa"/>
            <w:tcBorders/>
            <w:shd w:fill="auto" w:val="clear"/>
            <w:vAlign w:val="center"/>
          </w:tcPr>
          <w:p>
            <w:pPr>
              <w:pStyle w:val="TableContents"/>
              <w:spacing w:before="0" w:after="0"/>
              <w:ind w:left="0" w:right="0" w:firstLine="30"/>
              <w:rPr/>
            </w:pPr>
            <w:hyperlink w:anchor="s453D62861DCFAC7E1F855E1280010661">
              <w:r>
                <w:rPr>
                  <w:rStyle w:val="InternetLink"/>
                  <w:rFonts w:ascii="Times New Roman" w:hAnsi="Times New Roman"/>
                  <w:color w:val="0000FF"/>
                  <w:sz w:val="17"/>
                  <w:u w:val="single"/>
                </w:rPr>
                <w:t>3</w:t>
              </w:r>
            </w:hyperlink>
          </w:p>
        </w:tc>
      </w:tr>
      <w:tr>
        <w:trPr/>
        <w:tc>
          <w:tcPr>
            <w:tcW w:w="6203" w:type="dxa"/>
            <w:tcBorders/>
            <w:shd w:fill="auto" w:val="clear"/>
            <w:vAlign w:val="center"/>
          </w:tcPr>
          <w:p>
            <w:pPr>
              <w:pStyle w:val="TableContents"/>
              <w:spacing w:before="0" w:after="0"/>
              <w:ind w:left="0" w:right="0" w:firstLine="30"/>
              <w:rPr/>
            </w:pPr>
            <w:hyperlink w:anchor="s79C78B948350251F6C215E1280324145">
              <w:r>
                <w:rPr>
                  <w:rStyle w:val="InternetLink"/>
                  <w:rFonts w:ascii="inherit" w:hAnsi="inherit"/>
                  <w:color w:val="0000FF"/>
                  <w:sz w:val="17"/>
                  <w:u w:val="single"/>
                </w:rPr>
                <w:t>PLAN OF DISTRIBUTION</w:t>
              </w:r>
            </w:hyperlink>
          </w:p>
        </w:tc>
        <w:tc>
          <w:tcPr>
            <w:tcW w:w="613" w:type="dxa"/>
            <w:tcBorders/>
            <w:shd w:fill="auto" w:val="clear"/>
            <w:vAlign w:val="center"/>
          </w:tcPr>
          <w:p>
            <w:pPr>
              <w:pStyle w:val="TableContents"/>
              <w:spacing w:before="0" w:after="0"/>
              <w:ind w:left="0" w:right="0" w:firstLine="30"/>
              <w:rPr/>
            </w:pPr>
            <w:hyperlink w:anchor="s79C78B948350251F6C215E1280324145">
              <w:r>
                <w:rPr>
                  <w:rStyle w:val="InternetLink"/>
                  <w:rFonts w:ascii="Times New Roman" w:hAnsi="Times New Roman"/>
                  <w:color w:val="0000FF"/>
                  <w:sz w:val="17"/>
                  <w:u w:val="single"/>
                </w:rPr>
                <w:t>4</w:t>
              </w:r>
            </w:hyperlink>
          </w:p>
        </w:tc>
      </w:tr>
      <w:tr>
        <w:trPr/>
        <w:tc>
          <w:tcPr>
            <w:tcW w:w="6203" w:type="dxa"/>
            <w:tcBorders/>
            <w:shd w:fill="auto" w:val="clear"/>
            <w:vAlign w:val="center"/>
          </w:tcPr>
          <w:p>
            <w:pPr>
              <w:pStyle w:val="TableContents"/>
              <w:spacing w:before="0" w:after="0"/>
              <w:ind w:left="0" w:right="0" w:firstLine="30"/>
              <w:rPr/>
            </w:pPr>
            <w:hyperlink w:anchor="s36611E25ADE2166152E55E1280545CA1">
              <w:r>
                <w:rPr>
                  <w:rStyle w:val="InternetLink"/>
                  <w:rFonts w:ascii="inherit" w:hAnsi="inherit"/>
                  <w:color w:val="0000FF"/>
                  <w:sz w:val="17"/>
                  <w:u w:val="single"/>
                </w:rPr>
                <w:t>LEGAL MATTERS</w:t>
              </w:r>
            </w:hyperlink>
          </w:p>
        </w:tc>
        <w:tc>
          <w:tcPr>
            <w:tcW w:w="613" w:type="dxa"/>
            <w:tcBorders/>
            <w:shd w:fill="auto" w:val="clear"/>
            <w:vAlign w:val="center"/>
          </w:tcPr>
          <w:p>
            <w:pPr>
              <w:pStyle w:val="TableContents"/>
              <w:spacing w:before="0" w:after="0"/>
              <w:ind w:left="0" w:right="0" w:firstLine="30"/>
              <w:rPr/>
            </w:pPr>
            <w:hyperlink w:anchor="s36611E25ADE2166152E55E1280545CA1">
              <w:r>
                <w:rPr>
                  <w:rStyle w:val="InternetLink"/>
                  <w:rFonts w:ascii="Times New Roman" w:hAnsi="Times New Roman"/>
                  <w:color w:val="0000FF"/>
                  <w:sz w:val="17"/>
                  <w:u w:val="single"/>
                </w:rPr>
                <w:t>7</w:t>
              </w:r>
            </w:hyperlink>
          </w:p>
        </w:tc>
      </w:tr>
      <w:tr>
        <w:trPr/>
        <w:tc>
          <w:tcPr>
            <w:tcW w:w="6203" w:type="dxa"/>
            <w:tcBorders/>
            <w:shd w:fill="auto" w:val="clear"/>
            <w:vAlign w:val="center"/>
          </w:tcPr>
          <w:p>
            <w:pPr>
              <w:pStyle w:val="TableContents"/>
              <w:spacing w:before="0" w:after="0"/>
              <w:ind w:left="0" w:right="0" w:firstLine="30"/>
              <w:rPr/>
            </w:pPr>
            <w:hyperlink w:anchor="sF5D4F1A576C73EBF6D815E128086F94A">
              <w:r>
                <w:rPr>
                  <w:rStyle w:val="InternetLink"/>
                  <w:rFonts w:ascii="inherit" w:hAnsi="inherit"/>
                  <w:color w:val="0000FF"/>
                  <w:sz w:val="17"/>
                  <w:u w:val="single"/>
                </w:rPr>
                <w:t>EXPERTS</w:t>
              </w:r>
            </w:hyperlink>
          </w:p>
        </w:tc>
        <w:tc>
          <w:tcPr>
            <w:tcW w:w="613" w:type="dxa"/>
            <w:tcBorders/>
            <w:shd w:fill="auto" w:val="clear"/>
            <w:vAlign w:val="center"/>
          </w:tcPr>
          <w:p>
            <w:pPr>
              <w:pStyle w:val="TableContents"/>
              <w:spacing w:before="0" w:after="0"/>
              <w:ind w:left="0" w:right="0" w:firstLine="30"/>
              <w:rPr/>
            </w:pPr>
            <w:hyperlink w:anchor="sF5D4F1A576C73EBF6D815E128086F94A">
              <w:r>
                <w:rPr>
                  <w:rStyle w:val="InternetLink"/>
                  <w:rFonts w:ascii="Times New Roman" w:hAnsi="Times New Roman"/>
                  <w:color w:val="0000FF"/>
                  <w:sz w:val="17"/>
                  <w:u w:val="single"/>
                </w:rPr>
                <w:t>7</w:t>
              </w:r>
            </w:hyperlink>
          </w:p>
        </w:tc>
      </w:tr>
      <w:tr>
        <w:trPr/>
        <w:tc>
          <w:tcPr>
            <w:tcW w:w="6203" w:type="dxa"/>
            <w:tcBorders/>
            <w:shd w:fill="auto" w:val="clear"/>
            <w:vAlign w:val="center"/>
          </w:tcPr>
          <w:p>
            <w:pPr>
              <w:pStyle w:val="TableContents"/>
              <w:spacing w:before="0" w:after="0"/>
              <w:ind w:left="0" w:right="0" w:firstLine="30"/>
              <w:rPr/>
            </w:pPr>
            <w:hyperlink w:anchor="sB168755039477F4DC5E55E1280A8CBE2">
              <w:r>
                <w:rPr>
                  <w:rStyle w:val="InternetLink"/>
                  <w:rFonts w:ascii="inherit" w:hAnsi="inherit"/>
                  <w:color w:val="0000FF"/>
                  <w:sz w:val="17"/>
                  <w:u w:val="single"/>
                </w:rPr>
                <w:t>WHERE YOU CAN FIND MORE INFORMATION</w:t>
              </w:r>
            </w:hyperlink>
          </w:p>
        </w:tc>
        <w:tc>
          <w:tcPr>
            <w:tcW w:w="613" w:type="dxa"/>
            <w:tcBorders/>
            <w:shd w:fill="auto" w:val="clear"/>
            <w:vAlign w:val="center"/>
          </w:tcPr>
          <w:p>
            <w:pPr>
              <w:pStyle w:val="TableContents"/>
              <w:spacing w:before="0" w:after="0"/>
              <w:ind w:left="0" w:right="0" w:firstLine="30"/>
              <w:rPr/>
            </w:pPr>
            <w:hyperlink w:anchor="sB168755039477F4DC5E55E1280A8CBE2">
              <w:r>
                <w:rPr>
                  <w:rStyle w:val="InternetLink"/>
                  <w:rFonts w:ascii="Times New Roman" w:hAnsi="Times New Roman"/>
                  <w:color w:val="0000FF"/>
                  <w:sz w:val="17"/>
                  <w:u w:val="single"/>
                </w:rPr>
                <w:t>7</w:t>
              </w:r>
            </w:hyperlink>
          </w:p>
        </w:tc>
      </w:tr>
      <w:tr>
        <w:trPr/>
        <w:tc>
          <w:tcPr>
            <w:tcW w:w="6203" w:type="dxa"/>
            <w:tcBorders/>
            <w:shd w:fill="auto" w:val="clear"/>
            <w:vAlign w:val="center"/>
          </w:tcPr>
          <w:p>
            <w:pPr>
              <w:pStyle w:val="TableContents"/>
              <w:spacing w:before="0" w:after="0"/>
              <w:ind w:left="0" w:right="0" w:firstLine="30"/>
              <w:rPr/>
            </w:pPr>
            <w:hyperlink w:anchor="sFBEF56481FD7A19E807D5E1280DA0BA5">
              <w:r>
                <w:rPr>
                  <w:rStyle w:val="InternetLink"/>
                  <w:rFonts w:ascii="inherit" w:hAnsi="inherit"/>
                  <w:color w:val="0000FF"/>
                  <w:sz w:val="17"/>
                  <w:u w:val="single"/>
                </w:rPr>
                <w:t>INCORPORATION OF DOCUMENTS BY REFERENCE</w:t>
              </w:r>
            </w:hyperlink>
          </w:p>
        </w:tc>
        <w:tc>
          <w:tcPr>
            <w:tcW w:w="613" w:type="dxa"/>
            <w:tcBorders/>
            <w:shd w:fill="auto" w:val="clear"/>
            <w:vAlign w:val="center"/>
          </w:tcPr>
          <w:p>
            <w:pPr>
              <w:pStyle w:val="TableContents"/>
              <w:spacing w:before="0" w:after="0"/>
              <w:rPr/>
            </w:pPr>
            <w:hyperlink w:anchor="sFBEF56481FD7A19E807D5E1280DA0BA5">
              <w:r>
                <w:rPr>
                  <w:rStyle w:val="InternetLink"/>
                  <w:rFonts w:ascii="Times New Roman" w:hAnsi="Times New Roman"/>
                  <w:color w:val="0000FF"/>
                  <w:sz w:val="17"/>
                  <w:u w:val="single"/>
                </w:rPr>
                <w:t>7</w:t>
              </w:r>
            </w:hyperlink>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You should rely only on the information contained or incorporated by reference in this prospectus and any accompanying prospectus supplement. We have not authorized anyone to provide you with additional or different information. This prospectus is not an offer to sell, nor a solicitation of an offer to buy, these securities in any jurisdiction where such offer or sale is not permitted.</w:t>
      </w:r>
    </w:p>
    <w:p>
      <w:pPr>
        <w:pStyle w:val="TextBody"/>
        <w:spacing w:lineRule="auto" w:line="288" w:before="0" w:after="0"/>
        <w:jc w:val="left"/>
        <w:rPr>
          <w:rFonts w:ascii="inherit" w:hAnsi="inherit"/>
          <w:sz w:val="17"/>
        </w:rPr>
      </w:pPr>
      <w:r>
        <w:rPr>
          <w:rFonts w:ascii="inherit" w:hAnsi="inherit"/>
          <w:sz w:val="17"/>
        </w:rPr>
        <w:t>The information in this prospectus is accurate as of the date on the front cover. You should not assume that the information contained in this prospectus is accurate as of any other date or that any information we have incorporated by reference is accurate as of any date other than the date of the documents incorporated by reference. Our business, financial condition, results of operations and prospects may have changed since those dates.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w:t>
      </w:r>
      <w:r>
        <w:br w:type="page"/>
      </w:r>
    </w:p>
    <w:p>
      <w:pPr>
        <w:pStyle w:val="TextBody"/>
        <w:spacing w:before="0" w:after="0"/>
        <w:rPr/>
      </w:pPr>
      <w:r>
        <w:rPr/>
      </w:r>
      <w:bookmarkStart w:id="12" w:name="sB2B9402114FBD787C48F5E127F5A7A1E"/>
      <w:bookmarkStart w:id="13" w:name="sB2B9402114FBD787C48F5E127F5A7A1E"/>
      <w:bookmarkEnd w:id="13"/>
    </w:p>
    <w:p>
      <w:pPr>
        <w:pStyle w:val="TextBody"/>
        <w:spacing w:lineRule="auto" w:line="288" w:before="0" w:after="0"/>
        <w:jc w:val="center"/>
        <w:rPr>
          <w:rFonts w:ascii="inherit" w:hAnsi="inherit"/>
          <w:b/>
          <w:sz w:val="17"/>
        </w:rPr>
      </w:pPr>
      <w:r>
        <w:rPr>
          <w:rFonts w:ascii="inherit" w:hAnsi="inherit"/>
          <w:b/>
          <w:sz w:val="17"/>
        </w:rPr>
        <w:t>ABOUT EZCORP, INC.</w:t>
      </w:r>
    </w:p>
    <w:p>
      <w:pPr>
        <w:pStyle w:val="TextBody"/>
        <w:spacing w:lineRule="auto" w:line="288" w:before="0" w:after="0"/>
        <w:ind w:left="0" w:right="0" w:firstLine="720"/>
        <w:jc w:val="left"/>
        <w:rPr>
          <w:rFonts w:ascii="inherit" w:hAnsi="inherit"/>
          <w:sz w:val="17"/>
        </w:rPr>
      </w:pPr>
      <w:r>
        <w:rPr>
          <w:rFonts w:ascii="inherit" w:hAnsi="inherit"/>
          <w:sz w:val="17"/>
        </w:rPr>
        <w:t>EZCORP, Inc. is a leading provider of instant cash solutions. We provide a variety of instant cash solutions, including collateralized, non-recourse loans, commonly known as pawn loans, and a variety of short-term consumer loans, including single-payment and multiple-payment unsecured loans and single-payment and multiple-payment auto title loans. In Texas, we provide fee-based credit services to consumers seeking loans. At our pawn and buy/sell stores, we sell merchandise, primarily collateral forfeited from pawn lending operations and second-hand merchandise purchased from customers. We also offer prepaid debit card services to help customers better manage their money and control their spending.</w:t>
      </w:r>
    </w:p>
    <w:p>
      <w:pPr>
        <w:pStyle w:val="TextBody"/>
        <w:spacing w:lineRule="auto" w:line="288" w:before="0" w:after="0"/>
        <w:ind w:left="0" w:right="0" w:firstLine="720"/>
        <w:jc w:val="left"/>
        <w:rPr>
          <w:rFonts w:ascii="inherit" w:hAnsi="inherit"/>
          <w:sz w:val="17"/>
        </w:rPr>
      </w:pPr>
      <w:r>
        <w:rPr>
          <w:rFonts w:ascii="inherit" w:hAnsi="inherit"/>
          <w:sz w:val="17"/>
        </w:rPr>
        <w:t xml:space="preserve">At September 30, 2012, we operated a total of 1,262 locations in the United States, Mexico and Canada. In addition, we own 95% of Ariste Holding Limited and its affiliates, which offers short-term consumer loans online in the United Kingdom, 60% of Prestaciones Finmart, S.A.P.I. de C.V., SOFM, E.N.R., a leading payroll withholding lender headquartered in Mexico City,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approximately 700 locations that provide financial services and buy and sell second-hand goods. </w:t>
      </w:r>
    </w:p>
    <w:p>
      <w:pPr>
        <w:pStyle w:val="TextBody"/>
        <w:spacing w:lineRule="auto" w:line="288" w:before="0" w:after="0"/>
        <w:ind w:left="0" w:right="0" w:firstLine="720"/>
        <w:jc w:val="left"/>
        <w:rPr>
          <w:rFonts w:ascii="inherit" w:hAnsi="inherit"/>
          <w:sz w:val="17"/>
        </w:rPr>
      </w:pPr>
      <w:r>
        <w:rPr>
          <w:rFonts w:ascii="inherit" w:hAnsi="inherit"/>
          <w:sz w:val="17"/>
        </w:rPr>
        <w:t>EZCORP, Inc. is a Delaware corporation headquartered in Austin, Texas. Our principal executive offices are located at 1901 Capital Parkway, Austin, Texas 78746, and our telephone number is 512-314-3400. Our website address is www.ezcorp.com. We conduct our operations through our wholly-owned subsidiaries. Unless otherwise specified, references in this prospectus to “we,” “us” or similar terms refer to EZCORP, Inc. and its consolidated subsidiaries.</w:t>
      </w:r>
    </w:p>
    <w:p>
      <w:pPr>
        <w:pStyle w:val="TextBody"/>
        <w:spacing w:lineRule="auto" w:line="288" w:before="0" w:after="0"/>
        <w:jc w:val="center"/>
        <w:rPr>
          <w:rFonts w:ascii="inherit" w:hAnsi="inherit"/>
          <w:b/>
          <w:sz w:val="17"/>
        </w:rPr>
      </w:pPr>
      <w:bookmarkStart w:id="14" w:name="sC3ACB5A8A4695065A2F05E127F8D7013"/>
      <w:bookmarkEnd w:id="14"/>
      <w:r>
        <w:rPr>
          <w:rFonts w:ascii="inherit" w:hAnsi="inherit"/>
          <w:b/>
          <w:sz w:val="17"/>
        </w:rPr>
        <w:t>RISK FACTORS</w:t>
      </w:r>
    </w:p>
    <w:p>
      <w:pPr>
        <w:pStyle w:val="TextBody"/>
        <w:spacing w:lineRule="auto" w:line="288" w:before="0" w:after="0"/>
        <w:ind w:left="0" w:right="0" w:firstLine="720"/>
        <w:jc w:val="left"/>
        <w:rPr>
          <w:rFonts w:ascii="inherit" w:hAnsi="inherit"/>
          <w:sz w:val="17"/>
        </w:rPr>
      </w:pPr>
      <w:r>
        <w:rPr>
          <w:rFonts w:ascii="inherit" w:hAnsi="inherit"/>
          <w:sz w:val="17"/>
        </w:rPr>
        <w:t xml:space="preserve">Investing in our Class A Non-Voting Common Stock involves risks. Before you decide whether to purchase any of our Class A Non-Voting Common Stock, you should carefully consider the risk factors set forth under the heading “Risk Factors”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applicable prospectus supplement and the documents we incorporate by reference. If any of the risks discussed in the foregoing documents were to occur, our business, financial condition, results of operations and prospects could be materially adversely affected and the trading price of our Class A Non-Voting Common Stock could decline and you may lose all or part of your investment. </w:t>
      </w:r>
    </w:p>
    <w:p>
      <w:pPr>
        <w:pStyle w:val="TextBody"/>
        <w:spacing w:lineRule="auto" w:line="288" w:before="0" w:after="0"/>
        <w:jc w:val="center"/>
        <w:rPr>
          <w:rFonts w:ascii="inherit" w:hAnsi="inherit"/>
          <w:b/>
          <w:sz w:val="17"/>
        </w:rPr>
      </w:pPr>
      <w:bookmarkStart w:id="15" w:name="s29DA47BE0E88186B03505E127FAD8D28"/>
      <w:bookmarkEnd w:id="15"/>
      <w:r>
        <w:rPr>
          <w:rFonts w:ascii="inherit" w:hAnsi="inherit"/>
          <w:b/>
          <w:sz w:val="17"/>
        </w:rPr>
        <w:t>CAUTIONARY STATEMENT REGARDING FORWARD-LOOKING STATEMENTS</w:t>
      </w:r>
    </w:p>
    <w:p>
      <w:pPr>
        <w:pStyle w:val="TextBody"/>
        <w:spacing w:lineRule="auto" w:line="288" w:before="0" w:after="0"/>
        <w:ind w:left="0" w:right="0" w:firstLine="720"/>
        <w:jc w:val="left"/>
        <w:rPr>
          <w:rFonts w:ascii="inherit" w:hAnsi="inherit"/>
          <w:sz w:val="17"/>
        </w:rPr>
      </w:pPr>
      <w:r>
        <w:rPr>
          <w:rFonts w:ascii="inherit" w:hAnsi="inherit"/>
          <w:sz w:val="17"/>
        </w:rPr>
        <w:t xml:space="preserve">This prospectus and the documents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Known risk factors that could cause results or events to differ from current expectations are identified and discussed in our filings with the Securities and Exchange Commission (the “SEC”). These risk factors include, without limitation, the following:</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laws and regulations, including regulation of our financial services business by the Consumer Financial Protection Bureau;</w:t>
            </w:r>
          </w:p>
        </w:tc>
      </w:tr>
    </w:tbl>
    <w:tbl>
      <w:tblPr>
        <w:tblW w:w="4180" w:type="dxa"/>
        <w:jc w:val="left"/>
        <w:tblInd w:w="0" w:type="dxa"/>
        <w:tblCellMar>
          <w:top w:w="0" w:type="dxa"/>
          <w:left w:w="0" w:type="dxa"/>
          <w:bottom w:w="0" w:type="dxa"/>
          <w:right w:w="0" w:type="dxa"/>
        </w:tblCellMar>
      </w:tblPr>
      <w:tblGrid>
        <w:gridCol w:w="1205"/>
        <w:gridCol w:w="2975"/>
      </w:tblGrid>
      <w:tr>
        <w:trPr/>
        <w:tc>
          <w:tcPr>
            <w:tcW w:w="120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gold prices or volumes;</w:t>
            </w:r>
          </w:p>
        </w:tc>
      </w:tr>
    </w:tbl>
    <w:tbl>
      <w:tblPr>
        <w:tblW w:w="4555" w:type="dxa"/>
        <w:jc w:val="left"/>
        <w:tblInd w:w="0" w:type="dxa"/>
        <w:tblCellMar>
          <w:top w:w="0" w:type="dxa"/>
          <w:left w:w="0" w:type="dxa"/>
          <w:bottom w:w="0" w:type="dxa"/>
          <w:right w:w="0" w:type="dxa"/>
        </w:tblCellMar>
      </w:tblPr>
      <w:tblGrid>
        <w:gridCol w:w="1205"/>
        <w:gridCol w:w="3350"/>
      </w:tblGrid>
      <w:tr>
        <w:trPr/>
        <w:tc>
          <w:tcPr>
            <w:tcW w:w="1205"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3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concentration of business in Texas;</w:t>
            </w:r>
          </w:p>
        </w:tc>
      </w:tr>
    </w:tbl>
    <w:tbl>
      <w:tblPr>
        <w:tblW w:w="5020" w:type="dxa"/>
        <w:jc w:val="left"/>
        <w:tblInd w:w="0" w:type="dxa"/>
        <w:tblCellMar>
          <w:top w:w="0" w:type="dxa"/>
          <w:left w:w="0" w:type="dxa"/>
          <w:bottom w:w="0" w:type="dxa"/>
          <w:right w:w="0" w:type="dxa"/>
        </w:tblCellMar>
      </w:tblPr>
      <w:tblGrid>
        <w:gridCol w:w="1205"/>
        <w:gridCol w:w="3815"/>
      </w:tblGrid>
      <w:tr>
        <w:trPr/>
        <w:tc>
          <w:tcPr>
            <w:tcW w:w="120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8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foreign currency exchange rates;</w:t>
            </w:r>
          </w:p>
        </w:tc>
      </w:tr>
    </w:tbl>
    <w:tbl>
      <w:tblPr>
        <w:tblW w:w="3730" w:type="dxa"/>
        <w:jc w:val="left"/>
        <w:tblInd w:w="0" w:type="dxa"/>
        <w:tblCellMar>
          <w:top w:w="0" w:type="dxa"/>
          <w:left w:w="0" w:type="dxa"/>
          <w:bottom w:w="0" w:type="dxa"/>
          <w:right w:w="0" w:type="dxa"/>
        </w:tblCellMar>
      </w:tblPr>
      <w:tblGrid>
        <w:gridCol w:w="1205"/>
        <w:gridCol w:w="2525"/>
      </w:tblGrid>
      <w:tr>
        <w:trPr/>
        <w:tc>
          <w:tcPr>
            <w:tcW w:w="120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5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General economic conditions;</w:t>
            </w:r>
          </w:p>
        </w:tc>
      </w:tr>
    </w:tbl>
    <w:tbl>
      <w:tblPr>
        <w:tblW w:w="5740" w:type="dxa"/>
        <w:jc w:val="left"/>
        <w:tblInd w:w="0" w:type="dxa"/>
        <w:tblCellMar>
          <w:top w:w="0" w:type="dxa"/>
          <w:left w:w="0" w:type="dxa"/>
          <w:bottom w:w="0" w:type="dxa"/>
          <w:right w:w="0" w:type="dxa"/>
        </w:tblCellMar>
      </w:tblPr>
      <w:tblGrid>
        <w:gridCol w:w="1205"/>
        <w:gridCol w:w="4535"/>
      </w:tblGrid>
      <w:tr>
        <w:trPr/>
        <w:tc>
          <w:tcPr>
            <w:tcW w:w="1205"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5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relationships with unaffiliated lenders;</w:t>
            </w:r>
          </w:p>
        </w:tc>
      </w:tr>
    </w:tbl>
    <w:tbl>
      <w:tblPr>
        <w:tblW w:w="8815" w:type="dxa"/>
        <w:jc w:val="left"/>
        <w:tblInd w:w="0" w:type="dxa"/>
        <w:tblCellMar>
          <w:top w:w="0" w:type="dxa"/>
          <w:left w:w="0" w:type="dxa"/>
          <w:bottom w:w="0" w:type="dxa"/>
          <w:right w:w="0" w:type="dxa"/>
        </w:tblCellMar>
      </w:tblPr>
      <w:tblGrid>
        <w:gridCol w:w="1205"/>
        <w:gridCol w:w="7610"/>
      </w:tblGrid>
      <w:tr>
        <w:trPr/>
        <w:tc>
          <w:tcPr>
            <w:tcW w:w="1205" w:type="dxa"/>
            <w:tcBorders/>
            <w:shd w:fill="auto" w:val="clear"/>
            <w:vAlign w:val="center"/>
          </w:tcPr>
          <w:p>
            <w:pPr>
              <w:pStyle w:val="TableContents"/>
              <w:spacing w:before="0" w:after="283"/>
              <w:rPr>
                <w:sz w:val="4"/>
                <w:szCs w:val="4"/>
              </w:rPr>
            </w:pPr>
            <w:r>
              <w:rPr>
                <w:sz w:val="4"/>
                <w:szCs w:val="4"/>
              </w:rPr>
            </w:r>
          </w:p>
        </w:tc>
        <w:tc>
          <w:tcPr>
            <w:tcW w:w="761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6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continue growing our store count through acquisitions and de novo openings;</w:t>
            </w:r>
          </w:p>
        </w:tc>
      </w:tr>
    </w:tbl>
    <w:tbl>
      <w:tblPr>
        <w:tblW w:w="6700" w:type="dxa"/>
        <w:jc w:val="left"/>
        <w:tblInd w:w="0" w:type="dxa"/>
        <w:tblCellMar>
          <w:top w:w="0" w:type="dxa"/>
          <w:left w:w="0" w:type="dxa"/>
          <w:bottom w:w="0" w:type="dxa"/>
          <w:right w:w="0" w:type="dxa"/>
        </w:tblCellMar>
      </w:tblPr>
      <w:tblGrid>
        <w:gridCol w:w="1205"/>
        <w:gridCol w:w="5495"/>
      </w:tblGrid>
      <w:tr>
        <w:trPr/>
        <w:tc>
          <w:tcPr>
            <w:tcW w:w="120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business, regulatory or political climate in Mexico;</w:t>
            </w:r>
          </w:p>
        </w:tc>
      </w:tr>
    </w:tbl>
    <w:tbl>
      <w:tblPr>
        <w:tblW w:w="10105" w:type="dxa"/>
        <w:jc w:val="left"/>
        <w:tblInd w:w="0" w:type="dxa"/>
        <w:tblCellMar>
          <w:top w:w="0" w:type="dxa"/>
          <w:left w:w="0" w:type="dxa"/>
          <w:bottom w:w="0" w:type="dxa"/>
          <w:right w:w="0" w:type="dxa"/>
        </w:tblCellMar>
      </w:tblPr>
      <w:tblGrid>
        <w:gridCol w:w="1205"/>
        <w:gridCol w:w="8900"/>
      </w:tblGrid>
      <w:tr>
        <w:trPr/>
        <w:tc>
          <w:tcPr>
            <w:tcW w:w="1205" w:type="dxa"/>
            <w:tcBorders/>
            <w:shd w:fill="auto" w:val="clear"/>
            <w:vAlign w:val="center"/>
          </w:tcPr>
          <w:p>
            <w:pPr>
              <w:pStyle w:val="TableContents"/>
              <w:spacing w:before="0" w:after="283"/>
              <w:rPr>
                <w:sz w:val="4"/>
                <w:szCs w:val="4"/>
              </w:rPr>
            </w:pPr>
            <w:r>
              <w:rPr>
                <w:sz w:val="4"/>
                <w:szCs w:val="4"/>
              </w:rPr>
            </w:r>
          </w:p>
        </w:tc>
        <w:tc>
          <w:tcPr>
            <w:tcW w:w="89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pawn redemption rates, loan default and collection rates or other important operating metrics;</w:t>
            </w:r>
          </w:p>
        </w:tc>
      </w:tr>
    </w:tbl>
    <w:tbl>
      <w:tblPr>
        <w:tblW w:w="8260" w:type="dxa"/>
        <w:jc w:val="left"/>
        <w:tblInd w:w="0" w:type="dxa"/>
        <w:tblCellMar>
          <w:top w:w="0" w:type="dxa"/>
          <w:left w:w="0" w:type="dxa"/>
          <w:bottom w:w="0" w:type="dxa"/>
          <w:right w:w="0" w:type="dxa"/>
        </w:tblCellMar>
      </w:tblPr>
      <w:tblGrid>
        <w:gridCol w:w="1205"/>
        <w:gridCol w:w="7055"/>
      </w:tblGrid>
      <w:tr>
        <w:trPr/>
        <w:tc>
          <w:tcPr>
            <w:tcW w:w="1205"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0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liquidity, capital requirements or access to debt and capital markets;</w:t>
            </w:r>
          </w:p>
        </w:tc>
      </w:tr>
    </w:tbl>
    <w:tbl>
      <w:tblPr>
        <w:tblW w:w="4480" w:type="dxa"/>
        <w:jc w:val="left"/>
        <w:tblInd w:w="0" w:type="dxa"/>
        <w:tblCellMar>
          <w:top w:w="0" w:type="dxa"/>
          <w:left w:w="0" w:type="dxa"/>
          <w:bottom w:w="0" w:type="dxa"/>
          <w:right w:w="0" w:type="dxa"/>
        </w:tblCellMar>
      </w:tblPr>
      <w:tblGrid>
        <w:gridCol w:w="1205"/>
        <w:gridCol w:w="3275"/>
      </w:tblGrid>
      <w:tr>
        <w:trPr/>
        <w:tc>
          <w:tcPr>
            <w:tcW w:w="1205"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2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competitive landscape;</w:t>
            </w:r>
          </w:p>
        </w:tc>
      </w:tr>
    </w:tbl>
    <w:tbl>
      <w:tblPr>
        <w:tblW w:w="4225" w:type="dxa"/>
        <w:jc w:val="left"/>
        <w:tblInd w:w="0" w:type="dxa"/>
        <w:tblCellMar>
          <w:top w:w="0" w:type="dxa"/>
          <w:left w:w="0" w:type="dxa"/>
          <w:bottom w:w="0" w:type="dxa"/>
          <w:right w:w="0" w:type="dxa"/>
        </w:tblCellMar>
      </w:tblPr>
      <w:tblGrid>
        <w:gridCol w:w="1205"/>
        <w:gridCol w:w="3020"/>
      </w:tblGrid>
      <w:tr>
        <w:trPr/>
        <w:tc>
          <w:tcPr>
            <w:tcW w:w="120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controlled ownership structure;</w:t>
            </w:r>
          </w:p>
        </w:tc>
      </w:tr>
    </w:tbl>
    <w:tbl>
      <w:tblPr>
        <w:tblW w:w="6100" w:type="dxa"/>
        <w:jc w:val="left"/>
        <w:tblInd w:w="0" w:type="dxa"/>
        <w:tblCellMar>
          <w:top w:w="0" w:type="dxa"/>
          <w:left w:w="0" w:type="dxa"/>
          <w:bottom w:w="0" w:type="dxa"/>
          <w:right w:w="0" w:type="dxa"/>
        </w:tblCellMar>
      </w:tblPr>
      <w:tblGrid>
        <w:gridCol w:w="1205"/>
        <w:gridCol w:w="4895"/>
      </w:tblGrid>
      <w:tr>
        <w:trPr/>
        <w:tc>
          <w:tcPr>
            <w:tcW w:w="120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8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infrastructure failures or data security breaches;</w:t>
            </w:r>
          </w:p>
        </w:tc>
      </w:tr>
    </w:tbl>
    <w:tbl>
      <w:tblPr>
        <w:tblW w:w="5455" w:type="dxa"/>
        <w:jc w:val="left"/>
        <w:tblInd w:w="0" w:type="dxa"/>
        <w:tblCellMar>
          <w:top w:w="0" w:type="dxa"/>
          <w:left w:w="0" w:type="dxa"/>
          <w:bottom w:w="0" w:type="dxa"/>
          <w:right w:w="0" w:type="dxa"/>
        </w:tblCellMar>
      </w:tblPr>
      <w:tblGrid>
        <w:gridCol w:w="1205"/>
        <w:gridCol w:w="4250"/>
      </w:tblGrid>
      <w:tr>
        <w:trPr/>
        <w:tc>
          <w:tcPr>
            <w:tcW w:w="1205"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Risks associated with new online lending business;</w:t>
            </w:r>
          </w:p>
        </w:tc>
      </w:tr>
    </w:tbl>
    <w:tbl>
      <w:tblPr>
        <w:tblW w:w="2800" w:type="dxa"/>
        <w:jc w:val="left"/>
        <w:tblInd w:w="0" w:type="dxa"/>
        <w:tblCellMar>
          <w:top w:w="0" w:type="dxa"/>
          <w:left w:w="0" w:type="dxa"/>
          <w:bottom w:w="0" w:type="dxa"/>
          <w:right w:w="0" w:type="dxa"/>
        </w:tblCellMar>
      </w:tblPr>
      <w:tblGrid>
        <w:gridCol w:w="1205"/>
        <w:gridCol w:w="1595"/>
      </w:tblGrid>
      <w:tr>
        <w:trPr/>
        <w:tc>
          <w:tcPr>
            <w:tcW w:w="120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15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litigation;</w:t>
            </w:r>
          </w:p>
        </w:tc>
      </w:tr>
    </w:tbl>
    <w:tbl>
      <w:tblPr>
        <w:tblW w:w="5860" w:type="dxa"/>
        <w:jc w:val="left"/>
        <w:tblInd w:w="0" w:type="dxa"/>
        <w:tblCellMar>
          <w:top w:w="0" w:type="dxa"/>
          <w:left w:w="0" w:type="dxa"/>
          <w:bottom w:w="0" w:type="dxa"/>
          <w:right w:w="0" w:type="dxa"/>
        </w:tblCellMar>
      </w:tblPr>
      <w:tblGrid>
        <w:gridCol w:w="1205"/>
        <w:gridCol w:w="4655"/>
      </w:tblGrid>
      <w:tr>
        <w:trPr/>
        <w:tc>
          <w:tcPr>
            <w:tcW w:w="1205"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Failure to achieve adequate return on our investments;</w:t>
            </w:r>
          </w:p>
        </w:tc>
      </w:tr>
    </w:tbl>
    <w:tbl>
      <w:tblPr>
        <w:tblW w:w="5785" w:type="dxa"/>
        <w:jc w:val="left"/>
        <w:tblInd w:w="0" w:type="dxa"/>
        <w:tblCellMar>
          <w:top w:w="0" w:type="dxa"/>
          <w:left w:w="0" w:type="dxa"/>
          <w:bottom w:w="0" w:type="dxa"/>
          <w:right w:w="0" w:type="dxa"/>
        </w:tblCellMar>
      </w:tblPr>
      <w:tblGrid>
        <w:gridCol w:w="1205"/>
        <w:gridCol w:w="4580"/>
      </w:tblGrid>
      <w:tr>
        <w:trPr/>
        <w:tc>
          <w:tcPr>
            <w:tcW w:w="1205"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5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uninsured property, casualty or other losses;</w:t>
            </w:r>
          </w:p>
        </w:tc>
      </w:tr>
    </w:tbl>
    <w:tbl>
      <w:tblPr>
        <w:tblW w:w="7900" w:type="dxa"/>
        <w:jc w:val="left"/>
        <w:tblInd w:w="0" w:type="dxa"/>
        <w:tblCellMar>
          <w:top w:w="0" w:type="dxa"/>
          <w:left w:w="0" w:type="dxa"/>
          <w:bottom w:w="0" w:type="dxa"/>
          <w:right w:w="0" w:type="dxa"/>
        </w:tblCellMar>
      </w:tblPr>
      <w:tblGrid>
        <w:gridCol w:w="1205"/>
        <w:gridCol w:w="6695"/>
      </w:tblGrid>
      <w:tr>
        <w:trPr/>
        <w:tc>
          <w:tcPr>
            <w:tcW w:w="1205" w:type="dxa"/>
            <w:tcBorders/>
            <w:shd w:fill="auto" w:val="clear"/>
            <w:vAlign w:val="center"/>
          </w:tcPr>
          <w:p>
            <w:pPr>
              <w:pStyle w:val="TableContents"/>
              <w:spacing w:before="0" w:after="283"/>
              <w:rPr>
                <w:sz w:val="4"/>
                <w:szCs w:val="4"/>
              </w:rPr>
            </w:pPr>
            <w:r>
              <w:rPr>
                <w:sz w:val="4"/>
                <w:szCs w:val="4"/>
              </w:rPr>
            </w:r>
          </w:p>
        </w:tc>
        <w:tc>
          <w:tcPr>
            <w:tcW w:w="66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6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disruptive effect of acquisitions, investments and new businesses; and</w:t>
            </w:r>
          </w:p>
        </w:tc>
      </w:tr>
    </w:tbl>
    <w:tbl>
      <w:tblPr>
        <w:tblW w:w="4705" w:type="dxa"/>
        <w:jc w:val="left"/>
        <w:tblInd w:w="0" w:type="dxa"/>
        <w:tblCellMar>
          <w:top w:w="0" w:type="dxa"/>
          <w:left w:w="0" w:type="dxa"/>
          <w:bottom w:w="0" w:type="dxa"/>
          <w:right w:w="0" w:type="dxa"/>
        </w:tblCellMar>
      </w:tblPr>
      <w:tblGrid>
        <w:gridCol w:w="1205"/>
        <w:gridCol w:w="3500"/>
      </w:tblGrid>
      <w:tr>
        <w:trPr/>
        <w:tc>
          <w:tcPr>
            <w:tcW w:w="1205" w:type="dxa"/>
            <w:tcBorders/>
            <w:shd w:fill="auto" w:val="clear"/>
            <w:vAlign w:val="center"/>
          </w:tcPr>
          <w:p>
            <w:pPr>
              <w:pStyle w:val="TableContents"/>
              <w:spacing w:before="0" w:after="283"/>
              <w:rPr>
                <w:sz w:val="4"/>
                <w:szCs w:val="4"/>
              </w:rPr>
            </w:pPr>
            <w:r>
              <w:rPr>
                <w:sz w:val="4"/>
                <w:szCs w:val="4"/>
              </w:rPr>
            </w:r>
          </w:p>
        </w:tc>
        <w:tc>
          <w:tcPr>
            <w:tcW w:w="35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5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U.S. or international tax rates.</w:t>
            </w:r>
          </w:p>
        </w:tc>
      </w:tr>
    </w:tbl>
    <w:p>
      <w:pPr>
        <w:pStyle w:val="TextBody"/>
        <w:spacing w:lineRule="auto" w:line="288" w:before="0" w:after="0"/>
        <w:ind w:left="0" w:right="0" w:firstLine="720"/>
        <w:jc w:val="left"/>
        <w:rPr>
          <w:rFonts w:ascii="inherit" w:hAnsi="inherit"/>
          <w:sz w:val="17"/>
        </w:rPr>
      </w:pPr>
      <w:r>
        <w:rPr>
          <w:rFonts w:ascii="inherit" w:hAnsi="inherit"/>
          <w:sz w:val="17"/>
        </w:rPr>
        <w:t>We specifically disclaim all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16" w:name="s1FA46A72075C9385E8EB5E127FE021D9"/>
      <w:bookmarkEnd w:id="16"/>
      <w:r>
        <w:rPr>
          <w:rFonts w:ascii="inherit" w:hAnsi="inherit"/>
          <w:b/>
          <w:sz w:val="17"/>
        </w:rPr>
        <w:t>USE OF PROCEEDS</w:t>
      </w:r>
    </w:p>
    <w:p>
      <w:pPr>
        <w:pStyle w:val="TextBody"/>
        <w:spacing w:lineRule="auto" w:line="288" w:before="0" w:after="0"/>
        <w:ind w:left="0" w:right="0" w:firstLine="720"/>
        <w:jc w:val="left"/>
        <w:rPr>
          <w:rFonts w:ascii="inherit" w:hAnsi="inherit"/>
          <w:sz w:val="17"/>
        </w:rPr>
      </w:pPr>
      <w:r>
        <w:rPr>
          <w:rFonts w:ascii="inherit" w:hAnsi="inherit"/>
          <w:sz w:val="17"/>
        </w:rPr>
        <w:t>We are not selling any securities under this prospectus. We are registering the shares of our Class A Non-Voting Common Stock on behalf of the selling stockholders pursuant to the terms of the Purchase Agreement (as defined below under “Selling Stockholders”), and we will not receive any of the proceeds from the sale by the selling stockholders of any such shares.</w:t>
      </w:r>
    </w:p>
    <w:p>
      <w:pPr>
        <w:pStyle w:val="TextBody"/>
        <w:spacing w:lineRule="auto" w:line="288" w:before="0" w:after="0"/>
        <w:jc w:val="center"/>
        <w:rPr>
          <w:rFonts w:ascii="inherit" w:hAnsi="inherit"/>
          <w:b/>
          <w:sz w:val="17"/>
        </w:rPr>
      </w:pPr>
      <w:bookmarkStart w:id="17" w:name="s453D62861DCFAC7E1F855E1280010661"/>
      <w:bookmarkEnd w:id="17"/>
      <w:r>
        <w:rPr>
          <w:rFonts w:ascii="inherit" w:hAnsi="inherit"/>
          <w:b/>
          <w:sz w:val="17"/>
        </w:rPr>
        <w:t>SELLING STOCKHOLDERS</w:t>
      </w:r>
    </w:p>
    <w:p>
      <w:pPr>
        <w:pStyle w:val="TextBody"/>
        <w:spacing w:lineRule="auto" w:line="288" w:before="0" w:after="0"/>
        <w:ind w:left="0" w:right="0" w:firstLine="720"/>
        <w:jc w:val="left"/>
        <w:rPr>
          <w:rFonts w:ascii="inherit" w:hAnsi="inherit"/>
          <w:sz w:val="17"/>
        </w:rPr>
      </w:pPr>
      <w:r>
        <w:rPr>
          <w:rFonts w:ascii="inherit" w:hAnsi="inherit"/>
          <w:sz w:val="17"/>
        </w:rPr>
        <w:t xml:space="preserve">This prospectus relates to the offer and sale from time to time by the selling stockholders of up to 1,400,198 shares of our Class A Non-Voting Common Stock. Such shares were issued to the selling stockholders in a transaction exempt from registration under the Securities Act. More specifically, such shares were issued to the selling stockholders as partial consideration for the sale to us of certain assets pursuant to the Asset Purchase Agreement, dated November 20, 2012 (the “Purchase Agreement”), among EZCORP Online, Inc., EZCORP, Inc., Hayfield Investment Partners, LLC and certain subsidiaries of Hayfield Investment Partners, LLC, as amended on December 12, 2012 by the original parties to the Purchase Agreement and the members of Hayfield Investment Partners, LLC. Pursuant to the Purchase Agreement, we agreed to, among other things, file a registration statement with the SEC to register the shares of our Class A Non-Voting Common Stock issued to the selling stockholders upon the closing of such acquisition. </w:t>
      </w:r>
    </w:p>
    <w:p>
      <w:pPr>
        <w:pStyle w:val="TextBody"/>
        <w:spacing w:lineRule="auto" w:line="288" w:before="0" w:after="0"/>
        <w:ind w:left="0" w:right="0" w:firstLine="720"/>
        <w:jc w:val="left"/>
        <w:rPr>
          <w:rFonts w:ascii="inherit" w:hAnsi="inherit"/>
          <w:sz w:val="17"/>
        </w:rPr>
      </w:pPr>
      <w:r>
        <w:rPr>
          <w:rFonts w:ascii="inherit" w:hAnsi="inherit"/>
          <w:sz w:val="17"/>
        </w:rPr>
        <w:t>The table below sets forth the name of the selling stockholders and the number of shares of our Class A Non-Voting Common Stock that the selling stockholders beneficially own and that may be offered pursuant to this prospectus. We have prepared the table below based on information provided to us by or on behalf of the selling stockholders on or prior to January 10, 2013 . The selling stockholders may offer none, some or all of the shares of our Class A Non-Voting Common Stock offered by this prospectus. We cannot predict if, when or in what amounts the selling stockholders may sell any of the shares of our Class A Non-Voting Common Stock offered by this prospectus or when or in what amounts the selling stockholders may acquire additional shares of our Class A Non-Voting Common Stock. We understand certain selling stockholders have adopted or may in the future adopt prearranged Rule 10b5-1 stock trading plans allowing them to sell some or all of their shares of our Class A Non-Voting Common Stock over time as part of their financial, tax and/or estate planning. The selling stockholders may sell their shares of our Class A Non-Voting Common Stock registered under this registration statement through such plans. As used in this prospectus, the term “selling stockholders” includes persons who obtain shares of our Class A Non-Voting Common Stock as a gift, on foreclosure of a pledge, as a distribution or dividend or in a non-sale related transfer from a selling stockholder listed in the table below after the date of this prospectus.</w:t>
      </w:r>
    </w:p>
    <w:p>
      <w:pPr>
        <w:pStyle w:val="TextBody"/>
        <w:spacing w:lineRule="auto" w:line="288" w:before="0" w:after="0"/>
        <w:ind w:left="0" w:right="0" w:firstLine="720"/>
        <w:jc w:val="left"/>
        <w:rPr>
          <w:rFonts w:ascii="inherit" w:hAnsi="inherit"/>
          <w:sz w:val="17"/>
        </w:rPr>
      </w:pPr>
      <w:r>
        <w:rPr>
          <w:rFonts w:ascii="inherit" w:hAnsi="inherit"/>
          <w:sz w:val="17"/>
        </w:rPr>
        <w:t xml:space="preserve">Except as otherwise disclosed herein, none of the selling stockholders or any of their respective affiliates has, or within the past three years has had, any material relationship with us or any of our predecessors or affiliates. </w:t>
      </w:r>
    </w:p>
    <w:p>
      <w:pPr>
        <w:pStyle w:val="TextBody"/>
        <w:spacing w:lineRule="auto" w:line="288" w:before="0" w:after="0"/>
        <w:ind w:left="0" w:right="0" w:firstLine="720"/>
        <w:jc w:val="left"/>
        <w:rPr>
          <w:rFonts w:ascii="inherit" w:hAnsi="inherit"/>
          <w:sz w:val="17"/>
        </w:rPr>
      </w:pPr>
      <w:r>
        <w:rPr>
          <w:rFonts w:ascii="inherit" w:hAnsi="inherit"/>
          <w:sz w:val="17"/>
        </w:rPr>
        <w:t xml:space="preserve">A selling stockholder may be deemed to be, under interpretations of the staff of the SEC, an “underwriter” within the meaning of the Securities Act to the extent it is (i) a registered broker-dealer or (ii) an affiliate of a registered broker dealer if the selling stockholder did not acquire its shares of our Class A Non-Voting Common Stock in the ordinary course of business or had an agreement or understanding, directly or indirectly, with any person to distribute the shares of our Class A Non-Voting Common Stock. </w:t>
      </w:r>
    </w:p>
    <w:p>
      <w:pPr>
        <w:pStyle w:val="TextBody"/>
        <w:spacing w:lineRule="auto" w:line="288" w:before="0" w:after="0"/>
        <w:ind w:left="0" w:right="0" w:firstLine="720"/>
        <w:jc w:val="left"/>
        <w:rPr>
          <w:rFonts w:ascii="inherit" w:hAnsi="inherit"/>
          <w:sz w:val="17"/>
        </w:rPr>
      </w:pPr>
      <w:r>
        <w:rPr>
          <w:rFonts w:ascii="inherit" w:hAnsi="inherit"/>
          <w:sz w:val="17"/>
        </w:rPr>
        <w:t>Information about the selling stockholders may change over time. Any changed information will be set forth in supplements to this prospectus, if required.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42"/>
        <w:gridCol w:w="1337"/>
        <w:gridCol w:w="1642"/>
        <w:gridCol w:w="1615"/>
        <w:gridCol w:w="1205"/>
        <w:gridCol w:w="1764"/>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64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42" w:type="dxa"/>
            <w:tcBorders/>
            <w:shd w:fill="auto" w:val="clear"/>
            <w:vAlign w:val="center"/>
          </w:tcPr>
          <w:p>
            <w:pPr>
              <w:pStyle w:val="TableContents"/>
              <w:spacing w:before="0" w:after="0"/>
              <w:ind w:left="0" w:right="0" w:firstLine="30"/>
              <w:rPr/>
            </w:pPr>
            <w:r>
              <w:rPr/>
              <w:t> </w:t>
            </w:r>
          </w:p>
        </w:tc>
        <w:tc>
          <w:tcPr>
            <w:tcW w:w="2979" w:type="dxa"/>
            <w:gridSpan w:val="2"/>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Shares of Class A Non-Voting Common Stock Beneficially Owned Prior to Offering (1)</w:t>
            </w:r>
          </w:p>
        </w:tc>
        <w:tc>
          <w:tcPr>
            <w:tcW w:w="161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 of Class A Non-Voting Common Stock That May Be Sold</w:t>
            </w:r>
          </w:p>
        </w:tc>
        <w:tc>
          <w:tcPr>
            <w:tcW w:w="2969" w:type="dxa"/>
            <w:gridSpan w:val="2"/>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Shares of Class A Non-Voting Common Stock Beneficially Owned After Offering (1)</w:t>
            </w:r>
          </w:p>
        </w:tc>
      </w:tr>
      <w:tr>
        <w:trPr/>
        <w:tc>
          <w:tcPr>
            <w:tcW w:w="26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Name of Selling Stockholder</w:t>
            </w:r>
          </w:p>
        </w:tc>
        <w:tc>
          <w:tcPr>
            <w:tcW w:w="133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w:t>
            </w:r>
          </w:p>
        </w:tc>
        <w:tc>
          <w:tcPr>
            <w:tcW w:w="164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Percentage (2)</w:t>
            </w:r>
          </w:p>
        </w:tc>
        <w:tc>
          <w:tcPr>
            <w:tcW w:w="1615" w:type="dxa"/>
            <w:vMerge w:val="continue"/>
            <w:tcBorders>
              <w:bottom w:val="single" w:sz="2" w:space="0" w:color="000000"/>
            </w:tcBorders>
            <w:shd w:fill="auto" w:val="clear"/>
            <w:tcMar>
              <w:bottom w:w="30" w:type="dxa"/>
            </w:tcMar>
            <w:vAlign w:val="center"/>
          </w:tcPr>
          <w:p>
            <w:pPr>
              <w:pStyle w:val="Normal"/>
              <w:rPr/>
            </w:pPr>
            <w:r>
              <w:rPr/>
            </w:r>
          </w:p>
        </w:tc>
        <w:tc>
          <w:tcPr>
            <w:tcW w:w="120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 (2)</w:t>
            </w:r>
          </w:p>
        </w:tc>
        <w:tc>
          <w:tcPr>
            <w:tcW w:w="176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Percentage (2)(3)</w:t>
            </w:r>
          </w:p>
        </w:tc>
      </w:tr>
      <w:tr>
        <w:trPr/>
        <w:tc>
          <w:tcPr>
            <w:tcW w:w="2642" w:type="dxa"/>
            <w:tcBorders/>
            <w:shd w:fill="auto" w:val="clear"/>
            <w:vAlign w:val="center"/>
          </w:tcPr>
          <w:p>
            <w:pPr>
              <w:pStyle w:val="TableContents"/>
              <w:spacing w:before="0" w:after="0"/>
              <w:ind w:left="0" w:right="0" w:firstLine="30"/>
              <w:rPr/>
            </w:pPr>
            <w:r>
              <w:rPr/>
              <w:t> </w:t>
            </w:r>
          </w:p>
        </w:tc>
        <w:tc>
          <w:tcPr>
            <w:tcW w:w="1337" w:type="dxa"/>
            <w:tcBorders/>
            <w:shd w:fill="auto" w:val="clear"/>
            <w:vAlign w:val="center"/>
          </w:tcPr>
          <w:p>
            <w:pPr>
              <w:pStyle w:val="TableContents"/>
              <w:spacing w:before="0" w:after="0"/>
              <w:ind w:left="0" w:right="0" w:firstLine="30"/>
              <w:rPr/>
            </w:pPr>
            <w:r>
              <w:rPr/>
              <w:t> </w:t>
            </w:r>
          </w:p>
        </w:tc>
        <w:tc>
          <w:tcPr>
            <w:tcW w:w="1642" w:type="dxa"/>
            <w:tcBorders/>
            <w:shd w:fill="auto" w:val="clear"/>
            <w:vAlign w:val="center"/>
          </w:tcPr>
          <w:p>
            <w:pPr>
              <w:pStyle w:val="TableContents"/>
              <w:spacing w:before="0" w:after="0"/>
              <w:ind w:left="0" w:right="0" w:firstLine="30"/>
              <w:rPr/>
            </w:pPr>
            <w:r>
              <w:rPr/>
              <w:t> </w:t>
            </w:r>
          </w:p>
        </w:tc>
        <w:tc>
          <w:tcPr>
            <w:tcW w:w="1615" w:type="dxa"/>
            <w:tcBorders/>
            <w:shd w:fill="auto" w:val="clear"/>
            <w:vAlign w:val="center"/>
          </w:tcPr>
          <w:p>
            <w:pPr>
              <w:pStyle w:val="TableContents"/>
              <w:spacing w:before="0" w:after="0"/>
              <w:ind w:left="0" w:right="0" w:firstLine="30"/>
              <w:rPr/>
            </w:pPr>
            <w:r>
              <w:rPr/>
              <w:t> </w:t>
            </w:r>
          </w:p>
        </w:tc>
        <w:tc>
          <w:tcPr>
            <w:tcW w:w="1205" w:type="dxa"/>
            <w:tcBorders/>
            <w:shd w:fill="auto" w:val="clear"/>
            <w:vAlign w:val="center"/>
          </w:tcPr>
          <w:p>
            <w:pPr>
              <w:pStyle w:val="TableContents"/>
              <w:spacing w:before="0" w:after="0"/>
              <w:ind w:left="0" w:right="0" w:firstLine="30"/>
              <w:rPr/>
            </w:pPr>
            <w:r>
              <w:rPr/>
              <w:t> </w:t>
            </w:r>
          </w:p>
        </w:tc>
        <w:tc>
          <w:tcPr>
            <w:tcW w:w="1764" w:type="dxa"/>
            <w:tcBorders/>
            <w:shd w:fill="auto" w:val="clear"/>
            <w:vAlign w:val="center"/>
          </w:tcPr>
          <w:p>
            <w:pPr>
              <w:pStyle w:val="TableContents"/>
              <w:spacing w:before="0" w:after="0"/>
              <w:ind w:left="0" w:right="0" w:firstLine="30"/>
              <w:rPr/>
            </w:pPr>
            <w:r>
              <w:rPr/>
              <w:t> </w:t>
            </w:r>
          </w:p>
        </w:tc>
      </w:tr>
      <w:tr>
        <w:trPr/>
        <w:tc>
          <w:tcPr>
            <w:tcW w:w="264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Hayfield Investment Partners, LLC (4)</w:t>
            </w:r>
          </w:p>
        </w:tc>
        <w:tc>
          <w:tcPr>
            <w:tcW w:w="1337" w:type="dxa"/>
            <w:tcBorders/>
            <w:shd w:fill="auto" w:val="clear"/>
            <w:vAlign w:val="center"/>
          </w:tcPr>
          <w:p>
            <w:pPr>
              <w:pStyle w:val="TableContents"/>
              <w:spacing w:before="0" w:after="0"/>
              <w:jc w:val="center"/>
              <w:rPr>
                <w:rFonts w:ascii="inherit" w:hAnsi="inherit"/>
                <w:sz w:val="15"/>
              </w:rPr>
            </w:pPr>
            <w:r>
              <w:rPr>
                <w:rFonts w:ascii="inherit" w:hAnsi="inherit"/>
                <w:sz w:val="15"/>
              </w:rPr>
              <w:t>1,100,198</w:t>
            </w:r>
          </w:p>
          <w:p>
            <w:pPr>
              <w:pStyle w:val="TableContents"/>
              <w:spacing w:before="0" w:after="0"/>
              <w:ind w:left="0" w:right="0" w:firstLine="30"/>
              <w:jc w:val="center"/>
              <w:rPr>
                <w:rFonts w:ascii="inherit" w:hAnsi="inherit"/>
                <w:sz w:val="15"/>
              </w:rPr>
            </w:pPr>
            <w:r>
              <w:rPr>
                <w:rFonts w:ascii="inherit" w:hAnsi="inherit"/>
                <w:sz w:val="15"/>
              </w:rPr>
            </w:r>
          </w:p>
        </w:tc>
        <w:tc>
          <w:tcPr>
            <w:tcW w:w="1642" w:type="dxa"/>
            <w:tcBorders/>
            <w:shd w:fill="auto" w:val="clear"/>
            <w:vAlign w:val="center"/>
          </w:tcPr>
          <w:p>
            <w:pPr>
              <w:pStyle w:val="TableContents"/>
              <w:spacing w:before="0" w:after="0"/>
              <w:jc w:val="center"/>
              <w:rPr>
                <w:rFonts w:ascii="inherit" w:hAnsi="inherit"/>
                <w:sz w:val="15"/>
              </w:rPr>
            </w:pPr>
            <w:r>
              <w:rPr>
                <w:rFonts w:ascii="inherit" w:hAnsi="inherit"/>
                <w:sz w:val="15"/>
              </w:rPr>
              <w:t>2%</w:t>
            </w:r>
          </w:p>
          <w:p>
            <w:pPr>
              <w:pStyle w:val="TableContents"/>
              <w:spacing w:before="0" w:after="0"/>
              <w:ind w:left="0" w:right="0" w:firstLine="30"/>
              <w:jc w:val="center"/>
              <w:rPr>
                <w:rFonts w:ascii="inherit" w:hAnsi="inherit"/>
                <w:sz w:val="15"/>
              </w:rPr>
            </w:pPr>
            <w:r>
              <w:rPr>
                <w:rFonts w:ascii="inherit" w:hAnsi="inherit"/>
                <w:sz w:val="15"/>
              </w:rPr>
            </w:r>
          </w:p>
        </w:tc>
        <w:tc>
          <w:tcPr>
            <w:tcW w:w="1615" w:type="dxa"/>
            <w:tcBorders/>
            <w:shd w:fill="auto" w:val="clear"/>
            <w:vAlign w:val="center"/>
          </w:tcPr>
          <w:p>
            <w:pPr>
              <w:pStyle w:val="TableContents"/>
              <w:spacing w:before="0" w:after="0"/>
              <w:jc w:val="center"/>
              <w:rPr>
                <w:rFonts w:ascii="inherit" w:hAnsi="inherit"/>
                <w:sz w:val="15"/>
              </w:rPr>
            </w:pPr>
            <w:r>
              <w:rPr>
                <w:rFonts w:ascii="inherit" w:hAnsi="inherit"/>
                <w:sz w:val="15"/>
              </w:rPr>
              <w:t>1,100,198</w:t>
            </w:r>
          </w:p>
          <w:p>
            <w:pPr>
              <w:pStyle w:val="TableContents"/>
              <w:spacing w:before="0" w:after="0"/>
              <w:jc w:val="center"/>
              <w:rPr>
                <w:rFonts w:ascii="inherit" w:hAnsi="inherit"/>
                <w:sz w:val="15"/>
              </w:rPr>
            </w:pPr>
            <w:r>
              <w:rPr>
                <w:rFonts w:ascii="inherit" w:hAnsi="inherit"/>
                <w:sz w:val="15"/>
              </w:rPr>
            </w:r>
          </w:p>
        </w:tc>
        <w:tc>
          <w:tcPr>
            <w:tcW w:w="1205" w:type="dxa"/>
            <w:tcBorders/>
            <w:shd w:fill="auto" w:val="clear"/>
            <w:vAlign w:val="center"/>
          </w:tcPr>
          <w:p>
            <w:pPr>
              <w:pStyle w:val="TableContents"/>
              <w:spacing w:before="0" w:after="0"/>
              <w:jc w:val="center"/>
              <w:rPr/>
            </w:pPr>
            <w:r>
              <w:rPr/>
              <w:t>—</w:t>
            </w:r>
          </w:p>
        </w:tc>
        <w:tc>
          <w:tcPr>
            <w:tcW w:w="1764" w:type="dxa"/>
            <w:tcBorders/>
            <w:shd w:fill="auto" w:val="clear"/>
            <w:vAlign w:val="center"/>
          </w:tcPr>
          <w:p>
            <w:pPr>
              <w:pStyle w:val="TableContents"/>
              <w:spacing w:before="0" w:after="0"/>
              <w:ind w:left="0" w:right="0" w:firstLine="30"/>
              <w:jc w:val="center"/>
              <w:rPr/>
            </w:pPr>
            <w:r>
              <w:rPr/>
              <w:t>—</w:t>
            </w:r>
          </w:p>
        </w:tc>
      </w:tr>
      <w:tr>
        <w:trPr/>
        <w:tc>
          <w:tcPr>
            <w:tcW w:w="2642" w:type="dxa"/>
            <w:tcBorders/>
            <w:shd w:fill="auto" w:val="clear"/>
            <w:vAlign w:val="center"/>
          </w:tcPr>
          <w:p>
            <w:pPr>
              <w:pStyle w:val="TableContents"/>
              <w:spacing w:before="0" w:after="0"/>
              <w:jc w:val="left"/>
              <w:rPr>
                <w:rFonts w:ascii="inherit" w:hAnsi="inherit"/>
                <w:sz w:val="15"/>
              </w:rPr>
            </w:pPr>
            <w:r>
              <w:rPr>
                <w:rFonts w:ascii="inherit" w:hAnsi="inherit"/>
                <w:sz w:val="15"/>
              </w:rPr>
              <w:t>James R. Carnes Revocable Trust u/t/a February 10, 2010 (5)</w:t>
            </w:r>
          </w:p>
        </w:tc>
        <w:tc>
          <w:tcPr>
            <w:tcW w:w="1337"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300,000</w:t>
            </w:r>
          </w:p>
        </w:tc>
        <w:tc>
          <w:tcPr>
            <w:tcW w:w="1642" w:type="dxa"/>
            <w:tcBorders/>
            <w:shd w:fill="auto" w:val="clear"/>
            <w:vAlign w:val="center"/>
          </w:tcPr>
          <w:p>
            <w:pPr>
              <w:pStyle w:val="TableContents"/>
              <w:spacing w:before="0" w:after="0"/>
              <w:jc w:val="center"/>
              <w:rPr>
                <w:rFonts w:ascii="inherit" w:hAnsi="inherit"/>
                <w:sz w:val="15"/>
              </w:rPr>
            </w:pPr>
            <w:r>
              <w:rPr>
                <w:rFonts w:ascii="inherit" w:hAnsi="inherit"/>
                <w:sz w:val="15"/>
              </w:rPr>
              <w:t>0.6%</w:t>
            </w:r>
          </w:p>
        </w:tc>
        <w:tc>
          <w:tcPr>
            <w:tcW w:w="1615" w:type="dxa"/>
            <w:tcBorders/>
            <w:shd w:fill="auto" w:val="clear"/>
            <w:vAlign w:val="center"/>
          </w:tcPr>
          <w:p>
            <w:pPr>
              <w:pStyle w:val="TableContents"/>
              <w:spacing w:before="0" w:after="0"/>
              <w:jc w:val="center"/>
              <w:rPr>
                <w:rFonts w:ascii="inherit" w:hAnsi="inherit"/>
                <w:sz w:val="15"/>
              </w:rPr>
            </w:pPr>
            <w:r>
              <w:rPr>
                <w:rFonts w:ascii="inherit" w:hAnsi="inherit"/>
                <w:sz w:val="15"/>
              </w:rPr>
              <w:t>300,000</w:t>
            </w:r>
          </w:p>
        </w:tc>
        <w:tc>
          <w:tcPr>
            <w:tcW w:w="1205" w:type="dxa"/>
            <w:tcBorders/>
            <w:shd w:fill="auto" w:val="clear"/>
            <w:vAlign w:val="center"/>
          </w:tcPr>
          <w:p>
            <w:pPr>
              <w:pStyle w:val="TableContents"/>
              <w:spacing w:before="0" w:after="0"/>
              <w:jc w:val="center"/>
              <w:rPr/>
            </w:pPr>
            <w:r>
              <w:rPr/>
              <w:t>—</w:t>
            </w:r>
          </w:p>
        </w:tc>
        <w:tc>
          <w:tcPr>
            <w:tcW w:w="1764" w:type="dxa"/>
            <w:tcBorders/>
            <w:shd w:fill="auto" w:val="clear"/>
            <w:vAlign w:val="center"/>
          </w:tcPr>
          <w:p>
            <w:pPr>
              <w:pStyle w:val="TableContents"/>
              <w:spacing w:before="0" w:after="0"/>
              <w:jc w:val="center"/>
              <w:rPr/>
            </w:pPr>
            <w:r>
              <w:rPr/>
              <w:t>—</w:t>
            </w:r>
          </w:p>
        </w:tc>
      </w:tr>
    </w:tbl>
    <w:p>
      <w:pPr>
        <w:pStyle w:val="TextBody"/>
        <w:spacing w:lineRule="auto" w:line="288" w:before="0" w:after="0"/>
        <w:jc w:val="left"/>
        <w:rPr>
          <w:rFonts w:ascii="inherit" w:hAnsi="inherit"/>
          <w:sz w:val="17"/>
        </w:rPr>
      </w:pPr>
      <w:r>
        <w:rPr>
          <w:rFonts w:ascii="inherit" w:hAnsi="inherit"/>
          <w:sz w:val="17"/>
        </w:rPr>
        <w:t>_______________</w:t>
      </w:r>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sz w:val="4"/>
                <w:szCs w:val="4"/>
              </w:rPr>
            </w:pPr>
            <w:r>
              <w:rPr>
                <w:sz w:val="4"/>
                <w:szCs w:val="4"/>
              </w:rPr>
            </w:r>
          </w:p>
        </w:tc>
        <w:tc>
          <w:tcPr>
            <w:tcW w:w="9954" w:type="dxa"/>
            <w:tcBorders/>
            <w:shd w:fill="auto" w:val="clear"/>
            <w:vAlign w:val="center"/>
          </w:tcPr>
          <w:p>
            <w:pPr>
              <w:pStyle w:val="TableContents"/>
              <w:spacing w:before="0" w:after="283"/>
              <w:rPr>
                <w:sz w:val="4"/>
                <w:szCs w:val="4"/>
              </w:rPr>
            </w:pPr>
            <w:r>
              <w:rPr>
                <w:sz w:val="4"/>
                <w:szCs w:val="4"/>
              </w:rPr>
            </w:r>
          </w:p>
        </w:tc>
      </w:tr>
      <w:tr>
        <w:trPr/>
        <w:tc>
          <w:tcPr>
            <w:tcW w:w="25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995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Beneficial ownership as used herein has the meaning ascribed thereto under Section 13(d) of the Exchange Act and the rules thereunder.</w:t>
            </w:r>
          </w:p>
        </w:tc>
      </w:tr>
    </w:tbl>
    <w:tbl>
      <w:tblPr>
        <w:tblW w:w="9025" w:type="dxa"/>
        <w:jc w:val="left"/>
        <w:tblInd w:w="0" w:type="dxa"/>
        <w:tblCellMar>
          <w:top w:w="0" w:type="dxa"/>
          <w:left w:w="0" w:type="dxa"/>
          <w:bottom w:w="0" w:type="dxa"/>
          <w:right w:w="0" w:type="dxa"/>
        </w:tblCellMar>
      </w:tblPr>
      <w:tblGrid>
        <w:gridCol w:w="260"/>
        <w:gridCol w:w="8765"/>
      </w:tblGrid>
      <w:tr>
        <w:trPr/>
        <w:tc>
          <w:tcPr>
            <w:tcW w:w="260" w:type="dxa"/>
            <w:tcBorders/>
            <w:shd w:fill="auto" w:val="clear"/>
            <w:vAlign w:val="center"/>
          </w:tcPr>
          <w:p>
            <w:pPr>
              <w:pStyle w:val="TableContents"/>
              <w:spacing w:before="0" w:after="283"/>
              <w:rPr>
                <w:sz w:val="4"/>
                <w:szCs w:val="4"/>
              </w:rPr>
            </w:pPr>
            <w:r>
              <w:rPr>
                <w:sz w:val="4"/>
                <w:szCs w:val="4"/>
              </w:rPr>
            </w:r>
          </w:p>
        </w:tc>
        <w:tc>
          <w:tcPr>
            <w:tcW w:w="876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8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51,165,887 shares of our Class A Non-Voting Common Stock outstanding as of January 8, 2013.</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sz w:val="4"/>
                <w:szCs w:val="4"/>
              </w:rPr>
            </w:pPr>
            <w:r>
              <w:rPr>
                <w:sz w:val="4"/>
                <w:szCs w:val="4"/>
              </w:rPr>
            </w:r>
          </w:p>
        </w:tc>
        <w:tc>
          <w:tcPr>
            <w:tcW w:w="9984" w:type="dxa"/>
            <w:tcBorders/>
            <w:shd w:fill="auto" w:val="clear"/>
            <w:vAlign w:val="center"/>
          </w:tcPr>
          <w:p>
            <w:pPr>
              <w:pStyle w:val="TableContents"/>
              <w:spacing w:before="0" w:after="283"/>
              <w:rPr>
                <w:sz w:val="4"/>
                <w:szCs w:val="4"/>
              </w:rPr>
            </w:pPr>
            <w:r>
              <w:rPr>
                <w:sz w:val="4"/>
                <w:szCs w:val="4"/>
              </w:rPr>
            </w:r>
          </w:p>
        </w:tc>
      </w:tr>
      <w:tr>
        <w:trPr/>
        <w:tc>
          <w:tcPr>
            <w:tcW w:w="22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(3)</w:t>
            </w:r>
          </w:p>
        </w:tc>
        <w:tc>
          <w:tcPr>
            <w:tcW w:w="998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Assumes that the selling stockholder sells all of the shares offered by this prospectus and that prior to the sale of such shares the selling stockholder does not acquire additional shares or dispose of any shares beneficially owned by the selling stockholder that are not being offered pursuant to this prospectus.</w:t>
            </w:r>
          </w:p>
        </w:tc>
      </w:tr>
    </w:tbl>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sz w:val="4"/>
                <w:szCs w:val="4"/>
              </w:rPr>
            </w:pPr>
            <w:r>
              <w:rPr>
                <w:sz w:val="4"/>
                <w:szCs w:val="4"/>
              </w:rPr>
            </w:r>
          </w:p>
        </w:tc>
        <w:tc>
          <w:tcPr>
            <w:tcW w:w="9993" w:type="dxa"/>
            <w:tcBorders/>
            <w:shd w:fill="auto" w:val="clear"/>
            <w:vAlign w:val="center"/>
          </w:tcPr>
          <w:p>
            <w:pPr>
              <w:pStyle w:val="TableContents"/>
              <w:spacing w:before="0" w:after="283"/>
              <w:rPr>
                <w:sz w:val="4"/>
                <w:szCs w:val="4"/>
              </w:rPr>
            </w:pPr>
            <w:r>
              <w:rPr>
                <w:sz w:val="4"/>
                <w:szCs w:val="4"/>
              </w:rPr>
            </w:r>
          </w:p>
        </w:tc>
      </w:tr>
      <w:tr>
        <w:trPr/>
        <w:tc>
          <w:tcPr>
            <w:tcW w:w="21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 xml:space="preserve">(4) </w:t>
            </w:r>
          </w:p>
        </w:tc>
        <w:tc>
          <w:tcPr>
            <w:tcW w:w="999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Hayfield Investment Partners, LLC, a Delaware limited liability company, is managed by Willowbrook Partners, LLC, a Delaware limited liability company, which is managed and wholly-owned by Willowbrook Management, Inc., a Delaware corporation. James R. Carnes and Edward Foster own 98.5% and 1.5%, respectively, of Willowbrook Management, Inc. Mr. Carnes has sole investment power with respect to the shares of our Class A Non-Voting Common Stock owned of record by Hayfield Investment Partners, LLC. Willowbrook Partners, LLC, Willowbrook Management, Inc. and Mr. Carnes and Mr. Foster may each be deemed to share beneficial ownership of the shares of our Class A Non-Voting Common Stock owned of record by Hayfield Investment Partners, LLC. Willowbrook Partners, LLC, Willowbrook Management, Inc. and Mr. Carnes and Mr. Foster expressly disclaim any such beneficial ownership.</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4"/>
                <w:szCs w:val="4"/>
              </w:rPr>
            </w:pPr>
            <w:r>
              <w:rPr>
                <w:sz w:val="4"/>
                <w:szCs w:val="4"/>
              </w:rPr>
            </w:r>
          </w:p>
        </w:tc>
        <w:tc>
          <w:tcPr>
            <w:tcW w:w="9990"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 xml:space="preserve">(5) </w:t>
            </w:r>
          </w:p>
        </w:tc>
        <w:tc>
          <w:tcPr>
            <w:tcW w:w="99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James R. Carnes Revocable Trust u/t/a February 10, 2010 is a revocable trust of which James R. Carnes and Melissa C. Carnes are the co-trustees and Mr. Carnes is the sole current beneficiary. Mr. Carnes has sole investment power with respect to the shares of our Class A Non-Voting Common Stock owned of record by James R. Carnes Revocable Trust u/t/a February 10, 2010. Mr. Carnes may be deemed to share beneficial ownership of the shares of our Class A Non-Voting Common Stock owned of record by James R. Carnes Revocable Trust u/t/a February 20, 2010. Shortly after the closing of our acquisition of certain assets pursuant to the Purchase Agreement, Mr. Carnes became an employee of one of our subsidiaries. </w:t>
            </w:r>
          </w:p>
        </w:tc>
      </w:tr>
    </w:tbl>
    <w:p>
      <w:pPr>
        <w:pStyle w:val="TextBody"/>
        <w:spacing w:lineRule="auto" w:line="288" w:before="0" w:after="0"/>
        <w:jc w:val="center"/>
        <w:rPr>
          <w:rFonts w:ascii="inherit" w:hAnsi="inherit"/>
          <w:b/>
          <w:sz w:val="17"/>
        </w:rPr>
      </w:pPr>
      <w:bookmarkStart w:id="18" w:name="s79C78B948350251F6C215E1280324145"/>
      <w:bookmarkEnd w:id="18"/>
      <w:r>
        <w:rPr>
          <w:rFonts w:ascii="inherit" w:hAnsi="inherit"/>
          <w:b/>
          <w:sz w:val="17"/>
        </w:rPr>
        <w:t>PLAN OF DISTRIBUTION</w:t>
      </w:r>
    </w:p>
    <w:p>
      <w:pPr>
        <w:pStyle w:val="TextBody"/>
        <w:spacing w:lineRule="auto" w:line="288" w:before="0" w:after="0"/>
        <w:jc w:val="left"/>
        <w:rPr>
          <w:rFonts w:ascii="inherit" w:hAnsi="inherit"/>
          <w:b/>
          <w:i/>
          <w:sz w:val="17"/>
        </w:rPr>
      </w:pPr>
      <w:r>
        <w:rPr>
          <w:rFonts w:ascii="inherit" w:hAnsi="inherit"/>
          <w:b/>
          <w:i/>
          <w:sz w:val="17"/>
        </w:rPr>
        <w:t>Resales by the Selling Stockholders</w:t>
      </w:r>
    </w:p>
    <w:p>
      <w:pPr>
        <w:pStyle w:val="TextBody"/>
        <w:spacing w:lineRule="auto" w:line="288" w:before="0" w:after="0"/>
        <w:jc w:val="left"/>
        <w:rPr/>
      </w:pPr>
      <w:r>
        <w:rPr/>
        <w:t xml:space="preserve">        </w:t>
      </w:r>
      <w:r>
        <w:rPr>
          <w:rFonts w:ascii="inherit" w:hAnsi="inherit"/>
          <w:sz w:val="17"/>
        </w:rPr>
        <w:t>We are registering the shares of our Class A Non-Voting Common Stock on behalf of the selling stockholders pursuant to the terms of the Purchase Agreement, and we will not receive any of the proceeds from the sale by the selling stockholders of any such shares. The selling stockholders may offer the shares of our Class A Non-Voting Common Stock from time to time, either in increments or in a single transaction. The selling stockholders may also decide not to sell all the shares of our Class A Non-Voting Common Stock they are allowed to sell under this prospectus. The selling stockholders will act independently of us in making decisions with respect to the timing, manner and size of each sale.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Types of Sale Transactions</w:t>
      </w:r>
    </w:p>
    <w:p>
      <w:pPr>
        <w:pStyle w:val="TextBody"/>
        <w:spacing w:lineRule="auto" w:line="288" w:before="0" w:after="0"/>
        <w:jc w:val="left"/>
        <w:rPr/>
      </w:pPr>
      <w:r>
        <w:rPr/>
        <w:t xml:space="preserve">        </w:t>
      </w:r>
      <w:r>
        <w:rPr>
          <w:rFonts w:ascii="inherit" w:hAnsi="inherit"/>
          <w:sz w:val="17"/>
        </w:rPr>
        <w:t>The selling stockholders may sell the shares of our Class A Non-Voting Common Stock offered by this prospectus at market prices prevailing at the time of sale, at prices related to such prevailing market prices, at negotiated prices or at fixed prices that may be changed. Sales of shares of our Class A Non-Voting Common Stock by the selling stockholders may occur from time to time in one or more of the following types of transactions (which may involve crosses or block transactions):</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through the NASDAQ Global Select Market or any other securities exchange that quotes our Class A Non-Voting Common Stock;</w:t>
            </w:r>
          </w:p>
        </w:tc>
      </w:tr>
    </w:tbl>
    <w:tbl>
      <w:tblPr>
        <w:tblW w:w="3880" w:type="dxa"/>
        <w:jc w:val="left"/>
        <w:tblInd w:w="0" w:type="dxa"/>
        <w:tblCellMar>
          <w:top w:w="0" w:type="dxa"/>
          <w:left w:w="0" w:type="dxa"/>
          <w:bottom w:w="0" w:type="dxa"/>
          <w:right w:w="0" w:type="dxa"/>
        </w:tblCellMar>
      </w:tblPr>
      <w:tblGrid>
        <w:gridCol w:w="1205"/>
        <w:gridCol w:w="2675"/>
      </w:tblGrid>
      <w:tr>
        <w:trPr/>
        <w:tc>
          <w:tcPr>
            <w:tcW w:w="120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6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the over-the-counter market;</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transactions other than on those exchanges or in the over-the-counter market (including negotiated transactions and other private transactions);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short sales (sales of shares completed by delivery of borrowed stock) of our Class A Non-Voting Common Stock, in transactions to cover short sales or otherwise in connection with short sales;</w:t>
            </w:r>
          </w:p>
        </w:tc>
      </w:tr>
    </w:tbl>
    <w:tbl>
      <w:tblPr>
        <w:tblW w:w="7780" w:type="dxa"/>
        <w:jc w:val="left"/>
        <w:tblInd w:w="0" w:type="dxa"/>
        <w:tblCellMar>
          <w:top w:w="0" w:type="dxa"/>
          <w:left w:w="0" w:type="dxa"/>
          <w:bottom w:w="0" w:type="dxa"/>
          <w:right w:w="0" w:type="dxa"/>
        </w:tblCellMar>
      </w:tblPr>
      <w:tblGrid>
        <w:gridCol w:w="1205"/>
        <w:gridCol w:w="6575"/>
      </w:tblGrid>
      <w:tr>
        <w:trPr/>
        <w:tc>
          <w:tcPr>
            <w:tcW w:w="1205" w:type="dxa"/>
            <w:tcBorders/>
            <w:shd w:fill="auto" w:val="clear"/>
            <w:vAlign w:val="center"/>
          </w:tcPr>
          <w:p>
            <w:pPr>
              <w:pStyle w:val="TableContents"/>
              <w:spacing w:before="0" w:after="283"/>
              <w:rPr>
                <w:sz w:val="4"/>
                <w:szCs w:val="4"/>
              </w:rPr>
            </w:pPr>
            <w:r>
              <w:rPr>
                <w:sz w:val="4"/>
                <w:szCs w:val="4"/>
              </w:rPr>
            </w:r>
          </w:p>
        </w:tc>
        <w:tc>
          <w:tcPr>
            <w:tcW w:w="65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by pledge to secure debts and other obligations or on foreclosure of a pledge;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through put or call options, including the writing of exchange-traded call options, or other hedging transactions related to our Class A Non-Voting Common Stock; </w:t>
            </w:r>
          </w:p>
        </w:tc>
      </w:tr>
    </w:tbl>
    <w:tbl>
      <w:tblPr>
        <w:tblW w:w="8095" w:type="dxa"/>
        <w:jc w:val="left"/>
        <w:tblInd w:w="0" w:type="dxa"/>
        <w:tblCellMar>
          <w:top w:w="0" w:type="dxa"/>
          <w:left w:w="0" w:type="dxa"/>
          <w:bottom w:w="0" w:type="dxa"/>
          <w:right w:w="0" w:type="dxa"/>
        </w:tblCellMar>
      </w:tblPr>
      <w:tblGrid>
        <w:gridCol w:w="1205"/>
        <w:gridCol w:w="6890"/>
      </w:tblGrid>
      <w:tr>
        <w:trPr/>
        <w:tc>
          <w:tcPr>
            <w:tcW w:w="1205" w:type="dxa"/>
            <w:tcBorders/>
            <w:shd w:fill="auto" w:val="clear"/>
            <w:vAlign w:val="center"/>
          </w:tcPr>
          <w:p>
            <w:pPr>
              <w:pStyle w:val="TableContents"/>
              <w:spacing w:before="0" w:after="283"/>
              <w:rPr>
                <w:sz w:val="4"/>
                <w:szCs w:val="4"/>
              </w:rPr>
            </w:pPr>
            <w:r>
              <w:rPr>
                <w:sz w:val="4"/>
                <w:szCs w:val="4"/>
              </w:rPr>
            </w:r>
          </w:p>
        </w:tc>
        <w:tc>
          <w:tcPr>
            <w:tcW w:w="689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8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an exchange distribution in accordance with the rules of the applicable exchange; </w:t>
            </w:r>
          </w:p>
        </w:tc>
      </w:tr>
    </w:tbl>
    <w:tbl>
      <w:tblPr>
        <w:tblW w:w="5650" w:type="dxa"/>
        <w:jc w:val="left"/>
        <w:tblInd w:w="0" w:type="dxa"/>
        <w:tblCellMar>
          <w:top w:w="0" w:type="dxa"/>
          <w:left w:w="0" w:type="dxa"/>
          <w:bottom w:w="0" w:type="dxa"/>
          <w:right w:w="0" w:type="dxa"/>
        </w:tblCellMar>
      </w:tblPr>
      <w:tblGrid>
        <w:gridCol w:w="1205"/>
        <w:gridCol w:w="4445"/>
      </w:tblGrid>
      <w:tr>
        <w:trPr/>
        <w:tc>
          <w:tcPr>
            <w:tcW w:w="1205" w:type="dxa"/>
            <w:tcBorders/>
            <w:shd w:fill="auto" w:val="clear"/>
            <w:vAlign w:val="center"/>
          </w:tcPr>
          <w:p>
            <w:pPr>
              <w:pStyle w:val="TableContents"/>
              <w:spacing w:before="0" w:after="283"/>
              <w:rPr>
                <w:sz w:val="4"/>
                <w:szCs w:val="4"/>
              </w:rPr>
            </w:pPr>
            <w:r>
              <w:rPr>
                <w:sz w:val="4"/>
                <w:szCs w:val="4"/>
              </w:rPr>
            </w:r>
          </w:p>
        </w:tc>
        <w:tc>
          <w:tcPr>
            <w:tcW w:w="444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4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a combination of any of the above transactions; or</w:t>
            </w:r>
          </w:p>
        </w:tc>
      </w:tr>
    </w:tbl>
    <w:tbl>
      <w:tblPr>
        <w:tblW w:w="5890" w:type="dxa"/>
        <w:jc w:val="left"/>
        <w:tblInd w:w="0" w:type="dxa"/>
        <w:tblCellMar>
          <w:top w:w="0" w:type="dxa"/>
          <w:left w:w="0" w:type="dxa"/>
          <w:bottom w:w="0" w:type="dxa"/>
          <w:right w:w="0" w:type="dxa"/>
        </w:tblCellMar>
      </w:tblPr>
      <w:tblGrid>
        <w:gridCol w:w="1205"/>
        <w:gridCol w:w="4685"/>
      </w:tblGrid>
      <w:tr>
        <w:trPr/>
        <w:tc>
          <w:tcPr>
            <w:tcW w:w="1205" w:type="dxa"/>
            <w:tcBorders/>
            <w:shd w:fill="auto" w:val="clear"/>
            <w:vAlign w:val="center"/>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other method permitted pursuant to applicable law.</w:t>
            </w:r>
          </w:p>
        </w:tc>
      </w:tr>
    </w:tbl>
    <w:p>
      <w:pPr>
        <w:pStyle w:val="TextBody"/>
        <w:spacing w:lineRule="auto" w:line="288" w:before="0" w:after="0"/>
        <w:jc w:val="left"/>
        <w:rPr/>
      </w:pPr>
      <w:r>
        <w:rPr/>
        <w:t xml:space="preserve">        </w:t>
      </w:r>
      <w:r>
        <w:rPr>
          <w:rFonts w:ascii="inherit" w:hAnsi="inherit"/>
          <w:sz w:val="17"/>
        </w:rPr>
        <w:t>The selling stockholders may enter into hedging transactions from time to time in which they may:</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enter into transactions with a broker-dealer or any other person in connection with which such broker-dealer or other person will engage in short sales of our Class A Non-Voting Common Stock, in which case such broker-dealer or other person may use shares of our Class A Non-Voting Common Stock received from the selling stockholders to close out its short positions;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sell our Class A Non-Voting Common Stock short itself and redeliver shares offered by this prospectus to close out its short positions or to close out stock loans incurred in connection with its short positions;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enter into option or other types of transactions that require the selling stockholders to deliver our Class A Non-Voting Common Stock to a broker-dealer or any other person, who will then resell or transfer the common stock under this prospectus; or</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loan or pledge our Class A Non-Voting Common Stock to a broker-dealer or any other person, who may sell the loaned shares or, in an event of default in the case of a pledge, sell the pledged shares under this prospectus.</w:t>
            </w:r>
          </w:p>
        </w:tc>
      </w:tr>
    </w:tbl>
    <w:p>
      <w:pPr>
        <w:pStyle w:val="TextBody"/>
        <w:spacing w:lineRule="auto" w:line="288" w:before="0" w:after="0"/>
        <w:jc w:val="left"/>
        <w:rPr/>
      </w:pPr>
      <w:r>
        <w:rPr/>
        <w:t xml:space="preserve">        </w:t>
      </w:r>
      <w:r>
        <w:rPr>
          <w:rFonts w:ascii="inherit" w:hAnsi="inherit"/>
          <w:sz w:val="17"/>
        </w:rPr>
        <w:t>The selling stockholders may use broker-dealers or other persons to sell their shares in transactions that may include one or more of the following:</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block trade in which a broker-dealer or other person may resell a portion of the block, as principal or agent, in order to facilitate the transaction;</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purchases by a broker-dealer or other person, as principal, and resale by the broker-dealer or other person for its account; or</w:t>
            </w:r>
          </w:p>
        </w:tc>
      </w:tr>
    </w:tbl>
    <w:tbl>
      <w:tblPr>
        <w:tblW w:w="9115" w:type="dxa"/>
        <w:jc w:val="left"/>
        <w:tblInd w:w="0" w:type="dxa"/>
        <w:tblCellMar>
          <w:top w:w="0" w:type="dxa"/>
          <w:left w:w="0" w:type="dxa"/>
          <w:bottom w:w="0" w:type="dxa"/>
          <w:right w:w="0" w:type="dxa"/>
        </w:tblCellMar>
      </w:tblPr>
      <w:tblGrid>
        <w:gridCol w:w="1205"/>
        <w:gridCol w:w="7910"/>
      </w:tblGrid>
      <w:tr>
        <w:trPr/>
        <w:tc>
          <w:tcPr>
            <w:tcW w:w="1205" w:type="dxa"/>
            <w:tcBorders/>
            <w:shd w:fill="auto" w:val="clear"/>
            <w:vAlign w:val="center"/>
          </w:tcPr>
          <w:p>
            <w:pPr>
              <w:pStyle w:val="TableContents"/>
              <w:spacing w:before="0" w:after="283"/>
              <w:rPr>
                <w:sz w:val="4"/>
                <w:szCs w:val="4"/>
              </w:rPr>
            </w:pPr>
            <w:r>
              <w:rPr>
                <w:sz w:val="4"/>
                <w:szCs w:val="4"/>
              </w:rPr>
            </w:r>
          </w:p>
        </w:tc>
        <w:tc>
          <w:tcPr>
            <w:tcW w:w="791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9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ordinary brokerage transactions and transactions in which a broker-dealer solicits purchasers.</w:t>
            </w:r>
          </w:p>
        </w:tc>
      </w:tr>
    </w:tbl>
    <w:p>
      <w:pPr>
        <w:pStyle w:val="TextBody"/>
        <w:spacing w:lineRule="auto" w:line="288" w:before="0" w:after="0"/>
        <w:jc w:val="left"/>
        <w:rPr/>
      </w:pPr>
      <w:r>
        <w:rPr/>
        <w:t xml:space="preserve">        </w:t>
      </w:r>
      <w:r>
        <w:rPr>
          <w:rFonts w:ascii="inherit" w:hAnsi="inherit"/>
          <w:sz w:val="17"/>
        </w:rPr>
        <w:t>Resales by the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our Class A Non-Voting Common Stock by the selling stockholder or the securities firm may purchase shares of our Class A Non-Voting Common Stock from the selling stockholder as principal and thereafter resell those shares from time to time. The fees earned by or paid to the securities firm may be the normal stock exchange commission or negotiated commissions or underwriting discounts or concessions to the extent permissible. The securities firm may resell the securities through other securities dealers, and commissions or concessions to those other dealers may be allowed.</w:t>
      </w:r>
    </w:p>
    <w:p>
      <w:pPr>
        <w:pStyle w:val="TextBody"/>
        <w:spacing w:lineRule="auto" w:line="288" w:before="0" w:after="0"/>
        <w:jc w:val="left"/>
        <w:rPr/>
      </w:pPr>
      <w:r>
        <w:rPr/>
        <w:t xml:space="preserve">        </w:t>
      </w:r>
      <w:r>
        <w:rPr>
          <w:rFonts w:ascii="inherit" w:hAnsi="inherit"/>
          <w:sz w:val="17"/>
        </w:rPr>
        <w:t>The selling stockholders and any agent, broker or dealer that participates in sales of our Class A Non-Voting Common Stock offered by this prospectus may be deemed “underwriters” under the Securities Act, and any commissions or other consideration received by any agent, broker or dealer may be considered underwriting discounts or commissions under the Securities Act.</w:t>
      </w:r>
    </w:p>
    <w:p>
      <w:pPr>
        <w:pStyle w:val="TextBody"/>
        <w:spacing w:lineRule="auto" w:line="288" w:before="0" w:after="0"/>
        <w:ind w:left="0" w:right="0" w:firstLine="720"/>
        <w:jc w:val="left"/>
        <w:rPr>
          <w:rFonts w:ascii="inherit" w:hAnsi="inherit"/>
          <w:sz w:val="17"/>
        </w:rPr>
      </w:pPr>
      <w:r>
        <w:rPr>
          <w:rFonts w:ascii="inherit" w:hAnsi="inherit"/>
          <w:sz w:val="17"/>
        </w:rPr>
        <w:t>To our knowledge, there are currently no plans, arrangements or understandings between any selling stockholders and any underwriter, broker-dealer or agent regarding the sale of our Class A Non-Voting Common Stock by the selling stockholders, except that we understand certain selling stockholders have adopted or may in the future adopt written plans, known as Rule 10b5-1 stock trading plans, allowing them to sell some or all of their shares over time as part of their financial, tax and/or estate planning. Under a Rule 10b5-1 plan, a broker executes trades pursuant to parameters established by a selling stockholder when entering into the plan, without further direction from the selling stockholder.</w:t>
      </w:r>
    </w:p>
    <w:p>
      <w:pPr>
        <w:pStyle w:val="TextBody"/>
        <w:spacing w:lineRule="auto" w:line="288" w:before="0" w:after="0"/>
        <w:jc w:val="left"/>
        <w:rPr/>
      </w:pPr>
      <w:r>
        <w:rPr/>
        <w:t xml:space="preserve">        </w:t>
      </w:r>
      <w:r>
        <w:rPr>
          <w:rFonts w:ascii="inherit" w:hAnsi="inherit"/>
          <w:sz w:val="17"/>
        </w:rPr>
        <w:t>Instead of selling shares of our Class A Non-Voting Common Stock under this prospectus, the selling stockholders may sell shares of our Class A Non-Voting Common Stock in compliance with the provisions of Rule 144 under the Securities Act, if available.</w:t>
      </w:r>
    </w:p>
    <w:p>
      <w:pPr>
        <w:pStyle w:val="TextBody"/>
        <w:spacing w:lineRule="auto" w:line="288" w:before="0" w:after="0"/>
        <w:jc w:val="left"/>
        <w:rPr>
          <w:rFonts w:ascii="inherit" w:hAnsi="inherit"/>
          <w:b/>
          <w:i/>
          <w:sz w:val="17"/>
        </w:rPr>
      </w:pPr>
      <w:r>
        <w:rPr>
          <w:rFonts w:ascii="inherit" w:hAnsi="inherit"/>
          <w:b/>
          <w:i/>
          <w:sz w:val="17"/>
        </w:rPr>
        <w:t>Regulation M</w:t>
      </w:r>
    </w:p>
    <w:p>
      <w:pPr>
        <w:pStyle w:val="TextBody"/>
        <w:spacing w:lineRule="auto" w:line="288" w:before="0" w:after="0"/>
        <w:jc w:val="left"/>
        <w:rPr/>
      </w:pPr>
      <w:r>
        <w:rPr/>
        <w:t xml:space="preserve">        </w:t>
      </w:r>
      <w:r>
        <w:rPr>
          <w:rFonts w:ascii="inherit" w:hAnsi="inherit"/>
          <w:sz w:val="17"/>
        </w:rPr>
        <w:t>We have informed the selling stockholders that the anti-manipulation provisions of Regulation M under the Exchange Act may apply to their sales of our Class A Non-Voting Common Stock.</w:t>
      </w:r>
    </w:p>
    <w:p>
      <w:pPr>
        <w:pStyle w:val="TextBody"/>
        <w:spacing w:lineRule="auto" w:line="288" w:before="0" w:after="0"/>
        <w:jc w:val="left"/>
        <w:rPr>
          <w:rFonts w:ascii="inherit" w:hAnsi="inherit"/>
          <w:b/>
          <w:i/>
          <w:sz w:val="17"/>
        </w:rPr>
      </w:pPr>
      <w:r>
        <w:rPr>
          <w:rFonts w:ascii="inherit" w:hAnsi="inherit"/>
          <w:b/>
          <w:i/>
          <w:sz w:val="17"/>
        </w:rPr>
        <w:t>Indemnification</w:t>
      </w:r>
    </w:p>
    <w:p>
      <w:pPr>
        <w:pStyle w:val="TextBody"/>
        <w:spacing w:lineRule="auto" w:line="288" w:before="0" w:after="0"/>
        <w:jc w:val="left"/>
        <w:rPr/>
      </w:pPr>
      <w:r>
        <w:rPr/>
        <w:t xml:space="preserve">        </w:t>
      </w:r>
      <w:r>
        <w:rPr>
          <w:rFonts w:ascii="inherit" w:hAnsi="inherit"/>
          <w:sz w:val="17"/>
        </w:rPr>
        <w:t>We have agreed to indemnify selling stockholders against certain liabilities arising under the Securities Act from sales of our Class A Non-Voting Common Stock. The selling stockholders may agree to indemnify any agent, broker or dealer that participates in sales of our Class A Non-Voting Common Stock against liabilities arising under the Securities Act from sales of our Class A Non-Voting Common Stock.</w:t>
      </w:r>
    </w:p>
    <w:p>
      <w:pPr>
        <w:pStyle w:val="TextBody"/>
        <w:spacing w:lineRule="auto" w:line="288" w:before="0" w:after="0"/>
        <w:jc w:val="left"/>
        <w:rPr>
          <w:rFonts w:ascii="inherit" w:hAnsi="inherit"/>
          <w:b/>
          <w:i/>
          <w:sz w:val="17"/>
        </w:rPr>
      </w:pPr>
      <w:r>
        <w:rPr>
          <w:rFonts w:ascii="inherit" w:hAnsi="inherit"/>
          <w:b/>
          <w:i/>
          <w:sz w:val="17"/>
        </w:rPr>
        <w:t>Effectiveness of Registration Statement</w:t>
      </w:r>
    </w:p>
    <w:p>
      <w:pPr>
        <w:pStyle w:val="TextBody"/>
        <w:spacing w:lineRule="auto" w:line="288" w:before="0" w:after="0"/>
        <w:jc w:val="left"/>
        <w:rPr/>
      </w:pPr>
      <w:r>
        <w:rPr/>
        <w:t xml:space="preserve">       </w:t>
      </w:r>
      <w:r>
        <w:rPr>
          <w:rFonts w:ascii="inherit" w:hAnsi="inherit"/>
          <w:sz w:val="17"/>
        </w:rPr>
        <w:t>Pursuant to the terms of the Purchase Agreement, we will keep the registration statement of which this prospectus is a part continuously effective for a period ending on the later of (i) the sale of all of the shares of our Class A Non-Voting Common Stock received pursuant to the Purchase Agreement, and (ii) the date on which all such shares may be sold under Rule 144 of the Securities Act without any limitation as to volume or manner of sale and without the requirement for us to be in compliance with the current public information requirement of Rule 144.</w:t>
      </w:r>
    </w:p>
    <w:p>
      <w:pPr>
        <w:pStyle w:val="TextBody"/>
        <w:spacing w:lineRule="auto" w:line="288" w:before="0" w:after="0"/>
        <w:jc w:val="left"/>
        <w:rPr/>
      </w:pPr>
      <w:r>
        <w:rPr/>
        <w:t xml:space="preserve">        </w:t>
      </w:r>
      <w:r>
        <w:rPr>
          <w:rFonts w:ascii="inherit" w:hAnsi="inherit"/>
          <w:sz w:val="17"/>
        </w:rPr>
        <w:t>We are permitted to suspend the use of this prospectus if we have determined that continued use would require public disclosure by us of material non-public information. Such suspensions shall be for a period not to exceed 45 consecutive days and an aggregate of 90 days during any 12-month period.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Expenses of this Offering</w:t>
      </w:r>
    </w:p>
    <w:p>
      <w:pPr>
        <w:pStyle w:val="TextBody"/>
        <w:spacing w:lineRule="auto" w:line="288" w:before="0" w:after="0"/>
        <w:jc w:val="left"/>
        <w:rPr/>
      </w:pPr>
      <w:r>
        <w:rPr/>
        <w:t xml:space="preserve">        </w:t>
      </w:r>
      <w:r>
        <w:rPr>
          <w:rFonts w:ascii="inherit" w:hAnsi="inherit"/>
          <w:sz w:val="17"/>
        </w:rPr>
        <w:t>We have agreed, among other things, to pay all costs, fees and expenses incurred by us in connection with the registration of the shares of our Class A Non-Voting Common Stock covered by this prospectus, including all SEC fees, blue sky fees, printing expenses, transfer agent fees and legal and accounting fees. We are not responsible for the legal fees and expenses of the selling stockholders.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19" w:name="s36611E25ADE2166152E55E1280545CA1"/>
      <w:bookmarkEnd w:id="19"/>
      <w:r>
        <w:rPr>
          <w:rFonts w:ascii="inherit" w:hAnsi="inherit"/>
          <w:b/>
          <w:sz w:val="17"/>
        </w:rPr>
        <w:t>LEGAL MATTERS</w:t>
      </w:r>
    </w:p>
    <w:p>
      <w:pPr>
        <w:pStyle w:val="TextBody"/>
        <w:spacing w:lineRule="auto" w:line="288" w:before="0" w:after="0"/>
        <w:ind w:left="0" w:right="0" w:firstLine="720"/>
        <w:jc w:val="left"/>
        <w:rPr>
          <w:rFonts w:ascii="inherit" w:hAnsi="inherit"/>
          <w:sz w:val="17"/>
        </w:rPr>
      </w:pPr>
      <w:r>
        <w:rPr>
          <w:rFonts w:ascii="inherit" w:hAnsi="inherit"/>
          <w:sz w:val="17"/>
        </w:rPr>
        <w:t>The validity of the shares of our Class A Non-Voting Common Stock to be offered by this prospectus will be passed upon for us by Vinson &amp; Elkins L.L.P., Dallas, Texas.</w:t>
      </w:r>
    </w:p>
    <w:p>
      <w:pPr>
        <w:pStyle w:val="TextBody"/>
        <w:spacing w:lineRule="auto" w:line="288" w:before="0" w:after="0"/>
        <w:jc w:val="center"/>
        <w:rPr>
          <w:rFonts w:ascii="inherit" w:hAnsi="inherit"/>
          <w:b/>
          <w:sz w:val="17"/>
        </w:rPr>
      </w:pPr>
      <w:bookmarkStart w:id="20" w:name="sF5D4F1A576C73EBF6D815E128086F94A"/>
      <w:bookmarkEnd w:id="20"/>
      <w:r>
        <w:rPr>
          <w:rFonts w:ascii="inherit" w:hAnsi="inherit"/>
          <w:b/>
          <w:sz w:val="17"/>
        </w:rPr>
        <w:t>EXPERTS</w:t>
      </w:r>
    </w:p>
    <w:p>
      <w:pPr>
        <w:pStyle w:val="TextBody"/>
        <w:spacing w:lineRule="auto" w:line="288" w:before="0" w:after="0"/>
        <w:ind w:left="0" w:right="0" w:firstLine="720"/>
        <w:jc w:val="left"/>
        <w:rPr>
          <w:rFonts w:ascii="inherit" w:hAnsi="inherit"/>
          <w:sz w:val="17"/>
        </w:rPr>
      </w:pPr>
      <w:r>
        <w:rPr>
          <w:rFonts w:ascii="inherit" w:hAnsi="inherit"/>
          <w:sz w:val="17"/>
        </w:rPr>
        <w:t>The consolidated financial statements of EZCORP, Inc. as of September 30, 2012 and 2011, and for each of the three years in the period ended September 30, 2012, and the effectiveness of our internal control over financial reporting as of September 30, 2012, have been audited by BDO USA, LLP, independent registered public accounting firm, as set forth in their reports included in our Annual Report on Form 10-K for the year ended September 30, 2012 and incorporated herein by reference. Such consolidated financial statements are incorporated herein by reference in reliance upon such reports given on the authority of such firm as experts in accounting and auditing.</w:t>
      </w:r>
    </w:p>
    <w:p>
      <w:pPr>
        <w:pStyle w:val="TextBody"/>
        <w:spacing w:lineRule="auto" w:line="288" w:before="0" w:after="0"/>
        <w:jc w:val="center"/>
        <w:rPr>
          <w:rFonts w:ascii="inherit" w:hAnsi="inherit"/>
          <w:b/>
          <w:sz w:val="17"/>
        </w:rPr>
      </w:pPr>
      <w:bookmarkStart w:id="21" w:name="sB168755039477F4DC5E55E1280A8CBE2"/>
      <w:bookmarkEnd w:id="21"/>
      <w:r>
        <w:rPr>
          <w:rFonts w:ascii="inherit" w:hAnsi="inherit"/>
          <w:b/>
          <w:sz w:val="17"/>
        </w:rPr>
        <w:t>WHERE YOU CAN FIND MORE INFORMATION</w:t>
      </w:r>
    </w:p>
    <w:p>
      <w:pPr>
        <w:pStyle w:val="TextBody"/>
        <w:spacing w:lineRule="auto" w:line="288" w:before="0" w:after="0"/>
        <w:ind w:left="0" w:right="0" w:firstLine="720"/>
        <w:jc w:val="left"/>
        <w:rPr>
          <w:rFonts w:ascii="inherit" w:hAnsi="inherit"/>
          <w:sz w:val="17"/>
        </w:rPr>
      </w:pPr>
      <w:r>
        <w:rPr>
          <w:rFonts w:ascii="inherit" w:hAnsi="inherit"/>
          <w:sz w:val="17"/>
        </w:rPr>
        <w:t>We file annual and quarterly reports and other reports and information with the SEC. You may read and copy any of our reports, statements or other information on file at the SEC’s Public Reference Room located at 100 F Street, N.E., Washington, D.C. 20549. Please call the SEC at 1-800-SEC-0330 for further information regarding its Public Reference Room. Our SEC filings, including the complete registration statement of which this prospectus is a part, are available to the public from commercial document retrieval services and also are available at the website maintained by the SEC at www.sec.gov.</w:t>
      </w:r>
    </w:p>
    <w:p>
      <w:pPr>
        <w:pStyle w:val="TextBody"/>
        <w:spacing w:lineRule="auto" w:line="288" w:before="0" w:after="0"/>
        <w:ind w:left="0" w:right="0" w:firstLine="720"/>
        <w:jc w:val="left"/>
        <w:rPr>
          <w:rFonts w:ascii="inherit" w:hAnsi="inherit"/>
          <w:sz w:val="17"/>
        </w:rPr>
      </w:pPr>
      <w:r>
        <w:rPr>
          <w:rFonts w:ascii="inherit" w:hAnsi="inherit"/>
          <w:sz w:val="17"/>
        </w:rPr>
        <w:t>We maintain a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pStyle w:val="TextBody"/>
        <w:spacing w:lineRule="auto" w:line="288" w:before="0" w:after="0"/>
        <w:jc w:val="center"/>
        <w:rPr>
          <w:rFonts w:ascii="inherit" w:hAnsi="inherit"/>
          <w:b/>
          <w:sz w:val="17"/>
        </w:rPr>
      </w:pPr>
      <w:bookmarkStart w:id="22" w:name="sFBEF56481FD7A19E807D5E1280DA0BA5"/>
      <w:bookmarkEnd w:id="22"/>
      <w:r>
        <w:rPr>
          <w:rFonts w:ascii="inherit" w:hAnsi="inherit"/>
          <w:b/>
          <w:sz w:val="17"/>
        </w:rPr>
        <w:t>INCORPORATION OF DOCUMENTS BY REFERENCE</w:t>
      </w:r>
    </w:p>
    <w:p>
      <w:pPr>
        <w:pStyle w:val="TextBody"/>
        <w:spacing w:lineRule="auto" w:line="288" w:before="0" w:after="0"/>
        <w:ind w:left="0" w:right="0" w:firstLine="720"/>
        <w:jc w:val="left"/>
        <w:rPr>
          <w:rFonts w:ascii="inherit" w:hAnsi="inherit"/>
          <w:sz w:val="17"/>
        </w:rPr>
      </w:pPr>
      <w:r>
        <w:rPr>
          <w:rFonts w:ascii="inherit" w:hAnsi="inherit"/>
          <w:sz w:val="17"/>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tbl>
      <w:tblPr>
        <w:tblW w:w="6715" w:type="dxa"/>
        <w:jc w:val="left"/>
        <w:tblInd w:w="0" w:type="dxa"/>
        <w:tblCellMar>
          <w:top w:w="0" w:type="dxa"/>
          <w:left w:w="0" w:type="dxa"/>
          <w:bottom w:w="0" w:type="dxa"/>
          <w:right w:w="0" w:type="dxa"/>
        </w:tblCellMar>
      </w:tblPr>
      <w:tblGrid>
        <w:gridCol w:w="560"/>
        <w:gridCol w:w="6155"/>
      </w:tblGrid>
      <w:tr>
        <w:trPr/>
        <w:tc>
          <w:tcPr>
            <w:tcW w:w="560" w:type="dxa"/>
            <w:tcBorders/>
            <w:shd w:fill="auto" w:val="clear"/>
            <w:vAlign w:val="center"/>
          </w:tcPr>
          <w:p>
            <w:pPr>
              <w:pStyle w:val="TableContents"/>
              <w:spacing w:before="0" w:after="283"/>
              <w:rPr>
                <w:sz w:val="4"/>
                <w:szCs w:val="4"/>
              </w:rPr>
            </w:pPr>
            <w:r>
              <w:rPr>
                <w:sz w:val="4"/>
                <w:szCs w:val="4"/>
              </w:rPr>
            </w:r>
          </w:p>
        </w:tc>
        <w:tc>
          <w:tcPr>
            <w:tcW w:w="615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615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Our Annual Report on Form 10-K for the year ended September 30, 2012;</w:t>
            </w:r>
          </w:p>
        </w:tc>
      </w:tr>
    </w:tbl>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sz w:val="17"/>
              </w:rPr>
            </w:pPr>
            <w:r>
              <w:rPr>
                <w:rFonts w:ascii="inherit" w:hAnsi="inherit"/>
                <w:sz w:val="17"/>
              </w:rPr>
              <w:t>Our Current Reports on Form 8-K filed with the SEC on November 27, 2012, December 4, 2012, December 13, 2012 and December 20, 2012 (excluding any information furnished pursuant to Item 2.02 or Item 7.01);</w:t>
            </w:r>
            <w:r>
              <w:rPr>
                <w:sz w:val="17"/>
              </w:rPr>
              <w:t xml:space="preserve"> </w:t>
            </w:r>
            <w:r>
              <w:rPr>
                <w:rFonts w:ascii="inherit" w:hAnsi="inherit"/>
                <w:sz w:val="17"/>
              </w:rPr>
              <w:t>and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The description of our Class A Non-Voting Common Stock set forth in the Registration Statement on Form 8-A filed with the SEC on July 24, 1991, including any amendment or report filed for the purpose of updating such description.</w:t>
            </w:r>
          </w:p>
        </w:tc>
      </w:tr>
    </w:tbl>
    <w:p>
      <w:pPr>
        <w:pStyle w:val="TextBody"/>
        <w:spacing w:lineRule="auto" w:line="288" w:before="0" w:after="0"/>
        <w:ind w:left="0" w:right="0" w:firstLine="720"/>
        <w:jc w:val="left"/>
        <w:rPr>
          <w:rFonts w:ascii="inherit" w:hAnsi="inherit"/>
          <w:sz w:val="17"/>
        </w:rPr>
      </w:pPr>
      <w:r>
        <w:rPr>
          <w:rFonts w:ascii="inherit" w:hAnsi="inherit"/>
          <w:sz w:val="17"/>
        </w:rPr>
        <w:t>We also incorporate by reference each of the documents that we file with the SEC under Section 13(a), 13(c), 14 or 15(d) of the Exchange Act (excluding any information furnished and not filed with the SEC) after the date of this prospectus until all of the shares of our Class A Non-Voting Common Stock offered by this prospectus are sold.</w:t>
      </w:r>
    </w:p>
    <w:p>
      <w:pPr>
        <w:pStyle w:val="TextBody"/>
        <w:spacing w:lineRule="auto" w:line="288" w:before="0" w:after="0"/>
        <w:ind w:left="0" w:right="0" w:firstLine="720"/>
        <w:jc w:val="left"/>
        <w:rPr>
          <w:rFonts w:ascii="inherit" w:hAnsi="inherit"/>
          <w:sz w:val="17"/>
        </w:rPr>
      </w:pPr>
      <w:r>
        <w:rPr>
          <w:rFonts w:ascii="inherit" w:hAnsi="inherit"/>
          <w:sz w:val="17"/>
        </w:rPr>
        <w:t>You may obtain copies of any of these filings from us as described below or through the SEC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pStyle w:val="TextBody"/>
        <w:spacing w:lineRule="auto" w:line="288" w:before="0" w:after="0"/>
        <w:jc w:val="center"/>
        <w:rPr>
          <w:rFonts w:ascii="inherit" w:hAnsi="inherit"/>
          <w:sz w:val="17"/>
        </w:rPr>
      </w:pPr>
      <w:r>
        <w:rPr>
          <w:rFonts w:ascii="inherit" w:hAnsi="inherit"/>
          <w:sz w:val="17"/>
        </w:rPr>
        <w:t>EZCORP, Inc.</w:t>
      </w:r>
    </w:p>
    <w:p>
      <w:pPr>
        <w:pStyle w:val="TextBody"/>
        <w:spacing w:lineRule="auto" w:line="288" w:before="0" w:after="0"/>
        <w:jc w:val="center"/>
        <w:rPr>
          <w:rFonts w:ascii="inherit" w:hAnsi="inherit"/>
          <w:sz w:val="17"/>
        </w:rPr>
      </w:pPr>
      <w:r>
        <w:rPr>
          <w:rFonts w:ascii="inherit" w:hAnsi="inherit"/>
          <w:sz w:val="17"/>
        </w:rPr>
        <w:t>1901 Capital Parkway</w:t>
      </w:r>
    </w:p>
    <w:p>
      <w:pPr>
        <w:pStyle w:val="TextBody"/>
        <w:spacing w:lineRule="auto" w:line="288" w:before="0" w:after="0"/>
        <w:jc w:val="center"/>
        <w:rPr>
          <w:rFonts w:ascii="inherit" w:hAnsi="inherit"/>
          <w:sz w:val="17"/>
        </w:rPr>
      </w:pPr>
      <w:r>
        <w:rPr>
          <w:rFonts w:ascii="inherit" w:hAnsi="inherit"/>
          <w:sz w:val="17"/>
        </w:rPr>
        <w:t>Austin, Texas 78746</w:t>
      </w:r>
    </w:p>
    <w:p>
      <w:pPr>
        <w:pStyle w:val="TextBody"/>
        <w:spacing w:lineRule="auto" w:line="288" w:before="0" w:after="0"/>
        <w:jc w:val="center"/>
        <w:rPr>
          <w:rFonts w:ascii="inherit" w:hAnsi="inherit"/>
          <w:sz w:val="17"/>
        </w:rPr>
      </w:pPr>
      <w:r>
        <w:rPr>
          <w:rFonts w:ascii="inherit" w:hAnsi="inherit"/>
          <w:sz w:val="17"/>
        </w:rPr>
        <w:t>Attn: Corporate Secretary</w:t>
      </w:r>
    </w:p>
    <w:p>
      <w:pPr>
        <w:pStyle w:val="TextBody"/>
        <w:spacing w:lineRule="auto" w:line="288" w:before="0" w:after="0"/>
        <w:jc w:val="center"/>
        <w:rPr>
          <w:rFonts w:ascii="inherit" w:hAnsi="inherit"/>
          <w:sz w:val="17"/>
        </w:rPr>
      </w:pPr>
      <w:r>
        <w:rPr>
          <w:rFonts w:ascii="inherit" w:hAnsi="inherit"/>
          <w:sz w:val="17"/>
        </w:rPr>
        <w:t>Telephone: 512-314-3400</w:t>
      </w:r>
    </w:p>
    <w:p>
      <w:pPr>
        <w:pStyle w:val="TextBody"/>
        <w:spacing w:lineRule="auto" w:line="288" w:before="0" w:after="0"/>
        <w:jc w:val="center"/>
        <w:rPr>
          <w:rFonts w:ascii="inherit" w:hAnsi="inherit"/>
          <w:sz w:val="17"/>
        </w:rPr>
      </w:pPr>
      <w:r>
        <w:rPr>
          <w:rFonts w:ascii="inherit" w:hAnsi="inherit"/>
          <w:sz w:val="17"/>
        </w:rPr>
        <w:t>Email: Investor_Relations@ezcorp.com</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before="0" w:after="0"/>
        <w:rPr/>
      </w:pPr>
      <w:r>
        <w:rPr/>
      </w:r>
      <w:bookmarkStart w:id="23" w:name="s406E0456D955D11E88F55E1280FB0976"/>
      <w:bookmarkStart w:id="24" w:name="s406E0456D955D11E88F55E1280FB0976"/>
      <w:bookmarkEnd w:id="24"/>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b/>
          <w:sz w:val="17"/>
        </w:rPr>
      </w:pPr>
      <w:r>
        <w:rPr>
          <w:rFonts w:ascii="inherit" w:hAnsi="inherit"/>
          <w:b/>
          <w:sz w:val="17"/>
        </w:rPr>
        <w:t>INFORMATION NOT REQUIRED IN PROSPECTUS</w:t>
      </w:r>
    </w:p>
    <w:p>
      <w:pPr>
        <w:pStyle w:val="TextBody"/>
        <w:spacing w:lineRule="auto" w:line="288" w:before="0" w:after="0"/>
        <w:jc w:val="left"/>
        <w:rPr>
          <w:rFonts w:ascii="inherit" w:hAnsi="inherit"/>
          <w:b/>
          <w:sz w:val="17"/>
        </w:rPr>
      </w:pPr>
      <w:r>
        <w:rPr>
          <w:rFonts w:ascii="inherit" w:hAnsi="inherit"/>
          <w:b/>
          <w:sz w:val="17"/>
        </w:rPr>
        <w:t>Item 14. Other Expenses of Issuance and Distribution</w:t>
      </w:r>
    </w:p>
    <w:p>
      <w:pPr>
        <w:pStyle w:val="TextBody"/>
        <w:spacing w:lineRule="auto" w:line="288" w:before="0" w:after="0"/>
        <w:ind w:left="0" w:right="0" w:firstLine="720"/>
        <w:jc w:val="left"/>
        <w:rPr>
          <w:rFonts w:ascii="inherit" w:hAnsi="inherit"/>
          <w:sz w:val="17"/>
        </w:rPr>
      </w:pPr>
      <w:r>
        <w:rPr>
          <w:rFonts w:ascii="inherit" w:hAnsi="inherit"/>
          <w:sz w:val="17"/>
        </w:rPr>
        <w:t>The table below sets forth the expenses payable by EZCORP, Inc. (the “Company”) in connection with the offering of the shares of the Company’s Class A Non-Voting Common Stock being registered hereby. The selling stockholders will not bear any portion of such expenses. All amounts are estimates except the Securities and Exchange Commission (“SEC”) registration fee.</w:t>
      </w:r>
    </w:p>
    <w:tbl>
      <w:tblPr>
        <w:tblW w:w="8090" w:type="dxa"/>
        <w:jc w:val="left"/>
        <w:tblInd w:w="0" w:type="dxa"/>
        <w:tblCellMar>
          <w:top w:w="0" w:type="dxa"/>
          <w:left w:w="0" w:type="dxa"/>
          <w:bottom w:w="0" w:type="dxa"/>
          <w:right w:w="0" w:type="dxa"/>
        </w:tblCellMar>
      </w:tblPr>
      <w:tblGrid>
        <w:gridCol w:w="6230"/>
        <w:gridCol w:w="242"/>
        <w:gridCol w:w="1618"/>
      </w:tblGrid>
      <w:tr>
        <w:trPr/>
        <w:tc>
          <w:tcPr>
            <w:tcW w:w="8090" w:type="dxa"/>
            <w:gridSpan w:val="3"/>
            <w:tcBorders/>
            <w:shd w:fill="auto" w:val="clear"/>
            <w:vAlign w:val="center"/>
          </w:tcPr>
          <w:p>
            <w:pPr>
              <w:pStyle w:val="TableContents"/>
              <w:spacing w:before="0" w:after="283"/>
              <w:rPr>
                <w:sz w:val="4"/>
                <w:szCs w:val="4"/>
              </w:rPr>
            </w:pPr>
            <w:r>
              <w:rPr>
                <w:sz w:val="4"/>
                <w:szCs w:val="4"/>
              </w:rPr>
            </w:r>
          </w:p>
        </w:tc>
      </w:tr>
      <w:tr>
        <w:trPr/>
        <w:tc>
          <w:tcPr>
            <w:tcW w:w="623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Item</w:t>
            </w:r>
          </w:p>
        </w:tc>
        <w:tc>
          <w:tcPr>
            <w:tcW w:w="242" w:type="dxa"/>
            <w:tcBorders/>
            <w:shd w:fill="auto" w:val="clear"/>
            <w:vAlign w:val="center"/>
          </w:tcPr>
          <w:p>
            <w:pPr>
              <w:pStyle w:val="TableContents"/>
              <w:spacing w:before="0" w:after="0"/>
              <w:ind w:left="0" w:right="0" w:firstLine="30"/>
              <w:rPr/>
            </w:pPr>
            <w:r>
              <w:rPr/>
              <w:t> </w:t>
            </w:r>
          </w:p>
        </w:tc>
        <w:tc>
          <w:tcPr>
            <w:tcW w:w="161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Amount to be paid</w:t>
            </w:r>
          </w:p>
        </w:tc>
      </w:tr>
      <w:tr>
        <w:trPr/>
        <w:tc>
          <w:tcPr>
            <w:tcW w:w="623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SEC registration fee</w:t>
            </w:r>
          </w:p>
        </w:tc>
        <w:tc>
          <w:tcPr>
            <w:tcW w:w="242" w:type="dxa"/>
            <w:tcBorders/>
            <w:shd w:fill="auto" w:val="clear"/>
            <w:vAlign w:val="center"/>
          </w:tcPr>
          <w:p>
            <w:pPr>
              <w:pStyle w:val="TableContents"/>
              <w:spacing w:before="0" w:after="0"/>
              <w:ind w:left="0" w:right="0" w:firstLine="30"/>
              <w:rPr/>
            </w:pPr>
            <w:r>
              <w:rPr/>
              <w:t> </w:t>
            </w:r>
          </w:p>
        </w:tc>
        <w:tc>
          <w:tcPr>
            <w:tcW w:w="1618" w:type="dxa"/>
            <w:tcBorders>
              <w:top w:val="single" w:sz="2" w:space="0" w:color="000000"/>
            </w:tcBorders>
            <w:shd w:fill="auto" w:val="clear"/>
            <w:tcMar>
              <w:top w:w="30" w:type="dxa"/>
            </w:tcMar>
            <w:vAlign w:val="center"/>
          </w:tcPr>
          <w:p>
            <w:pPr>
              <w:pStyle w:val="TableContents"/>
              <w:spacing w:before="0" w:after="0"/>
              <w:ind w:left="0" w:right="0" w:firstLine="30"/>
              <w:jc w:val="right"/>
              <w:rPr>
                <w:rFonts w:ascii="inherit" w:hAnsi="inherit"/>
                <w:sz w:val="17"/>
              </w:rPr>
            </w:pPr>
            <w:r>
              <w:rPr>
                <w:rFonts w:ascii="inherit" w:hAnsi="inherit"/>
                <w:sz w:val="17"/>
              </w:rPr>
              <w:t>$ 3,856</w:t>
            </w:r>
          </w:p>
        </w:tc>
      </w:tr>
      <w:tr>
        <w:trPr/>
        <w:tc>
          <w:tcPr>
            <w:tcW w:w="62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Legal fees and expenses</w:t>
            </w:r>
          </w:p>
        </w:tc>
        <w:tc>
          <w:tcPr>
            <w:tcW w:w="242" w:type="dxa"/>
            <w:tcBorders/>
            <w:shd w:fill="auto" w:val="clear"/>
            <w:vAlign w:val="center"/>
          </w:tcPr>
          <w:p>
            <w:pPr>
              <w:pStyle w:val="TableContents"/>
              <w:spacing w:before="0" w:after="0"/>
              <w:ind w:left="0" w:right="0" w:firstLine="30"/>
              <w:rPr/>
            </w:pPr>
            <w:r>
              <w:rPr/>
              <w:t> </w:t>
            </w:r>
          </w:p>
        </w:tc>
        <w:tc>
          <w:tcPr>
            <w:tcW w:w="1618" w:type="dxa"/>
            <w:tcBorders/>
            <w:shd w:fill="auto" w:val="clear"/>
            <w:vAlign w:val="center"/>
          </w:tcPr>
          <w:p>
            <w:pPr>
              <w:pStyle w:val="TableContents"/>
              <w:spacing w:before="0" w:after="0"/>
              <w:ind w:left="0" w:right="0" w:firstLine="30"/>
              <w:jc w:val="right"/>
              <w:rPr>
                <w:rFonts w:ascii="inherit" w:hAnsi="inherit"/>
                <w:b/>
                <w:sz w:val="17"/>
              </w:rPr>
            </w:pPr>
            <w:r>
              <w:rPr>
                <w:rFonts w:ascii="inherit" w:hAnsi="inherit"/>
                <w:b/>
                <w:sz w:val="17"/>
              </w:rPr>
              <w:t>35,000</w:t>
            </w:r>
          </w:p>
        </w:tc>
      </w:tr>
      <w:tr>
        <w:trPr/>
        <w:tc>
          <w:tcPr>
            <w:tcW w:w="62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Accountant’s fees and expenses</w:t>
            </w:r>
          </w:p>
        </w:tc>
        <w:tc>
          <w:tcPr>
            <w:tcW w:w="242" w:type="dxa"/>
            <w:tcBorders/>
            <w:shd w:fill="auto" w:val="clear"/>
            <w:vAlign w:val="center"/>
          </w:tcPr>
          <w:p>
            <w:pPr>
              <w:pStyle w:val="TableContents"/>
              <w:spacing w:before="0" w:after="0"/>
              <w:ind w:left="0" w:right="0" w:firstLine="30"/>
              <w:rPr/>
            </w:pPr>
            <w:r>
              <w:rPr/>
              <w:t> </w:t>
            </w:r>
          </w:p>
        </w:tc>
        <w:tc>
          <w:tcPr>
            <w:tcW w:w="1618"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b/>
                <w:sz w:val="17"/>
              </w:rPr>
            </w:pPr>
            <w:r>
              <w:rPr>
                <w:rFonts w:ascii="inherit" w:hAnsi="inherit"/>
                <w:b/>
                <w:sz w:val="17"/>
              </w:rPr>
              <w:t>35,000</w:t>
            </w:r>
          </w:p>
        </w:tc>
      </w:tr>
      <w:tr>
        <w:trPr/>
        <w:tc>
          <w:tcPr>
            <w:tcW w:w="62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42" w:type="dxa"/>
            <w:tcBorders/>
            <w:shd w:fill="auto" w:val="clear"/>
            <w:vAlign w:val="center"/>
          </w:tcPr>
          <w:p>
            <w:pPr>
              <w:pStyle w:val="TableContents"/>
              <w:spacing w:before="0" w:after="0"/>
              <w:ind w:left="0" w:right="0" w:firstLine="30"/>
              <w:rPr/>
            </w:pPr>
            <w:r>
              <w:rPr/>
              <w:t> </w:t>
            </w:r>
          </w:p>
        </w:tc>
        <w:tc>
          <w:tcPr>
            <w:tcW w:w="161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$ 73,856</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 xml:space="preserve">Item 15. Indemnification of Directors and Officers </w:t>
      </w:r>
    </w:p>
    <w:p>
      <w:pPr>
        <w:pStyle w:val="TextBody"/>
        <w:spacing w:lineRule="auto" w:line="288" w:before="0" w:after="0"/>
        <w:ind w:left="0" w:right="0" w:firstLine="720"/>
        <w:jc w:val="left"/>
        <w:rPr>
          <w:rFonts w:ascii="inherit" w:hAnsi="inherit"/>
          <w:sz w:val="17"/>
        </w:rPr>
      </w:pPr>
      <w:r>
        <w:rPr>
          <w:rFonts w:ascii="inherit" w:hAnsi="inherit"/>
          <w:sz w:val="17"/>
        </w:rPr>
        <w:t>Article Eighth of the Company’s Amended Certificate of Incorporation provides that the Company shall indemnify its present or former directors and officers, and may indemnify any employee or agent of the Company, to the fullest extent permitted by law, including under the Delaware General Corporation Law (the “DGCL”).</w:t>
      </w:r>
    </w:p>
    <w:p>
      <w:pPr>
        <w:pStyle w:val="TextBody"/>
        <w:spacing w:lineRule="auto" w:line="288" w:before="0" w:after="0"/>
        <w:ind w:left="0" w:right="0" w:firstLine="720"/>
        <w:jc w:val="left"/>
        <w:rPr>
          <w:rFonts w:ascii="inherit" w:hAnsi="inherit"/>
          <w:sz w:val="17"/>
        </w:rPr>
      </w:pPr>
      <w:r>
        <w:rPr>
          <w:rFonts w:ascii="inherit" w:hAnsi="inherit"/>
          <w:sz w:val="17"/>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spacing w:lineRule="auto" w:line="288" w:before="0" w:after="0"/>
        <w:ind w:left="0" w:right="0" w:firstLine="720"/>
        <w:jc w:val="left"/>
        <w:rPr>
          <w:rFonts w:ascii="inherit" w:hAnsi="inherit"/>
          <w:sz w:val="17"/>
        </w:rPr>
      </w:pPr>
      <w:r>
        <w:rPr>
          <w:rFonts w:ascii="inherit" w:hAnsi="inherit"/>
          <w:sz w:val="17"/>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w:t>
      </w:r>
    </w:p>
    <w:p>
      <w:pPr>
        <w:pStyle w:val="TextBody"/>
        <w:spacing w:lineRule="auto" w:line="288" w:before="0" w:after="0"/>
        <w:ind w:left="0" w:right="0" w:firstLine="720"/>
        <w:jc w:val="left"/>
        <w:rPr>
          <w:rFonts w:ascii="inherit" w:hAnsi="inherit"/>
          <w:sz w:val="17"/>
        </w:rPr>
      </w:pPr>
      <w:r>
        <w:rPr>
          <w:rFonts w:ascii="inherit" w:hAnsi="inherit"/>
          <w:sz w:val="17"/>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II-1</w:t>
      </w:r>
      <w:r>
        <w:br w:type="page"/>
      </w:r>
    </w:p>
    <w:p>
      <w:pPr>
        <w:pStyle w:val="TextBody"/>
        <w:spacing w:before="0" w:after="0"/>
        <w:rPr/>
      </w:pPr>
      <w:r>
        <w:rPr/>
      </w:r>
      <w:bookmarkStart w:id="25" w:name="s406E0456D955D11E88F55E1280FB09761"/>
      <w:bookmarkStart w:id="26" w:name="s406E0456D955D11E88F55E1280FB09761"/>
      <w:bookmarkEnd w:id="26"/>
    </w:p>
    <w:p>
      <w:pPr>
        <w:pStyle w:val="TextBody"/>
        <w:spacing w:lineRule="auto" w:line="288" w:before="0" w:after="0"/>
        <w:ind w:left="0" w:right="0" w:firstLine="720"/>
        <w:jc w:val="left"/>
        <w:rPr>
          <w:rFonts w:ascii="inherit" w:hAnsi="inherit"/>
          <w:sz w:val="17"/>
        </w:rPr>
      </w:pPr>
      <w:r>
        <w:rPr>
          <w:rFonts w:ascii="inherit" w:hAnsi="inherit"/>
          <w:sz w:val="17"/>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spacing w:lineRule="auto" w:line="288" w:before="0" w:after="0"/>
        <w:ind w:left="0" w:right="0" w:firstLine="720"/>
        <w:jc w:val="left"/>
        <w:rPr>
          <w:rFonts w:ascii="inherit" w:hAnsi="inherit"/>
          <w:sz w:val="17"/>
        </w:rPr>
      </w:pPr>
      <w:r>
        <w:rPr>
          <w:rFonts w:ascii="inherit" w:hAnsi="inherit"/>
          <w:sz w:val="17"/>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under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w:t>
      </w:r>
    </w:p>
    <w:p>
      <w:pPr>
        <w:pStyle w:val="TextBody"/>
        <w:spacing w:lineRule="auto" w:line="288" w:before="0" w:after="0"/>
        <w:ind w:left="0" w:right="0" w:firstLine="720"/>
        <w:jc w:val="left"/>
        <w:rPr>
          <w:rFonts w:ascii="inherit" w:hAnsi="inherit"/>
          <w:sz w:val="17"/>
        </w:rPr>
      </w:pPr>
      <w:r>
        <w:rPr>
          <w:rFonts w:ascii="inherit" w:hAnsi="inherit"/>
          <w:sz w:val="17"/>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w:t>
      </w:r>
    </w:p>
    <w:p>
      <w:pPr>
        <w:pStyle w:val="TextBody"/>
        <w:spacing w:lineRule="auto" w:line="288" w:before="0" w:after="0"/>
        <w:ind w:left="0" w:right="0" w:firstLine="720"/>
        <w:jc w:val="left"/>
        <w:rPr>
          <w:rFonts w:ascii="inherit" w:hAnsi="inherit"/>
          <w:sz w:val="17"/>
        </w:rPr>
      </w:pPr>
      <w:r>
        <w:rPr>
          <w:rFonts w:ascii="inherit" w:hAnsi="inherit"/>
          <w:sz w:val="17"/>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The Company maintains directors’ and officers’ liability insurance for the benefit of its directors and officers.</w:t>
      </w:r>
    </w:p>
    <w:p>
      <w:pPr>
        <w:pStyle w:val="TextBody"/>
        <w:spacing w:lineRule="auto" w:line="288" w:before="0" w:after="0"/>
        <w:ind w:left="0" w:right="0" w:firstLine="720"/>
        <w:jc w:val="left"/>
        <w:rPr>
          <w:rFonts w:ascii="inherit" w:hAnsi="inherit"/>
          <w:sz w:val="17"/>
        </w:rPr>
      </w:pPr>
      <w:r>
        <w:rPr>
          <w:rFonts w:ascii="inherit" w:hAnsi="inherit"/>
          <w:sz w:val="17"/>
        </w:rPr>
        <w:t>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spacing w:lineRule="auto" w:line="288" w:before="0" w:after="0"/>
        <w:ind w:left="0" w:right="0" w:firstLine="720"/>
        <w:jc w:val="left"/>
        <w:rPr>
          <w:rFonts w:ascii="inherit" w:hAnsi="inherit"/>
          <w:sz w:val="17"/>
        </w:rPr>
      </w:pPr>
      <w:r>
        <w:rPr>
          <w:rFonts w:ascii="inherit" w:hAnsi="inherit"/>
          <w:sz w:val="17"/>
        </w:rPr>
        <w:t>The above discussion of the Company’s Amended Certificate of Incorporation and the DGCL is not intended to be exhaustive and is respectively qualified by entirety to the Company’s Amended Certificate of Incorporation and the DGCL.</w:t>
      </w:r>
    </w:p>
    <w:p>
      <w:pPr>
        <w:pStyle w:val="TextBody"/>
        <w:spacing w:lineRule="auto" w:line="288" w:before="0" w:after="0"/>
        <w:jc w:val="left"/>
        <w:rPr>
          <w:rFonts w:ascii="inherit" w:hAnsi="inherit"/>
          <w:b/>
          <w:sz w:val="17"/>
        </w:rPr>
      </w:pPr>
      <w:r>
        <w:rPr>
          <w:rFonts w:ascii="inherit" w:hAnsi="inherit"/>
          <w:b/>
          <w:sz w:val="17"/>
        </w:rPr>
        <w:t xml:space="preserve">Item 16. Exhibits </w:t>
      </w:r>
    </w:p>
    <w:p>
      <w:pPr>
        <w:pStyle w:val="TextBody"/>
        <w:spacing w:lineRule="auto" w:line="288" w:before="0" w:after="0"/>
        <w:ind w:left="0" w:right="0" w:firstLine="540"/>
        <w:jc w:val="left"/>
        <w:rPr>
          <w:rFonts w:ascii="inherit" w:hAnsi="inherit"/>
          <w:sz w:val="17"/>
        </w:rPr>
      </w:pPr>
      <w:r>
        <w:rPr>
          <w:rFonts w:ascii="inherit" w:hAnsi="inherit"/>
          <w:sz w:val="17"/>
        </w:rPr>
        <w:t>The attached Exhibit Index is incorporated herein by reference.</w:t>
      </w:r>
    </w:p>
    <w:p>
      <w:pPr>
        <w:pStyle w:val="TextBody"/>
        <w:spacing w:lineRule="auto" w:line="288" w:before="0" w:after="0"/>
        <w:jc w:val="left"/>
        <w:rPr>
          <w:rFonts w:ascii="inherit" w:hAnsi="inherit"/>
          <w:b/>
          <w:sz w:val="17"/>
        </w:rPr>
      </w:pPr>
      <w:r>
        <w:rPr>
          <w:rFonts w:ascii="inherit" w:hAnsi="inherit"/>
          <w:b/>
          <w:sz w:val="17"/>
        </w:rPr>
        <w:t>Item 17. Undertakings</w:t>
      </w:r>
    </w:p>
    <w:tbl>
      <w:tblPr>
        <w:tblW w:w="4270" w:type="dxa"/>
        <w:jc w:val="left"/>
        <w:tblInd w:w="0" w:type="dxa"/>
        <w:tblCellMar>
          <w:top w:w="0" w:type="dxa"/>
          <w:left w:w="0" w:type="dxa"/>
          <w:bottom w:w="0" w:type="dxa"/>
          <w:right w:w="0" w:type="dxa"/>
        </w:tblCellMar>
      </w:tblPr>
      <w:tblGrid>
        <w:gridCol w:w="260"/>
        <w:gridCol w:w="4010"/>
      </w:tblGrid>
      <w:tr>
        <w:trPr/>
        <w:tc>
          <w:tcPr>
            <w:tcW w:w="260"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40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undersigned registrant hereby undertakes:</w:t>
            </w:r>
          </w:p>
        </w:tc>
      </w:tr>
    </w:tbl>
    <w:tbl>
      <w:tblPr>
        <w:tblW w:w="10205" w:type="dxa"/>
        <w:jc w:val="left"/>
        <w:tblInd w:w="0" w:type="dxa"/>
        <w:tblCellMar>
          <w:top w:w="0" w:type="dxa"/>
          <w:left w:w="0" w:type="dxa"/>
          <w:bottom w:w="0" w:type="dxa"/>
          <w:right w:w="0" w:type="dxa"/>
        </w:tblCellMar>
      </w:tblPr>
      <w:tblGrid>
        <w:gridCol w:w="972"/>
        <w:gridCol w:w="9233"/>
      </w:tblGrid>
      <w:tr>
        <w:trPr/>
        <w:tc>
          <w:tcPr>
            <w:tcW w:w="972" w:type="dxa"/>
            <w:tcBorders/>
            <w:shd w:fill="auto" w:val="clear"/>
            <w:vAlign w:val="center"/>
          </w:tcPr>
          <w:p>
            <w:pPr>
              <w:pStyle w:val="TableContents"/>
              <w:spacing w:before="0" w:after="283"/>
              <w:rPr>
                <w:sz w:val="4"/>
                <w:szCs w:val="4"/>
              </w:rPr>
            </w:pPr>
            <w:r>
              <w:rPr>
                <w:sz w:val="4"/>
                <w:szCs w:val="4"/>
              </w:rPr>
            </w:r>
          </w:p>
        </w:tc>
        <w:tc>
          <w:tcPr>
            <w:tcW w:w="9233" w:type="dxa"/>
            <w:tcBorders/>
            <w:shd w:fill="auto" w:val="clear"/>
            <w:vAlign w:val="center"/>
          </w:tcPr>
          <w:p>
            <w:pPr>
              <w:pStyle w:val="TableContents"/>
              <w:spacing w:before="0" w:after="283"/>
              <w:rPr>
                <w:sz w:val="4"/>
                <w:szCs w:val="4"/>
              </w:rPr>
            </w:pPr>
            <w:r>
              <w:rPr>
                <w:sz w:val="4"/>
                <w:szCs w:val="4"/>
              </w:rPr>
            </w:r>
          </w:p>
        </w:tc>
      </w:tr>
      <w:tr>
        <w:trPr/>
        <w:tc>
          <w:tcPr>
            <w:tcW w:w="972"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923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file, during any period in which offers or sales are being made, a post-effective amendment to this registration statement: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II-2</w:t>
      </w:r>
      <w:r>
        <w:br w:type="page"/>
      </w:r>
    </w:p>
    <w:p>
      <w:pPr>
        <w:pStyle w:val="TextBody"/>
        <w:spacing w:before="0" w:after="0"/>
        <w:rPr/>
      </w:pPr>
      <w:r>
        <w:rPr/>
      </w:r>
      <w:bookmarkStart w:id="27" w:name="s406E0456D955D11E88F55E1280FB09762"/>
      <w:bookmarkStart w:id="28" w:name="s406E0456D955D11E88F55E1280FB09762"/>
      <w:bookmarkEnd w:id="28"/>
    </w:p>
    <w:tbl>
      <w:tblPr>
        <w:tblW w:w="10205" w:type="dxa"/>
        <w:jc w:val="left"/>
        <w:tblInd w:w="0" w:type="dxa"/>
        <w:tblCellMar>
          <w:top w:w="0" w:type="dxa"/>
          <w:left w:w="0" w:type="dxa"/>
          <w:bottom w:w="0" w:type="dxa"/>
          <w:right w:w="0" w:type="dxa"/>
        </w:tblCellMar>
      </w:tblPr>
      <w:tblGrid>
        <w:gridCol w:w="1637"/>
        <w:gridCol w:w="8568"/>
      </w:tblGrid>
      <w:tr>
        <w:trPr/>
        <w:tc>
          <w:tcPr>
            <w:tcW w:w="1637" w:type="dxa"/>
            <w:tcBorders/>
            <w:shd w:fill="auto" w:val="clear"/>
            <w:vAlign w:val="center"/>
          </w:tcPr>
          <w:p>
            <w:pPr>
              <w:pStyle w:val="TableContents"/>
              <w:spacing w:before="0" w:after="283"/>
              <w:rPr>
                <w:sz w:val="4"/>
                <w:szCs w:val="4"/>
              </w:rPr>
            </w:pPr>
            <w:r>
              <w:rPr>
                <w:sz w:val="4"/>
                <w:szCs w:val="4"/>
              </w:rPr>
            </w:r>
          </w:p>
        </w:tc>
        <w:tc>
          <w:tcPr>
            <w:tcW w:w="8568" w:type="dxa"/>
            <w:tcBorders/>
            <w:shd w:fill="auto" w:val="clear"/>
            <w:vAlign w:val="center"/>
          </w:tcPr>
          <w:p>
            <w:pPr>
              <w:pStyle w:val="TableContents"/>
              <w:spacing w:before="0" w:after="283"/>
              <w:rPr>
                <w:sz w:val="4"/>
                <w:szCs w:val="4"/>
              </w:rPr>
            </w:pPr>
            <w:r>
              <w:rPr>
                <w:sz w:val="4"/>
                <w:szCs w:val="4"/>
              </w:rPr>
            </w:r>
          </w:p>
        </w:tc>
      </w:tr>
      <w:tr>
        <w:trPr/>
        <w:tc>
          <w:tcPr>
            <w:tcW w:w="1637"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w:t>
            </w:r>
          </w:p>
        </w:tc>
        <w:tc>
          <w:tcPr>
            <w:tcW w:w="856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include any prospectus required by Section 10(a)(3) of the Securities Act of 1933 (the “Securities Act”);</w:t>
            </w:r>
          </w:p>
        </w:tc>
      </w:tr>
    </w:tbl>
    <w:tbl>
      <w:tblPr>
        <w:tblW w:w="10205" w:type="dxa"/>
        <w:jc w:val="left"/>
        <w:tblInd w:w="0" w:type="dxa"/>
        <w:tblCellMar>
          <w:top w:w="0" w:type="dxa"/>
          <w:left w:w="0" w:type="dxa"/>
          <w:bottom w:w="0" w:type="dxa"/>
          <w:right w:w="0" w:type="dxa"/>
        </w:tblCellMar>
      </w:tblPr>
      <w:tblGrid>
        <w:gridCol w:w="1630"/>
        <w:gridCol w:w="8575"/>
      </w:tblGrid>
      <w:tr>
        <w:trPr/>
        <w:tc>
          <w:tcPr>
            <w:tcW w:w="1630" w:type="dxa"/>
            <w:tcBorders/>
            <w:shd w:fill="auto" w:val="clear"/>
            <w:vAlign w:val="center"/>
          </w:tcPr>
          <w:p>
            <w:pPr>
              <w:pStyle w:val="TableContents"/>
              <w:spacing w:before="0" w:after="283"/>
              <w:rPr>
                <w:sz w:val="4"/>
                <w:szCs w:val="4"/>
              </w:rPr>
            </w:pPr>
            <w:r>
              <w:rPr>
                <w:sz w:val="4"/>
                <w:szCs w:val="4"/>
              </w:rPr>
            </w:r>
          </w:p>
        </w:tc>
        <w:tc>
          <w:tcPr>
            <w:tcW w:w="8575" w:type="dxa"/>
            <w:tcBorders/>
            <w:shd w:fill="auto" w:val="clear"/>
            <w:vAlign w:val="center"/>
          </w:tcPr>
          <w:p>
            <w:pPr>
              <w:pStyle w:val="TableContents"/>
              <w:spacing w:before="0" w:after="283"/>
              <w:rPr>
                <w:sz w:val="4"/>
                <w:szCs w:val="4"/>
              </w:rPr>
            </w:pPr>
            <w:r>
              <w:rPr>
                <w:sz w:val="4"/>
                <w:szCs w:val="4"/>
              </w:rPr>
            </w:r>
          </w:p>
        </w:tc>
      </w:tr>
      <w:tr>
        <w:trPr/>
        <w:tc>
          <w:tcPr>
            <w:tcW w:w="1630"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w:t>
            </w:r>
          </w:p>
        </w:tc>
        <w:tc>
          <w:tcPr>
            <w:tcW w:w="8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tc>
      </w:tr>
    </w:tbl>
    <w:tbl>
      <w:tblPr>
        <w:tblW w:w="10205" w:type="dxa"/>
        <w:jc w:val="left"/>
        <w:tblInd w:w="0" w:type="dxa"/>
        <w:tblCellMar>
          <w:top w:w="0" w:type="dxa"/>
          <w:left w:w="0" w:type="dxa"/>
          <w:bottom w:w="0" w:type="dxa"/>
          <w:right w:w="0" w:type="dxa"/>
        </w:tblCellMar>
      </w:tblPr>
      <w:tblGrid>
        <w:gridCol w:w="1698"/>
        <w:gridCol w:w="8507"/>
      </w:tblGrid>
      <w:tr>
        <w:trPr/>
        <w:tc>
          <w:tcPr>
            <w:tcW w:w="1698" w:type="dxa"/>
            <w:tcBorders/>
            <w:shd w:fill="auto" w:val="clear"/>
            <w:vAlign w:val="center"/>
          </w:tcPr>
          <w:p>
            <w:pPr>
              <w:pStyle w:val="TableContents"/>
              <w:spacing w:before="0" w:after="283"/>
              <w:rPr>
                <w:sz w:val="4"/>
                <w:szCs w:val="4"/>
              </w:rPr>
            </w:pPr>
            <w:r>
              <w:rPr>
                <w:sz w:val="4"/>
                <w:szCs w:val="4"/>
              </w:rPr>
            </w:r>
          </w:p>
        </w:tc>
        <w:tc>
          <w:tcPr>
            <w:tcW w:w="8507" w:type="dxa"/>
            <w:tcBorders/>
            <w:shd w:fill="auto" w:val="clear"/>
            <w:vAlign w:val="center"/>
          </w:tcPr>
          <w:p>
            <w:pPr>
              <w:pStyle w:val="TableContents"/>
              <w:spacing w:before="0" w:after="283"/>
              <w:rPr>
                <w:sz w:val="4"/>
                <w:szCs w:val="4"/>
              </w:rPr>
            </w:pPr>
            <w:r>
              <w:rPr>
                <w:sz w:val="4"/>
                <w:szCs w:val="4"/>
              </w:rPr>
            </w:r>
          </w:p>
        </w:tc>
      </w:tr>
      <w:tr>
        <w:trPr/>
        <w:tc>
          <w:tcPr>
            <w:tcW w:w="1698"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(iii)</w:t>
            </w:r>
          </w:p>
        </w:tc>
        <w:tc>
          <w:tcPr>
            <w:tcW w:w="850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include any material information with respect to the plan of distribution not previously disclosed in this registration statement or any material change to such information in this registration statement;</w:t>
            </w:r>
          </w:p>
        </w:tc>
      </w:tr>
    </w:tbl>
    <w:p>
      <w:pPr>
        <w:pStyle w:val="TextBody"/>
        <w:spacing w:lineRule="auto" w:line="288" w:before="0" w:after="0"/>
        <w:ind w:left="0" w:right="0" w:firstLine="1440"/>
        <w:jc w:val="left"/>
        <w:rPr>
          <w:rFonts w:ascii="inherit" w:hAnsi="inherit"/>
          <w:sz w:val="17"/>
        </w:rPr>
      </w:pPr>
      <w:r>
        <w:rPr>
          <w:rFonts w:ascii="inherit" w:hAnsi="inherit"/>
          <w:sz w:val="17"/>
        </w:rPr>
        <w:t>provided, however, that paragraphs (i), (ii) and (iii) do not apply if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tbl>
      <w:tblPr>
        <w:tblW w:w="10205" w:type="dxa"/>
        <w:jc w:val="left"/>
        <w:tblInd w:w="0" w:type="dxa"/>
        <w:tblCellMar>
          <w:top w:w="0" w:type="dxa"/>
          <w:left w:w="0" w:type="dxa"/>
          <w:bottom w:w="0" w:type="dxa"/>
          <w:right w:w="0" w:type="dxa"/>
        </w:tblCellMar>
      </w:tblPr>
      <w:tblGrid>
        <w:gridCol w:w="939"/>
        <w:gridCol w:w="9266"/>
      </w:tblGrid>
      <w:tr>
        <w:trPr/>
        <w:tc>
          <w:tcPr>
            <w:tcW w:w="939" w:type="dxa"/>
            <w:tcBorders/>
            <w:shd w:fill="auto" w:val="clear"/>
            <w:vAlign w:val="center"/>
          </w:tcPr>
          <w:p>
            <w:pPr>
              <w:pStyle w:val="TableContents"/>
              <w:spacing w:before="0" w:after="283"/>
              <w:rPr>
                <w:sz w:val="4"/>
                <w:szCs w:val="4"/>
              </w:rPr>
            </w:pPr>
            <w:r>
              <w:rPr>
                <w:sz w:val="4"/>
                <w:szCs w:val="4"/>
              </w:rPr>
            </w:r>
          </w:p>
        </w:tc>
        <w:tc>
          <w:tcPr>
            <w:tcW w:w="9266" w:type="dxa"/>
            <w:tcBorders/>
            <w:shd w:fill="auto" w:val="clear"/>
            <w:vAlign w:val="center"/>
          </w:tcPr>
          <w:p>
            <w:pPr>
              <w:pStyle w:val="TableContents"/>
              <w:spacing w:before="0" w:after="283"/>
              <w:rPr>
                <w:sz w:val="4"/>
                <w:szCs w:val="4"/>
              </w:rPr>
            </w:pPr>
            <w:r>
              <w:rPr>
                <w:sz w:val="4"/>
                <w:szCs w:val="4"/>
              </w:rPr>
            </w:r>
          </w:p>
        </w:tc>
      </w:tr>
      <w:tr>
        <w:trPr/>
        <w:tc>
          <w:tcPr>
            <w:tcW w:w="939"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26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CellMar>
          <w:top w:w="0" w:type="dxa"/>
          <w:left w:w="0" w:type="dxa"/>
          <w:bottom w:w="0" w:type="dxa"/>
          <w:right w:w="0" w:type="dxa"/>
        </w:tblCellMar>
      </w:tblPr>
      <w:tblGrid>
        <w:gridCol w:w="958"/>
        <w:gridCol w:w="9247"/>
      </w:tblGrid>
      <w:tr>
        <w:trPr/>
        <w:tc>
          <w:tcPr>
            <w:tcW w:w="958" w:type="dxa"/>
            <w:tcBorders/>
            <w:shd w:fill="auto" w:val="clear"/>
            <w:vAlign w:val="center"/>
          </w:tcPr>
          <w:p>
            <w:pPr>
              <w:pStyle w:val="TableContents"/>
              <w:spacing w:before="0" w:after="283"/>
              <w:rPr>
                <w:sz w:val="4"/>
                <w:szCs w:val="4"/>
              </w:rPr>
            </w:pPr>
            <w:r>
              <w:rPr>
                <w:sz w:val="4"/>
                <w:szCs w:val="4"/>
              </w:rPr>
            </w:r>
          </w:p>
        </w:tc>
        <w:tc>
          <w:tcPr>
            <w:tcW w:w="9247" w:type="dxa"/>
            <w:tcBorders/>
            <w:shd w:fill="auto" w:val="clear"/>
            <w:vAlign w:val="center"/>
          </w:tcPr>
          <w:p>
            <w:pPr>
              <w:pStyle w:val="TableContents"/>
              <w:spacing w:before="0" w:after="283"/>
              <w:rPr>
                <w:sz w:val="4"/>
                <w:szCs w:val="4"/>
              </w:rPr>
            </w:pPr>
            <w:r>
              <w:rPr>
                <w:sz w:val="4"/>
                <w:szCs w:val="4"/>
              </w:rPr>
            </w:r>
          </w:p>
        </w:tc>
      </w:tr>
      <w:tr>
        <w:trPr/>
        <w:tc>
          <w:tcPr>
            <w:tcW w:w="958"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24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remove from registration by means of a post-effective amendment any of the securities being registered which remain unsold at the termination of the offering;</w:t>
            </w:r>
          </w:p>
        </w:tc>
      </w:tr>
    </w:tbl>
    <w:tbl>
      <w:tblPr>
        <w:tblW w:w="8035" w:type="dxa"/>
        <w:jc w:val="left"/>
        <w:tblInd w:w="0" w:type="dxa"/>
        <w:tblCellMar>
          <w:top w:w="0" w:type="dxa"/>
          <w:left w:w="0" w:type="dxa"/>
          <w:bottom w:w="0" w:type="dxa"/>
          <w:right w:w="0" w:type="dxa"/>
        </w:tblCellMar>
      </w:tblPr>
      <w:tblGrid>
        <w:gridCol w:w="980"/>
        <w:gridCol w:w="7055"/>
      </w:tblGrid>
      <w:tr>
        <w:trPr/>
        <w:tc>
          <w:tcPr>
            <w:tcW w:w="980"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70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purposes of determining liability under the Securities Act to any purchaser:</w:t>
            </w:r>
          </w:p>
        </w:tc>
      </w:tr>
    </w:tbl>
    <w:tbl>
      <w:tblPr>
        <w:tblW w:w="10205" w:type="dxa"/>
        <w:jc w:val="left"/>
        <w:tblInd w:w="0" w:type="dxa"/>
        <w:tblCellMar>
          <w:top w:w="0" w:type="dxa"/>
          <w:left w:w="0" w:type="dxa"/>
          <w:bottom w:w="0" w:type="dxa"/>
          <w:right w:w="0" w:type="dxa"/>
        </w:tblCellMar>
      </w:tblPr>
      <w:tblGrid>
        <w:gridCol w:w="1605"/>
        <w:gridCol w:w="8600"/>
      </w:tblGrid>
      <w:tr>
        <w:trPr/>
        <w:tc>
          <w:tcPr>
            <w:tcW w:w="1605" w:type="dxa"/>
            <w:tcBorders/>
            <w:shd w:fill="auto" w:val="clear"/>
            <w:vAlign w:val="center"/>
          </w:tcPr>
          <w:p>
            <w:pPr>
              <w:pStyle w:val="TableContents"/>
              <w:spacing w:before="0" w:after="283"/>
              <w:rPr>
                <w:sz w:val="4"/>
                <w:szCs w:val="4"/>
              </w:rPr>
            </w:pPr>
            <w:r>
              <w:rPr>
                <w:sz w:val="4"/>
                <w:szCs w:val="4"/>
              </w:rPr>
            </w:r>
          </w:p>
        </w:tc>
        <w:tc>
          <w:tcPr>
            <w:tcW w:w="8600" w:type="dxa"/>
            <w:tcBorders/>
            <w:shd w:fill="auto" w:val="clear"/>
            <w:vAlign w:val="center"/>
          </w:tcPr>
          <w:p>
            <w:pPr>
              <w:pStyle w:val="TableContents"/>
              <w:spacing w:before="0" w:after="283"/>
              <w:rPr>
                <w:sz w:val="4"/>
                <w:szCs w:val="4"/>
              </w:rPr>
            </w:pPr>
            <w:r>
              <w:rPr>
                <w:sz w:val="4"/>
                <w:szCs w:val="4"/>
              </w:rPr>
            </w:r>
          </w:p>
        </w:tc>
      </w:tr>
      <w:tr>
        <w:trPr/>
        <w:tc>
          <w:tcPr>
            <w:tcW w:w="160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w:t>
            </w:r>
          </w:p>
        </w:tc>
        <w:tc>
          <w:tcPr>
            <w:tcW w:w="86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Each prospectus filed by the registrant pursuant to Rule 424(b)(3) shall be deemed to be part of the registration statement as of the date the filed prospectus was deemed part of and included in the registration statement; and</w:t>
            </w:r>
          </w:p>
        </w:tc>
      </w:tr>
    </w:tbl>
    <w:tbl>
      <w:tblPr>
        <w:tblW w:w="10205" w:type="dxa"/>
        <w:jc w:val="left"/>
        <w:tblInd w:w="0" w:type="dxa"/>
        <w:tblCellMar>
          <w:top w:w="0" w:type="dxa"/>
          <w:left w:w="0" w:type="dxa"/>
          <w:bottom w:w="0" w:type="dxa"/>
          <w:right w:w="0" w:type="dxa"/>
        </w:tblCellMar>
      </w:tblPr>
      <w:tblGrid>
        <w:gridCol w:w="1629"/>
        <w:gridCol w:w="8576"/>
      </w:tblGrid>
      <w:tr>
        <w:trPr/>
        <w:tc>
          <w:tcPr>
            <w:tcW w:w="1629" w:type="dxa"/>
            <w:tcBorders/>
            <w:shd w:fill="auto" w:val="clear"/>
            <w:vAlign w:val="center"/>
          </w:tcPr>
          <w:p>
            <w:pPr>
              <w:pStyle w:val="TableContents"/>
              <w:spacing w:before="0" w:after="283"/>
              <w:rPr>
                <w:sz w:val="4"/>
                <w:szCs w:val="4"/>
              </w:rPr>
            </w:pPr>
            <w:r>
              <w:rPr>
                <w:sz w:val="4"/>
                <w:szCs w:val="4"/>
              </w:rPr>
            </w:r>
          </w:p>
        </w:tc>
        <w:tc>
          <w:tcPr>
            <w:tcW w:w="8576" w:type="dxa"/>
            <w:tcBorders/>
            <w:shd w:fill="auto" w:val="clear"/>
            <w:vAlign w:val="center"/>
          </w:tcPr>
          <w:p>
            <w:pPr>
              <w:pStyle w:val="TableContents"/>
              <w:spacing w:before="0" w:after="283"/>
              <w:rPr>
                <w:sz w:val="4"/>
                <w:szCs w:val="4"/>
              </w:rPr>
            </w:pPr>
            <w:r>
              <w:rPr>
                <w:sz w:val="4"/>
                <w:szCs w:val="4"/>
              </w:rPr>
            </w:r>
          </w:p>
        </w:tc>
      </w:tr>
      <w:tr>
        <w:trPr/>
        <w:tc>
          <w:tcPr>
            <w:tcW w:w="1629"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w:t>
            </w:r>
          </w:p>
        </w:tc>
        <w:tc>
          <w:tcPr>
            <w:tcW w:w="857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II-3</w:t>
      </w:r>
      <w:r>
        <w:br w:type="page"/>
      </w:r>
    </w:p>
    <w:p>
      <w:pPr>
        <w:pStyle w:val="TextBody"/>
        <w:spacing w:before="0" w:after="0"/>
        <w:rPr/>
      </w:pPr>
      <w:r>
        <w:rPr/>
      </w:r>
      <w:bookmarkStart w:id="29" w:name="s406E0456D955D11E88F55E1280FB09763"/>
      <w:bookmarkStart w:id="30" w:name="s406E0456D955D11E88F55E1280FB09763"/>
      <w:bookmarkEnd w:id="30"/>
    </w:p>
    <w:p>
      <w:pPr>
        <w:pStyle w:val="TextBody"/>
        <w:spacing w:lineRule="auto" w:line="288" w:before="0" w:after="0"/>
        <w:ind w:left="0" w:right="0" w:firstLine="2160"/>
        <w:jc w:val="left"/>
        <w:rPr>
          <w:rFonts w:ascii="inherit" w:hAnsi="inherit"/>
          <w:sz w:val="17"/>
        </w:rPr>
      </w:pPr>
      <w:r>
        <w:rPr>
          <w:rFonts w:ascii="inherit" w:hAnsi="inherit"/>
          <w:sz w:val="17"/>
        </w:rPr>
        <w:t>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sz w:val="4"/>
                <w:szCs w:val="4"/>
              </w:rPr>
            </w:pPr>
            <w:r>
              <w:rPr>
                <w:sz w:val="4"/>
                <w:szCs w:val="4"/>
              </w:rPr>
            </w:r>
          </w:p>
        </w:tc>
        <w:tc>
          <w:tcPr>
            <w:tcW w:w="9994" w:type="dxa"/>
            <w:tcBorders/>
            <w:shd w:fill="auto" w:val="clear"/>
            <w:vAlign w:val="center"/>
          </w:tcPr>
          <w:p>
            <w:pPr>
              <w:pStyle w:val="TableContents"/>
              <w:spacing w:before="0" w:after="283"/>
              <w:rPr>
                <w:sz w:val="4"/>
                <w:szCs w:val="4"/>
              </w:rPr>
            </w:pPr>
            <w:r>
              <w:rPr>
                <w:sz w:val="4"/>
                <w:szCs w:val="4"/>
              </w:rPr>
            </w:r>
          </w:p>
        </w:tc>
      </w:tr>
      <w:tr>
        <w:trPr/>
        <w:tc>
          <w:tcPr>
            <w:tcW w:w="21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999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15(s)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sz w:val="4"/>
                <w:szCs w:val="4"/>
              </w:rPr>
            </w:pPr>
            <w:r>
              <w:rPr>
                <w:sz w:val="4"/>
                <w:szCs w:val="4"/>
              </w:rPr>
            </w:r>
          </w:p>
        </w:tc>
        <w:tc>
          <w:tcPr>
            <w:tcW w:w="10015" w:type="dxa"/>
            <w:tcBorders/>
            <w:shd w:fill="auto" w:val="clear"/>
            <w:vAlign w:val="center"/>
          </w:tcPr>
          <w:p>
            <w:pPr>
              <w:pStyle w:val="TableContents"/>
              <w:spacing w:before="0" w:after="283"/>
              <w:rPr>
                <w:sz w:val="4"/>
                <w:szCs w:val="4"/>
              </w:rPr>
            </w:pPr>
            <w:r>
              <w:rPr>
                <w:sz w:val="4"/>
                <w:szCs w:val="4"/>
              </w:rPr>
            </w:r>
          </w:p>
        </w:tc>
      </w:tr>
      <w:tr>
        <w:trPr/>
        <w:tc>
          <w:tcPr>
            <w:tcW w:w="19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(c)</w:t>
            </w:r>
          </w:p>
        </w:tc>
        <w:tc>
          <w:tcPr>
            <w:tcW w:w="10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 is against public policy as expressed in the Securities Act and will be governed by the final adjudication of such issue.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II-4</w:t>
      </w:r>
      <w:r>
        <w:br w:type="page"/>
      </w:r>
    </w:p>
    <w:p>
      <w:pPr>
        <w:pStyle w:val="TextBody"/>
        <w:spacing w:before="0" w:after="0"/>
        <w:rPr/>
      </w:pPr>
      <w:r>
        <w:rPr/>
      </w:r>
      <w:bookmarkStart w:id="31" w:name="s406E0456D955D11E88F55E1280FB09764"/>
      <w:bookmarkStart w:id="32" w:name="s406E0456D955D11E88F55E1280FB09764"/>
      <w:bookmarkEnd w:id="32"/>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15th day of January 2013.</w:t>
      </w:r>
    </w:p>
    <w:p>
      <w:pPr>
        <w:pStyle w:val="TextBody"/>
        <w:spacing w:lineRule="auto" w:line="288" w:before="0" w:after="0"/>
        <w:ind w:left="0" w:right="0" w:firstLine="4680"/>
        <w:jc w:val="left"/>
        <w:rPr>
          <w:rFonts w:ascii="inherit" w:hAnsi="inherit"/>
          <w:sz w:val="17"/>
        </w:rPr>
      </w:pPr>
      <w:r>
        <w:rPr>
          <w:rFonts w:ascii="inherit" w:hAnsi="inherit"/>
          <w:sz w:val="17"/>
        </w:rPr>
        <w:t>EZCORP, INC.</w:t>
      </w:r>
    </w:p>
    <w:p>
      <w:pPr>
        <w:pStyle w:val="TextBody"/>
        <w:spacing w:lineRule="auto" w:line="288" w:before="0" w:after="0"/>
        <w:ind w:left="0" w:right="0" w:firstLine="4680"/>
        <w:jc w:val="left"/>
        <w:rPr>
          <w:sz w:val="17"/>
        </w:rPr>
      </w:pPr>
      <w:r>
        <w:rPr>
          <w:rFonts w:ascii="inherit" w:hAnsi="inherit"/>
          <w:sz w:val="17"/>
        </w:rPr>
        <w:t>By:</w:t>
      </w:r>
      <w:r>
        <w:rPr>
          <w:sz w:val="17"/>
          <w:u w:val="single"/>
        </w:rPr>
        <w:t>    </w:t>
      </w:r>
      <w:r>
        <w:rPr>
          <w:rFonts w:ascii="inherit" w:hAnsi="inherit"/>
          <w:sz w:val="17"/>
          <w:u w:val="single"/>
        </w:rPr>
        <w:t>/s/ Paul E. Rothamel        </w:t>
      </w:r>
    </w:p>
    <w:p>
      <w:pPr>
        <w:pStyle w:val="TextBody"/>
        <w:spacing w:lineRule="auto" w:line="288" w:before="0" w:after="0"/>
        <w:ind w:left="0" w:right="0" w:firstLine="720"/>
        <w:jc w:val="left"/>
        <w:rPr>
          <w:rFonts w:ascii="inherit" w:hAnsi="inherit"/>
          <w:sz w:val="17"/>
        </w:rPr>
      </w:pPr>
      <w:r>
        <w:rPr>
          <w:rFonts w:ascii="inherit" w:hAnsi="inherit"/>
          <w:sz w:val="17"/>
        </w:rPr>
        <w:t>Paul E. Rothamel</w:t>
      </w:r>
    </w:p>
    <w:p>
      <w:pPr>
        <w:pStyle w:val="TextBody"/>
        <w:spacing w:lineRule="auto" w:line="288" w:before="0" w:after="0"/>
        <w:ind w:left="0" w:right="0" w:firstLine="720"/>
        <w:jc w:val="left"/>
        <w:rPr>
          <w:rFonts w:ascii="inherit" w:hAnsi="inherit"/>
          <w:sz w:val="17"/>
        </w:rPr>
      </w:pPr>
      <w:r>
        <w:rPr>
          <w:rFonts w:ascii="inherit" w:hAnsi="inherit"/>
          <w:sz w:val="17"/>
        </w:rPr>
        <w:t xml:space="preserve">President and Chief Executive Officer </w:t>
      </w:r>
    </w:p>
    <w:p>
      <w:pPr>
        <w:pStyle w:val="TextBody"/>
        <w:spacing w:lineRule="auto" w:line="288" w:before="0" w:after="0"/>
        <w:ind w:left="0" w:right="0" w:firstLine="720"/>
        <w:jc w:val="left"/>
        <w:rPr>
          <w:rFonts w:ascii="inherit" w:hAnsi="inherit"/>
          <w:sz w:val="17"/>
        </w:rPr>
      </w:pPr>
      <w:r>
        <w:rPr>
          <w:rFonts w:ascii="inherit" w:hAnsi="inherit"/>
          <w:sz w:val="17"/>
        </w:rPr>
        <w:t>Each person whose signature appears below hereby authorizes and appoints Thomas H. Welch, Jr. as his true and lawful attorney-in-fact and agent, with full power of substitution and resubstitution, for him and in his name, place and stead, in any and all capacities, to sign on his behalf individually and in the capacity stated below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Act of 1933, this registration statement has been signed by the following persons in the capacities indicated on January 15, 2013.</w:t>
      </w:r>
    </w:p>
    <w:tbl>
      <w:tblPr>
        <w:tblW w:w="8322" w:type="dxa"/>
        <w:jc w:val="left"/>
        <w:tblInd w:w="0" w:type="dxa"/>
        <w:tblCellMar>
          <w:top w:w="0" w:type="dxa"/>
          <w:left w:w="0" w:type="dxa"/>
          <w:bottom w:w="0" w:type="dxa"/>
          <w:right w:w="0" w:type="dxa"/>
        </w:tblCellMar>
      </w:tblPr>
      <w:tblGrid>
        <w:gridCol w:w="4078"/>
        <w:gridCol w:w="249"/>
        <w:gridCol w:w="3995"/>
      </w:tblGrid>
      <w:tr>
        <w:trPr/>
        <w:tc>
          <w:tcPr>
            <w:tcW w:w="8322" w:type="dxa"/>
            <w:gridSpan w:val="3"/>
            <w:tcBorders/>
            <w:shd w:fill="auto" w:val="clear"/>
            <w:vAlign w:val="center"/>
          </w:tcPr>
          <w:p>
            <w:pPr>
              <w:pStyle w:val="TableContents"/>
              <w:spacing w:before="0" w:after="283"/>
              <w:rPr>
                <w:sz w:val="4"/>
                <w:szCs w:val="4"/>
              </w:rPr>
            </w:pPr>
            <w:r>
              <w:rPr>
                <w:sz w:val="4"/>
                <w:szCs w:val="4"/>
              </w:rPr>
            </w:r>
          </w:p>
        </w:tc>
      </w:tr>
      <w:tr>
        <w:trPr/>
        <w:tc>
          <w:tcPr>
            <w:tcW w:w="407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9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249" w:type="dxa"/>
            <w:tcBorders/>
            <w:shd w:fill="auto" w:val="clear"/>
            <w:vAlign w:val="center"/>
          </w:tcPr>
          <w:p>
            <w:pPr>
              <w:pStyle w:val="TableContents"/>
              <w:spacing w:before="0" w:after="0"/>
              <w:ind w:left="0" w:right="0" w:firstLine="30"/>
              <w:rPr/>
            </w:pPr>
            <w:r>
              <w:rPr/>
              <w:t> </w:t>
            </w:r>
          </w:p>
        </w:tc>
        <w:tc>
          <w:tcPr>
            <w:tcW w:w="399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Sterling B. Brinkley</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Paul E. Rothamel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Chief Executive Officer and Director</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Paul E. Rothamel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executive officer)</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Joseph J. Beal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Joseph J. Beal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Pablo Lagos Espinosa</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John Farrell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John Farrell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II-5</w:t>
      </w:r>
      <w:r>
        <w:br w:type="page"/>
      </w:r>
    </w:p>
    <w:p>
      <w:pPr>
        <w:pStyle w:val="TextBody"/>
        <w:spacing w:before="0" w:after="0"/>
        <w:rPr/>
      </w:pPr>
      <w:r>
        <w:rPr/>
      </w:r>
      <w:bookmarkStart w:id="33" w:name="s406E0456D955D11E88F55E1280FB09765"/>
      <w:bookmarkStart w:id="34" w:name="s406E0456D955D11E88F55E1280FB09765"/>
      <w:bookmarkEnd w:id="34"/>
    </w:p>
    <w:tbl>
      <w:tblPr>
        <w:tblW w:w="9375" w:type="dxa"/>
        <w:jc w:val="center"/>
        <w:tblInd w:w="0" w:type="dxa"/>
        <w:tblCellMar>
          <w:top w:w="0" w:type="dxa"/>
          <w:left w:w="0" w:type="dxa"/>
          <w:bottom w:w="0" w:type="dxa"/>
          <w:right w:w="0" w:type="dxa"/>
        </w:tblCellMar>
      </w:tblPr>
      <w:tblGrid>
        <w:gridCol w:w="4665"/>
        <w:gridCol w:w="240"/>
        <w:gridCol w:w="4470"/>
      </w:tblGrid>
      <w:tr>
        <w:trPr/>
        <w:tc>
          <w:tcPr>
            <w:tcW w:w="9375" w:type="dxa"/>
            <w:gridSpan w:val="3"/>
            <w:tcBorders/>
            <w:shd w:fill="auto" w:val="clear"/>
            <w:vAlign w:val="center"/>
          </w:tcPr>
          <w:p>
            <w:pPr>
              <w:pStyle w:val="TableContents"/>
              <w:spacing w:before="0" w:after="283"/>
              <w:rPr>
                <w:sz w:val="4"/>
                <w:szCs w:val="4"/>
              </w:rPr>
            </w:pPr>
            <w:r>
              <w:rPr>
                <w:sz w:val="4"/>
                <w:szCs w:val="4"/>
              </w:rPr>
            </w:r>
          </w:p>
        </w:tc>
      </w:tr>
      <w:tr>
        <w:trPr/>
        <w:tc>
          <w:tcPr>
            <w:tcW w:w="466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4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240" w:type="dxa"/>
            <w:tcBorders/>
            <w:shd w:fill="auto" w:val="clear"/>
            <w:vAlign w:val="center"/>
          </w:tcPr>
          <w:p>
            <w:pPr>
              <w:pStyle w:val="TableContents"/>
              <w:spacing w:before="0" w:after="0"/>
              <w:ind w:left="0" w:right="0" w:firstLine="30"/>
              <w:rPr/>
            </w:pPr>
            <w:r>
              <w:rPr/>
              <w:t> </w:t>
            </w:r>
          </w:p>
        </w:tc>
        <w:tc>
          <w:tcPr>
            <w:tcW w:w="447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William C. Love</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William C. Love</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C. Roberts</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Thomas C. Roberts</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Mark Kuchenrither</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Mark Kuchenrither</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financial officer)</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Jeffrey S. Byal</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Accounting Officer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jc w:val="left"/>
              <w:rPr>
                <w:rFonts w:ascii="inherit" w:hAnsi="inherit"/>
                <w:sz w:val="17"/>
              </w:rPr>
            </w:pPr>
            <w:r>
              <w:rPr>
                <w:rFonts w:ascii="inherit" w:hAnsi="inherit"/>
                <w:sz w:val="17"/>
              </w:rPr>
              <w:t>(principal accounting officer)</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II-6</w:t>
      </w:r>
      <w:r>
        <w:br w:type="page"/>
      </w:r>
    </w:p>
    <w:p>
      <w:pPr>
        <w:pStyle w:val="TextBody"/>
        <w:spacing w:before="0" w:after="0"/>
        <w:rPr/>
      </w:pPr>
      <w:r>
        <w:rPr/>
      </w:r>
      <w:bookmarkStart w:id="35" w:name="sBB3BAC9D6158D714118F5E12812D6BA8"/>
      <w:bookmarkStart w:id="36" w:name="sBB3BAC9D6158D714118F5E12812D6BA8"/>
      <w:bookmarkEnd w:id="36"/>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867"/>
        <w:gridCol w:w="415"/>
        <w:gridCol w:w="792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867"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9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7"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Exhibit</w:t>
            </w:r>
          </w:p>
          <w:p>
            <w:pPr>
              <w:pStyle w:val="TableContents"/>
              <w:spacing w:before="0" w:after="0"/>
              <w:ind w:left="0" w:right="0" w:firstLine="30"/>
              <w:jc w:val="center"/>
              <w:rPr>
                <w:rFonts w:ascii="inherit" w:hAnsi="inherit"/>
                <w:b/>
                <w:sz w:val="15"/>
              </w:rPr>
            </w:pPr>
            <w:r>
              <w:rPr>
                <w:rFonts w:ascii="inherit" w:hAnsi="inherit"/>
                <w:b/>
                <w:sz w:val="15"/>
              </w:rPr>
              <w:t>Number</w:t>
            </w:r>
          </w:p>
        </w:tc>
        <w:tc>
          <w:tcPr>
            <w:tcW w:w="415" w:type="dxa"/>
            <w:tcBorders/>
            <w:shd w:fill="auto" w:val="clear"/>
            <w:vAlign w:val="center"/>
          </w:tcPr>
          <w:p>
            <w:pPr>
              <w:pStyle w:val="TableContents"/>
              <w:spacing w:before="0" w:after="0"/>
              <w:ind w:left="0" w:right="0" w:firstLine="30"/>
              <w:rPr/>
            </w:pPr>
            <w:r>
              <w:rPr/>
              <w:t> </w:t>
            </w:r>
          </w:p>
        </w:tc>
        <w:tc>
          <w:tcPr>
            <w:tcW w:w="79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Description</w:t>
            </w:r>
          </w:p>
        </w:tc>
      </w:tr>
      <w:tr>
        <w:trPr/>
        <w:tc>
          <w:tcPr>
            <w:tcW w:w="1867"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792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Asset Purchase Agreement, dated November 20, 2012, among EZCORP Online, Inc., EZCORP, Inc., Hayfield Investment Partners, LLC and certain subsidiaries of Hayfield Investment Partners, LLC (incorporated by reference to Exhibit 10.1 to the Company’s Current Report on Form 8-K filed on December 20, 2012,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2.2</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Amendment to Asset Purchase Agreement, dated December 12, 2012, among EZCORP Online, Inc., EZCORP, Inc., Hayfield Investment Partners, LLC, certain subsidiaries of Hayfield Investment Partners, LLC and the members of Hayfield Investment Partners, LLC (incorporated by reference to Exhibit 10.2 to the Company’s Current Report on Form 8-K filed on December 20, 2012,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Amended Certificate of Incorporation (incorporated by reference to Exhibit 3.1 to the Company’s Registration Statement on Form S-4 filed on September 26, 2008, Commission File No. 33-153703)</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Amended Bylaws (incorporated by reference to Exhibit 3.2 to the Company’s Annual Report on Form 10-K for the year ended September 30, 2008,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Specimen of Class A Non-Voting Common Stock certificate (incorporated by reference to Exhibit 4.1 to the Company’s Registration Statement on Form S-1 effective August 23, 1991, Commission File No. 33-41317)</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Section 2.5(b) of the Asset Purchase Agreement, dated November 20, 2012, among EZCORP Online, Inc., EZCORP, Inc., Hayfield Investment Partners, LLC and certain subsidiaries of Hayfield Investment Partners, LLC (incorporated by reference to Exhibit 10.1 to the Company’s Current Report on Form 8-K filed on December 20, 2012,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Opinion of Vinson &amp; Elkins L.L.P.</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BDO USA, LLP</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Vinson &amp; Elkins L.L.P. (included in Exhibit 5.1)</w:t>
            </w:r>
          </w:p>
        </w:tc>
      </w:tr>
      <w:tr>
        <w:trPr/>
        <w:tc>
          <w:tcPr>
            <w:tcW w:w="1867" w:type="dxa"/>
            <w:tcBorders>
              <w:bottom w:val="single" w:sz="2" w:space="0" w:color="000000"/>
            </w:tcBorders>
            <w:shd w:fill="auto" w:val="clear"/>
            <w:tcMar>
              <w:bottom w:w="75" w:type="dxa"/>
            </w:tcM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4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jc w:val="left"/>
              <w:rPr>
                <w:rFonts w:ascii="inherit" w:hAnsi="inherit"/>
                <w:sz w:val="17"/>
              </w:rPr>
            </w:pPr>
            <w:r>
              <w:rPr>
                <w:rFonts w:ascii="inherit" w:hAnsi="inherit"/>
                <w:sz w:val="17"/>
              </w:rPr>
              <w:t>Power of attorney (included on the signature page to this registration statement)</w:t>
            </w:r>
          </w:p>
        </w:tc>
      </w:tr>
    </w:tbl>
    <w:p>
      <w:pPr>
        <w:pStyle w:val="TextBody"/>
        <w:spacing w:lineRule="auto" w:line="288" w:before="0" w:after="0"/>
        <w:ind w:left="0" w:right="0" w:firstLine="2160"/>
        <w:jc w:val="left"/>
        <w:rPr/>
      </w:pPr>
      <w:r>
        <w:rPr/>
        <w:t>    </w:t>
      </w:r>
    </w:p>
    <w:tbl>
      <w:tblPr>
        <w:tblW w:w="1330" w:type="dxa"/>
        <w:jc w:val="left"/>
        <w:tblInd w:w="0" w:type="dxa"/>
        <w:tblCellMar>
          <w:top w:w="0" w:type="dxa"/>
          <w:left w:w="0" w:type="dxa"/>
          <w:bottom w:w="0" w:type="dxa"/>
          <w:right w:w="0" w:type="dxa"/>
        </w:tblCellMar>
      </w:tblPr>
      <w:tblGrid>
        <w:gridCol w:w="125"/>
        <w:gridCol w:w="1205"/>
      </w:tblGrid>
      <w:tr>
        <w:trPr/>
        <w:tc>
          <w:tcPr>
            <w:tcW w:w="12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ind w:left="0" w:right="0" w:hanging="54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left"/>
        <w:rPr>
          <w:rFonts w:ascii="inherit" w:hAnsi="inherit"/>
          <w:sz w:val="17"/>
        </w:rPr>
      </w:pPr>
      <w:r>
        <w:rPr>
          <w:rFonts w:ascii="inherit" w:hAnsi="inherit"/>
          <w:sz w:val="17"/>
        </w:rPr>
      </w:r>
      <w:r>
        <w:br w:type="page"/>
      </w:r>
    </w:p>
    <w:p>
      <w:pPr>
        <w:pStyle w:val="TextBody"/>
        <w:spacing w:before="0" w:after="0"/>
        <w:rPr/>
      </w:pPr>
      <w:r>
        <w:rPr/>
      </w:r>
      <w:bookmarkStart w:id="37" w:name="s80C115371AB295FB984F5E127D9852C2"/>
      <w:bookmarkStart w:id="38" w:name="exhibit51opinionofvinsonel.htm"/>
      <w:bookmarkStart w:id="39" w:name="ksexhibit51opinionofvinsonel"/>
      <w:bookmarkStart w:id="40" w:name="s80C115371AB295FB984F5E127D9852C2"/>
      <w:bookmarkStart w:id="41" w:name="exhibit51opinionofvinsonel.htm"/>
      <w:bookmarkStart w:id="42" w:name="ksexhibit51opinionofvinsonel"/>
      <w:bookmarkEnd w:id="40"/>
      <w:bookmarkEnd w:id="41"/>
      <w:bookmarkEnd w:id="42"/>
    </w:p>
    <w:p>
      <w:pPr>
        <w:pStyle w:val="TextBody"/>
        <w:spacing w:lineRule="auto" w:line="288" w:before="0" w:after="0"/>
        <w:jc w:val="both"/>
        <w:rPr/>
      </w:pPr>
      <w:r>
        <w:rPr/>
        <w:drawing>
          <wp:inline distT="0" distB="0" distL="0" distR="0">
            <wp:extent cx="2000250"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238125"/>
                    </a:xfrm>
                    <a:prstGeom prst="rect">
                      <a:avLst/>
                    </a:prstGeom>
                  </pic:spPr>
                </pic:pic>
              </a:graphicData>
            </a:graphic>
          </wp:inline>
        </w:drawing>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ind w:left="0" w:right="0" w:firstLine="720"/>
        <w:jc w:val="both"/>
        <w:rPr>
          <w:rFonts w:ascii="inherit" w:hAnsi="inherit"/>
          <w:sz w:val="20"/>
        </w:rPr>
      </w:pPr>
      <w:r>
        <w:rPr>
          <w:rFonts w:ascii="inherit" w:hAnsi="inherit"/>
          <w:sz w:val="20"/>
        </w:rPr>
        <w:t>January 15, 2013</w:t>
      </w:r>
    </w:p>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20"/>
        </w:rPr>
      </w:pPr>
      <w:r>
        <w:rPr>
          <w:rFonts w:ascii="inherit" w:hAnsi="inherit"/>
          <w:sz w:val="20"/>
        </w:rPr>
        <w:t>EZCORP, Inc.</w:t>
      </w:r>
    </w:p>
    <w:p>
      <w:pPr>
        <w:pStyle w:val="TextBody"/>
        <w:spacing w:lineRule="auto" w:line="288" w:before="0" w:after="0"/>
        <w:ind w:left="0" w:right="0" w:firstLine="720"/>
        <w:jc w:val="left"/>
        <w:rPr>
          <w:rFonts w:ascii="inherit" w:hAnsi="inherit"/>
          <w:sz w:val="20"/>
        </w:rPr>
      </w:pPr>
      <w:r>
        <w:rPr>
          <w:rFonts w:ascii="inherit" w:hAnsi="inherit"/>
          <w:sz w:val="20"/>
        </w:rPr>
        <w:t>1901 Capital Parkway</w:t>
      </w:r>
    </w:p>
    <w:p>
      <w:pPr>
        <w:pStyle w:val="TextBody"/>
        <w:spacing w:lineRule="auto" w:line="288" w:before="0" w:after="0"/>
        <w:ind w:left="0" w:right="0" w:firstLine="720"/>
        <w:jc w:val="left"/>
        <w:rPr>
          <w:rFonts w:ascii="inherit" w:hAnsi="inherit"/>
          <w:sz w:val="20"/>
        </w:rPr>
      </w:pPr>
      <w:r>
        <w:rPr>
          <w:rFonts w:ascii="inherit" w:hAnsi="inherit"/>
          <w:sz w:val="20"/>
        </w:rPr>
        <w:t>Austin, Texas 78746</w:t>
      </w:r>
    </w:p>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20"/>
        </w:rPr>
      </w:pPr>
      <w:r>
        <w:rPr>
          <w:rFonts w:ascii="inherit" w:hAnsi="inherit"/>
          <w:sz w:val="20"/>
        </w:rPr>
        <w:t>Re:</w:t>
      </w:r>
      <w:r>
        <w:rPr>
          <w:sz w:val="20"/>
        </w:rPr>
        <w:t>    </w:t>
      </w:r>
      <w:r>
        <w:rPr>
          <w:rFonts w:ascii="inherit" w:hAnsi="inherit"/>
          <w:sz w:val="20"/>
        </w:rPr>
        <w:t>Registration Statement on Form S-3</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20"/>
        </w:rPr>
      </w:pPr>
      <w:r>
        <w:rPr>
          <w:rFonts w:ascii="inherit" w:hAnsi="inherit"/>
          <w:sz w:val="20"/>
        </w:rPr>
        <w:t>Ladies and Gentlemen:</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20"/>
        </w:rPr>
      </w:pPr>
      <w:r>
        <w:rPr>
          <w:rFonts w:ascii="inherit" w:hAnsi="inherit"/>
          <w:sz w:val="20"/>
        </w:rPr>
        <w:t>We have acted as counsel for EZCORP, Inc., a Delaware corporation (the “</w:t>
      </w:r>
      <w:r>
        <w:rPr>
          <w:rFonts w:ascii="inherit" w:hAnsi="inherit"/>
          <w:sz w:val="20"/>
          <w:u w:val="single"/>
        </w:rPr>
        <w:t>Company</w:t>
      </w:r>
      <w:r>
        <w:rPr>
          <w:sz w:val="20"/>
        </w:rPr>
        <w:t>”</w:t>
      </w:r>
      <w:r>
        <w:rPr>
          <w:rFonts w:ascii="inherit" w:hAnsi="inherit"/>
          <w:sz w:val="20"/>
        </w:rPr>
        <w:t>), in connection with the registration under the Securities Act of 1933 (the “</w:t>
      </w:r>
      <w:r>
        <w:rPr>
          <w:rFonts w:ascii="inherit" w:hAnsi="inherit"/>
          <w:sz w:val="20"/>
          <w:u w:val="single"/>
        </w:rPr>
        <w:t>Securities Act</w:t>
      </w:r>
      <w:r>
        <w:rPr>
          <w:sz w:val="20"/>
        </w:rPr>
        <w:t>”</w:t>
      </w:r>
      <w:r>
        <w:rPr>
          <w:rFonts w:ascii="inherit" w:hAnsi="inherit"/>
          <w:sz w:val="20"/>
        </w:rPr>
        <w:t>), pursuant to the Company's Registration Statement on Form S-3 (the “</w:t>
      </w:r>
      <w:r>
        <w:rPr>
          <w:rFonts w:ascii="inherit" w:hAnsi="inherit"/>
          <w:sz w:val="20"/>
          <w:u w:val="single"/>
        </w:rPr>
        <w:t>Registration Statement</w:t>
      </w:r>
      <w:r>
        <w:rPr>
          <w:sz w:val="20"/>
        </w:rPr>
        <w:t>”</w:t>
      </w:r>
      <w:r>
        <w:rPr>
          <w:rFonts w:ascii="inherit" w:hAnsi="inherit"/>
          <w:sz w:val="20"/>
        </w:rPr>
        <w:t>) being filed on the date hereof with the Securities and Exchange Commission (the “</w:t>
      </w:r>
      <w:r>
        <w:rPr>
          <w:rFonts w:ascii="inherit" w:hAnsi="inherit"/>
          <w:sz w:val="20"/>
          <w:u w:val="single"/>
        </w:rPr>
        <w:t>Commission</w:t>
      </w:r>
      <w:r>
        <w:rPr>
          <w:sz w:val="20"/>
        </w:rPr>
        <w:t>”</w:t>
      </w:r>
      <w:r>
        <w:rPr>
          <w:rFonts w:ascii="inherit" w:hAnsi="inherit"/>
          <w:sz w:val="20"/>
        </w:rPr>
        <w:t>), of the resale of up to 1,400,198 shares (the “</w:t>
      </w:r>
      <w:r>
        <w:rPr>
          <w:rFonts w:ascii="inherit" w:hAnsi="inherit"/>
          <w:sz w:val="20"/>
          <w:u w:val="single"/>
        </w:rPr>
        <w:t>Shares</w:t>
      </w:r>
      <w:r>
        <w:rPr>
          <w:sz w:val="20"/>
        </w:rPr>
        <w:t>”</w:t>
      </w:r>
      <w:r>
        <w:rPr>
          <w:rFonts w:ascii="inherit" w:hAnsi="inherit"/>
          <w:sz w:val="20"/>
        </w:rPr>
        <w:t>) of Class A Non-Voting Common Stock, $.01 par value per share, of the Company by the selling stockholders named in the Registration Statement.</w:t>
      </w:r>
    </w:p>
    <w:p>
      <w:pPr>
        <w:pStyle w:val="TextBody"/>
        <w:spacing w:lineRule="auto" w:line="288" w:before="0" w:after="0"/>
        <w:ind w:left="0" w:right="0" w:firstLine="720"/>
        <w:jc w:val="both"/>
        <w:rPr>
          <w:rFonts w:ascii="inherit" w:hAnsi="inherit"/>
          <w:sz w:val="20"/>
        </w:rPr>
      </w:pPr>
      <w:r>
        <w:rPr>
          <w:rFonts w:ascii="inherit" w:hAnsi="inherit"/>
          <w:sz w:val="20"/>
        </w:rPr>
        <w:t xml:space="preserve">In rendering the opinion set forth below, we have reviewed and relied upon (i) the Registration Statement, (ii) the Amended Certificate of Incorporation of the Company, as filed with the Secretary of State of the State of Delaware, (iii) the Amended Bylaws of the Company, (iv) certain resolutions adopted by the Board of Directors of the Company relating to the Registration Statement and (v) such other certificates, statutes, documents and records as we have deemed necessary and relevant for the purpose of rendering the opinion set forth below. In addition, we have reviewed such questions of law as we considered necessary or appropriate. As to matters of fact relevant to the opinions expressed below, and as to factual matters arising in connection with our examination of corporate documents, records and other documents and writings, we have relied upon certificates and other communications of officers and employees of the Company, without further investigation as to the facts set forth therein. </w:t>
      </w:r>
    </w:p>
    <w:p>
      <w:pPr>
        <w:pStyle w:val="TextBody"/>
        <w:spacing w:lineRule="auto" w:line="288" w:before="0" w:after="0"/>
        <w:ind w:left="0" w:right="0" w:firstLine="720"/>
        <w:jc w:val="both"/>
        <w:rPr>
          <w:rFonts w:ascii="inherit" w:hAnsi="inherit"/>
          <w:sz w:val="20"/>
        </w:rPr>
      </w:pPr>
      <w:r>
        <w:rPr>
          <w:rFonts w:ascii="inherit" w:hAnsi="inherit"/>
          <w:sz w:val="20"/>
        </w:rPr>
        <w:t>For purposes of rendering the opinions set forth below, we have made the following assumptions:</w:t>
      </w:r>
    </w:p>
    <w:tbl>
      <w:tblPr>
        <w:tblW w:w="10205" w:type="dxa"/>
        <w:jc w:val="left"/>
        <w:tblInd w:w="0" w:type="dxa"/>
        <w:tblCellMar>
          <w:top w:w="0" w:type="dxa"/>
          <w:left w:w="0" w:type="dxa"/>
          <w:bottom w:w="0" w:type="dxa"/>
          <w:right w:w="0" w:type="dxa"/>
        </w:tblCellMar>
      </w:tblPr>
      <w:tblGrid>
        <w:gridCol w:w="1977"/>
        <w:gridCol w:w="8228"/>
      </w:tblGrid>
      <w:tr>
        <w:trPr/>
        <w:tc>
          <w:tcPr>
            <w:tcW w:w="1977" w:type="dxa"/>
            <w:tcBorders/>
            <w:shd w:fill="auto" w:val="clear"/>
            <w:vAlign w:val="center"/>
          </w:tcPr>
          <w:p>
            <w:pPr>
              <w:pStyle w:val="TableContents"/>
              <w:spacing w:before="0" w:after="283"/>
              <w:rPr>
                <w:sz w:val="4"/>
                <w:szCs w:val="4"/>
              </w:rPr>
            </w:pPr>
            <w:r>
              <w:rPr>
                <w:sz w:val="4"/>
                <w:szCs w:val="4"/>
              </w:rPr>
            </w:r>
          </w:p>
        </w:tc>
        <w:tc>
          <w:tcPr>
            <w:tcW w:w="8228" w:type="dxa"/>
            <w:tcBorders/>
            <w:shd w:fill="auto" w:val="clear"/>
            <w:vAlign w:val="center"/>
          </w:tcPr>
          <w:p>
            <w:pPr>
              <w:pStyle w:val="TableContents"/>
              <w:spacing w:before="0" w:after="283"/>
              <w:rPr>
                <w:sz w:val="4"/>
                <w:szCs w:val="4"/>
              </w:rPr>
            </w:pPr>
            <w:r>
              <w:rPr>
                <w:sz w:val="4"/>
                <w:szCs w:val="4"/>
              </w:rPr>
            </w:r>
          </w:p>
        </w:tc>
      </w:tr>
      <w:tr>
        <w:trPr/>
        <w:tc>
          <w:tcPr>
            <w:tcW w:w="1977"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w:t>
            </w:r>
          </w:p>
        </w:tc>
        <w:tc>
          <w:tcPr>
            <w:tcW w:w="8228"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the Registration Statement, and any amendments thereto (including post-effective amendments), will have become effective; </w:t>
            </w:r>
          </w:p>
        </w:tc>
      </w:tr>
    </w:tbl>
    <w:p>
      <w:pPr>
        <w:pStyle w:val="TextBody"/>
        <w:spacing w:lineRule="auto" w:line="288" w:before="0" w:after="0"/>
        <w:ind w:left="0" w:right="0" w:firstLine="21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03"/>
        <w:gridCol w:w="8202"/>
      </w:tblGrid>
      <w:tr>
        <w:trPr/>
        <w:tc>
          <w:tcPr>
            <w:tcW w:w="2003" w:type="dxa"/>
            <w:tcBorders/>
            <w:shd w:fill="auto" w:val="clear"/>
            <w:vAlign w:val="center"/>
          </w:tcPr>
          <w:p>
            <w:pPr>
              <w:pStyle w:val="TableContents"/>
              <w:spacing w:before="0" w:after="283"/>
              <w:rPr>
                <w:sz w:val="4"/>
                <w:szCs w:val="4"/>
              </w:rPr>
            </w:pPr>
            <w:r>
              <w:rPr>
                <w:sz w:val="4"/>
                <w:szCs w:val="4"/>
              </w:rPr>
            </w:r>
          </w:p>
        </w:tc>
        <w:tc>
          <w:tcPr>
            <w:tcW w:w="8202" w:type="dxa"/>
            <w:tcBorders/>
            <w:shd w:fill="auto" w:val="clear"/>
            <w:vAlign w:val="center"/>
          </w:tcPr>
          <w:p>
            <w:pPr>
              <w:pStyle w:val="TableContents"/>
              <w:spacing w:before="0" w:after="283"/>
              <w:rPr>
                <w:sz w:val="4"/>
                <w:szCs w:val="4"/>
              </w:rPr>
            </w:pPr>
            <w:r>
              <w:rPr>
                <w:sz w:val="4"/>
                <w:szCs w:val="4"/>
              </w:rPr>
            </w:r>
          </w:p>
        </w:tc>
      </w:tr>
      <w:tr>
        <w:trPr/>
        <w:tc>
          <w:tcPr>
            <w:tcW w:w="2003"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w:t>
            </w:r>
          </w:p>
        </w:tc>
        <w:tc>
          <w:tcPr>
            <w:tcW w:w="8202"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each document submitted to us for review is accurate and complete, each such document that is an original is authentic, each such document that is a copy conforms to an authentic original, and all signatures on each such document are genuine; </w:t>
            </w:r>
          </w:p>
        </w:tc>
      </w:tr>
    </w:tbl>
    <w:p>
      <w:pPr>
        <w:pStyle w:val="TextBody"/>
        <w:spacing w:lineRule="auto" w:line="288" w:before="0" w:after="0"/>
        <w:ind w:left="0" w:right="0" w:firstLine="21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76"/>
        <w:gridCol w:w="8129"/>
      </w:tblGrid>
      <w:tr>
        <w:trPr/>
        <w:tc>
          <w:tcPr>
            <w:tcW w:w="2076" w:type="dxa"/>
            <w:tcBorders/>
            <w:shd w:fill="auto" w:val="clear"/>
            <w:vAlign w:val="center"/>
          </w:tcPr>
          <w:p>
            <w:pPr>
              <w:pStyle w:val="TableContents"/>
              <w:spacing w:before="0" w:after="283"/>
              <w:rPr>
                <w:sz w:val="4"/>
                <w:szCs w:val="4"/>
              </w:rPr>
            </w:pPr>
            <w:r>
              <w:rPr>
                <w:sz w:val="4"/>
                <w:szCs w:val="4"/>
              </w:rPr>
            </w:r>
          </w:p>
        </w:tc>
        <w:tc>
          <w:tcPr>
            <w:tcW w:w="8129" w:type="dxa"/>
            <w:tcBorders/>
            <w:shd w:fill="auto" w:val="clear"/>
            <w:vAlign w:val="center"/>
          </w:tcPr>
          <w:p>
            <w:pPr>
              <w:pStyle w:val="TableContents"/>
              <w:spacing w:before="0" w:after="283"/>
              <w:rPr>
                <w:sz w:val="4"/>
                <w:szCs w:val="4"/>
              </w:rPr>
            </w:pPr>
            <w:r>
              <w:rPr>
                <w:sz w:val="4"/>
                <w:szCs w:val="4"/>
              </w:rPr>
            </w:r>
          </w:p>
        </w:tc>
      </w:tr>
      <w:tr>
        <w:trPr/>
        <w:tc>
          <w:tcPr>
            <w:tcW w:w="2076"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(iii)</w:t>
            </w:r>
          </w:p>
        </w:tc>
        <w:tc>
          <w:tcPr>
            <w:tcW w:w="8129"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each person signing the documents that we examined has the legal capacity and authority to do so; and</w:t>
            </w:r>
          </w:p>
        </w:tc>
      </w:tr>
    </w:tbl>
    <w:p>
      <w:pPr>
        <w:pStyle w:val="TextBody"/>
        <w:spacing w:lineRule="auto" w:line="288" w:before="0" w:after="0"/>
        <w:ind w:left="0" w:right="0" w:firstLine="21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74"/>
        <w:gridCol w:w="8131"/>
      </w:tblGrid>
      <w:tr>
        <w:trPr/>
        <w:tc>
          <w:tcPr>
            <w:tcW w:w="2074" w:type="dxa"/>
            <w:tcBorders/>
            <w:shd w:fill="auto" w:val="clear"/>
            <w:vAlign w:val="center"/>
          </w:tcPr>
          <w:p>
            <w:pPr>
              <w:pStyle w:val="TableContents"/>
              <w:spacing w:before="0" w:after="283"/>
              <w:rPr>
                <w:sz w:val="4"/>
                <w:szCs w:val="4"/>
              </w:rPr>
            </w:pPr>
            <w:r>
              <w:rPr>
                <w:sz w:val="4"/>
                <w:szCs w:val="4"/>
              </w:rPr>
            </w:r>
          </w:p>
        </w:tc>
        <w:tc>
          <w:tcPr>
            <w:tcW w:w="8131" w:type="dxa"/>
            <w:tcBorders/>
            <w:shd w:fill="auto" w:val="clear"/>
            <w:vAlign w:val="center"/>
          </w:tcPr>
          <w:p>
            <w:pPr>
              <w:pStyle w:val="TableContents"/>
              <w:spacing w:before="0" w:after="283"/>
              <w:rPr>
                <w:sz w:val="4"/>
                <w:szCs w:val="4"/>
              </w:rPr>
            </w:pPr>
            <w:r>
              <w:rPr>
                <w:sz w:val="4"/>
                <w:szCs w:val="4"/>
              </w:rPr>
            </w:r>
          </w:p>
        </w:tc>
      </w:tr>
      <w:tr>
        <w:trPr/>
        <w:tc>
          <w:tcPr>
            <w:tcW w:w="2074"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(iv)</w:t>
            </w:r>
          </w:p>
        </w:tc>
        <w:tc>
          <w:tcPr>
            <w:tcW w:w="8131"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each certificate from governmental officials reviewed by us is accurate, complete and authentic, and all official public records are accurate and complete.</w:t>
            </w:r>
          </w:p>
        </w:tc>
      </w:tr>
    </w:tbl>
    <w:p>
      <w:pPr>
        <w:pStyle w:val="TextBody"/>
        <w:spacing w:lineRule="auto" w:line="288" w:before="0" w:after="0"/>
        <w:jc w:val="both"/>
        <w:rPr>
          <w:rFonts w:ascii="inherit" w:hAnsi="inherit"/>
          <w:sz w:val="17"/>
        </w:rPr>
      </w:pPr>
      <w:r>
        <w:rPr>
          <w:rFonts w:ascii="inherit" w:hAnsi="inherit"/>
          <w:sz w:val="17"/>
        </w:rPr>
      </w:r>
    </w:p>
    <w:tbl>
      <w:tblPr>
        <w:tblW w:w="8149" w:type="dxa"/>
        <w:jc w:val="right"/>
        <w:tblInd w:w="0" w:type="dxa"/>
        <w:tblCellMar>
          <w:top w:w="0" w:type="dxa"/>
          <w:left w:w="0" w:type="dxa"/>
          <w:bottom w:w="0" w:type="dxa"/>
          <w:right w:w="0" w:type="dxa"/>
        </w:tblCellMar>
      </w:tblPr>
      <w:tblGrid>
        <w:gridCol w:w="3504"/>
        <w:gridCol w:w="1793"/>
        <w:gridCol w:w="2852"/>
      </w:tblGrid>
      <w:tr>
        <w:trPr/>
        <w:tc>
          <w:tcPr>
            <w:tcW w:w="8149" w:type="dxa"/>
            <w:gridSpan w:val="3"/>
            <w:tcBorders/>
            <w:shd w:fill="auto" w:val="clear"/>
            <w:vAlign w:val="center"/>
          </w:tcPr>
          <w:p>
            <w:pPr>
              <w:pStyle w:val="TableContents"/>
              <w:spacing w:before="0" w:after="283"/>
              <w:rPr>
                <w:sz w:val="4"/>
                <w:szCs w:val="4"/>
              </w:rPr>
            </w:pPr>
            <w:r>
              <w:rPr>
                <w:sz w:val="4"/>
                <w:szCs w:val="4"/>
              </w:rPr>
            </w:r>
          </w:p>
        </w:tc>
      </w:tr>
      <w:tr>
        <w:trPr/>
        <w:tc>
          <w:tcPr>
            <w:tcW w:w="3504"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28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4" w:type="dxa"/>
            <w:tcBorders/>
            <w:shd w:fill="auto" w:val="clear"/>
            <w:vAlign w:val="center"/>
          </w:tcPr>
          <w:p>
            <w:pPr>
              <w:pStyle w:val="TableContents"/>
              <w:spacing w:before="0" w:after="0"/>
              <w:rPr>
                <w:sz w:val="12"/>
              </w:rPr>
            </w:pPr>
            <w:r>
              <w:rPr>
                <w:rFonts w:ascii="Arial" w:hAnsi="Arial"/>
                <w:b/>
                <w:sz w:val="12"/>
              </w:rPr>
              <w:t>Vinson &amp; Elkins LLP Attorneys at Law</w:t>
            </w:r>
            <w:r>
              <w:rPr>
                <w:sz w:val="12"/>
              </w:rPr>
              <w:t> </w:t>
            </w:r>
          </w:p>
          <w:p>
            <w:pPr>
              <w:pStyle w:val="TableContents"/>
              <w:spacing w:before="0" w:after="0"/>
              <w:rPr>
                <w:rFonts w:ascii="Arial" w:hAnsi="Arial"/>
                <w:sz w:val="12"/>
              </w:rPr>
            </w:pPr>
            <w:r>
              <w:rPr>
                <w:rFonts w:ascii="Arial" w:hAnsi="Arial"/>
                <w:sz w:val="12"/>
              </w:rPr>
              <w:t xml:space="preserve">Abu Dhabi Austin Beijing Dallas Dubai Hong Kong Houston </w:t>
            </w:r>
          </w:p>
          <w:p>
            <w:pPr>
              <w:pStyle w:val="TableContents"/>
              <w:spacing w:before="0" w:after="0"/>
              <w:rPr>
                <w:rFonts w:ascii="Arial" w:hAnsi="Arial"/>
                <w:sz w:val="12"/>
              </w:rPr>
            </w:pPr>
            <w:r>
              <w:rPr>
                <w:rFonts w:ascii="Arial" w:hAnsi="Arial"/>
                <w:sz w:val="12"/>
              </w:rPr>
              <w:t>London Moscow New York Shanghai Tokyo Washington</w:t>
            </w:r>
          </w:p>
          <w:p>
            <w:pPr>
              <w:pStyle w:val="TableContents"/>
              <w:spacing w:before="0" w:after="0"/>
              <w:ind w:left="0" w:right="0" w:firstLine="30"/>
              <w:rPr>
                <w:rFonts w:ascii="inherit" w:hAnsi="inherit"/>
                <w:sz w:val="17"/>
              </w:rPr>
            </w:pPr>
            <w:r>
              <w:rPr>
                <w:rFonts w:ascii="inherit" w:hAnsi="inherit"/>
                <w:sz w:val="17"/>
              </w:rPr>
            </w:r>
          </w:p>
        </w:tc>
        <w:tc>
          <w:tcPr>
            <w:tcW w:w="1793" w:type="dxa"/>
            <w:tcBorders/>
            <w:shd w:fill="auto" w:val="clear"/>
            <w:vAlign w:val="center"/>
          </w:tcPr>
          <w:p>
            <w:pPr>
              <w:pStyle w:val="TableContents"/>
              <w:spacing w:before="0" w:after="0"/>
              <w:ind w:left="0" w:right="0" w:firstLine="30"/>
              <w:rPr/>
            </w:pPr>
            <w:r>
              <w:rPr/>
              <w:t> </w:t>
            </w:r>
          </w:p>
        </w:tc>
        <w:tc>
          <w:tcPr>
            <w:tcW w:w="2852" w:type="dxa"/>
            <w:tcBorders/>
            <w:shd w:fill="auto" w:val="clear"/>
            <w:vAlign w:val="center"/>
          </w:tcPr>
          <w:p>
            <w:pPr>
              <w:pStyle w:val="TableContents"/>
              <w:spacing w:before="0" w:after="0"/>
              <w:rPr>
                <w:rFonts w:ascii="Arial" w:hAnsi="Arial"/>
                <w:sz w:val="12"/>
              </w:rPr>
            </w:pPr>
            <w:r>
              <w:rPr>
                <w:rFonts w:ascii="Arial" w:hAnsi="Arial"/>
                <w:sz w:val="12"/>
              </w:rPr>
              <w:t>Trammell Crow Center, 2001 Ross Avenue, Suite 3700</w:t>
            </w:r>
          </w:p>
          <w:p>
            <w:pPr>
              <w:pStyle w:val="TableContents"/>
              <w:spacing w:before="0" w:after="0"/>
              <w:jc w:val="both"/>
              <w:rPr>
                <w:rFonts w:ascii="Arial" w:hAnsi="Arial"/>
                <w:sz w:val="12"/>
              </w:rPr>
            </w:pPr>
            <w:r>
              <w:rPr>
                <w:rFonts w:ascii="Arial" w:hAnsi="Arial"/>
                <w:sz w:val="12"/>
              </w:rPr>
              <w:t xml:space="preserve">Dallas, TX 75201-2975 </w:t>
            </w:r>
          </w:p>
          <w:p>
            <w:pPr>
              <w:pStyle w:val="TableContents"/>
              <w:spacing w:before="0" w:after="0"/>
              <w:rPr>
                <w:sz w:val="12"/>
              </w:rPr>
            </w:pPr>
            <w:r>
              <w:rPr>
                <w:rFonts w:ascii="Arial" w:hAnsi="Arial"/>
                <w:b/>
                <w:sz w:val="12"/>
              </w:rPr>
              <w:t>Tel</w:t>
            </w:r>
            <w:r>
              <w:rPr>
                <w:sz w:val="12"/>
              </w:rPr>
              <w:t> </w:t>
            </w:r>
            <w:r>
              <w:rPr>
                <w:rFonts w:ascii="Arial" w:hAnsi="Arial"/>
                <w:sz w:val="12"/>
              </w:rPr>
              <w:t xml:space="preserve">214.220.7700 </w:t>
            </w:r>
            <w:r>
              <w:rPr>
                <w:rFonts w:ascii="Arial" w:hAnsi="Arial"/>
                <w:b/>
                <w:sz w:val="12"/>
              </w:rPr>
              <w:t>Fax</w:t>
            </w:r>
            <w:r>
              <w:rPr>
                <w:sz w:val="12"/>
              </w:rPr>
              <w:t> </w:t>
            </w:r>
            <w:r>
              <w:rPr>
                <w:rFonts w:ascii="Arial" w:hAnsi="Arial"/>
                <w:sz w:val="12"/>
              </w:rPr>
              <w:t>214.220.7716</w:t>
            </w:r>
            <w:r>
              <w:rPr>
                <w:sz w:val="12"/>
              </w:rPr>
              <w:t>  </w:t>
            </w:r>
            <w:r>
              <w:rPr>
                <w:rFonts w:ascii="Arial" w:hAnsi="Arial"/>
                <w:b/>
                <w:sz w:val="12"/>
              </w:rPr>
              <w:t>www.velaw.com</w:t>
            </w:r>
          </w:p>
          <w:p>
            <w:pPr>
              <w:pStyle w:val="TableContents"/>
              <w:spacing w:before="0" w:after="0"/>
              <w:rPr>
                <w:rFonts w:ascii="inherit" w:hAnsi="inherit"/>
                <w:sz w:val="12"/>
              </w:rPr>
            </w:pPr>
            <w:r>
              <w:rPr>
                <w:rFonts w:ascii="inherit" w:hAnsi="inherit"/>
                <w:sz w:val="12"/>
              </w:rPr>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bookmarkStart w:id="43" w:name="s80C115371AB295FB984F5E127D9852C21"/>
      <w:bookmarkEnd w:id="43"/>
      <w:r>
        <w:rPr>
          <w:rFonts w:ascii="inherit" w:hAnsi="inherit"/>
          <w:sz w:val="20"/>
        </w:rPr>
        <w:t>January 15, 2013 Page 2</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20"/>
        </w:rPr>
      </w:pPr>
      <w:r>
        <w:rPr>
          <w:rFonts w:ascii="inherit" w:hAnsi="inherit"/>
          <w:sz w:val="20"/>
        </w:rPr>
        <w:t>Based upon and subject to the foregoing, and subject to the qualifications and limitations set forth herein, we are of the opinion that the Shares have been validly issued and are fully paid and non-assessable.</w:t>
      </w:r>
    </w:p>
    <w:p>
      <w:pPr>
        <w:pStyle w:val="TextBody"/>
        <w:spacing w:lineRule="auto" w:line="288" w:before="0" w:after="0"/>
        <w:ind w:left="0" w:right="0" w:firstLine="720"/>
        <w:jc w:val="both"/>
        <w:rPr>
          <w:rFonts w:ascii="inherit" w:hAnsi="inherit"/>
          <w:sz w:val="20"/>
        </w:rPr>
      </w:pPr>
      <w:r>
        <w:rPr>
          <w:rFonts w:ascii="inherit" w:hAnsi="inherit"/>
          <w:sz w:val="20"/>
        </w:rPr>
        <w:t>Our opinion is qualified in the following respects:</w:t>
      </w:r>
    </w:p>
    <w:tbl>
      <w:tblPr>
        <w:tblW w:w="10205" w:type="dxa"/>
        <w:jc w:val="left"/>
        <w:tblInd w:w="0" w:type="dxa"/>
        <w:tblCellMar>
          <w:top w:w="0" w:type="dxa"/>
          <w:left w:w="0" w:type="dxa"/>
          <w:bottom w:w="0" w:type="dxa"/>
          <w:right w:w="0" w:type="dxa"/>
        </w:tblCellMar>
      </w:tblPr>
      <w:tblGrid>
        <w:gridCol w:w="1956"/>
        <w:gridCol w:w="8249"/>
      </w:tblGrid>
      <w:tr>
        <w:trPr/>
        <w:tc>
          <w:tcPr>
            <w:tcW w:w="1956" w:type="dxa"/>
            <w:tcBorders/>
            <w:shd w:fill="auto" w:val="clear"/>
            <w:vAlign w:val="center"/>
          </w:tcPr>
          <w:p>
            <w:pPr>
              <w:pStyle w:val="TableContents"/>
              <w:spacing w:before="0" w:after="283"/>
              <w:rPr>
                <w:sz w:val="4"/>
                <w:szCs w:val="4"/>
              </w:rPr>
            </w:pPr>
            <w:r>
              <w:rPr>
                <w:sz w:val="4"/>
                <w:szCs w:val="4"/>
              </w:rPr>
            </w:r>
          </w:p>
        </w:tc>
        <w:tc>
          <w:tcPr>
            <w:tcW w:w="8249" w:type="dxa"/>
            <w:tcBorders/>
            <w:shd w:fill="auto" w:val="clear"/>
            <w:vAlign w:val="center"/>
          </w:tcPr>
          <w:p>
            <w:pPr>
              <w:pStyle w:val="TableContents"/>
              <w:spacing w:before="0" w:after="283"/>
              <w:rPr>
                <w:sz w:val="4"/>
                <w:szCs w:val="4"/>
              </w:rPr>
            </w:pPr>
            <w:r>
              <w:rPr>
                <w:sz w:val="4"/>
                <w:szCs w:val="4"/>
              </w:rPr>
            </w:r>
          </w:p>
        </w:tc>
      </w:tr>
      <w:tr>
        <w:trPr/>
        <w:tc>
          <w:tcPr>
            <w:tcW w:w="1956"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w:t>
            </w:r>
          </w:p>
        </w:tc>
        <w:tc>
          <w:tcPr>
            <w:tcW w:w="8249"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our opinions herein are limited in all respects to the federal laws of the United States of America and the General Corporation Law of the State of Delaware, and we are expressing no opinion as to the applicability or effect of the laws of any other jurisdiction, domestic or foreign; </w:t>
            </w:r>
          </w:p>
        </w:tc>
      </w:tr>
    </w:tbl>
    <w:p>
      <w:pPr>
        <w:pStyle w:val="TextBody"/>
        <w:spacing w:lineRule="auto" w:line="288" w:before="0" w:after="0"/>
        <w:ind w:left="0" w:right="0" w:firstLine="144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22"/>
        <w:gridCol w:w="8183"/>
      </w:tblGrid>
      <w:tr>
        <w:trPr/>
        <w:tc>
          <w:tcPr>
            <w:tcW w:w="2022" w:type="dxa"/>
            <w:tcBorders/>
            <w:shd w:fill="auto" w:val="clear"/>
            <w:vAlign w:val="center"/>
          </w:tcPr>
          <w:p>
            <w:pPr>
              <w:pStyle w:val="TableContents"/>
              <w:spacing w:before="0" w:after="283"/>
              <w:rPr>
                <w:sz w:val="4"/>
                <w:szCs w:val="4"/>
              </w:rPr>
            </w:pPr>
            <w:r>
              <w:rPr>
                <w:sz w:val="4"/>
                <w:szCs w:val="4"/>
              </w:rPr>
            </w:r>
          </w:p>
        </w:tc>
        <w:tc>
          <w:tcPr>
            <w:tcW w:w="8183" w:type="dxa"/>
            <w:tcBorders/>
            <w:shd w:fill="auto" w:val="clear"/>
            <w:vAlign w:val="center"/>
          </w:tcPr>
          <w:p>
            <w:pPr>
              <w:pStyle w:val="TableContents"/>
              <w:spacing w:before="0" w:after="283"/>
              <w:rPr>
                <w:sz w:val="4"/>
                <w:szCs w:val="4"/>
              </w:rPr>
            </w:pPr>
            <w:r>
              <w:rPr>
                <w:sz w:val="4"/>
                <w:szCs w:val="4"/>
              </w:rPr>
            </w:r>
          </w:p>
        </w:tc>
      </w:tr>
      <w:tr>
        <w:trPr/>
        <w:tc>
          <w:tcPr>
            <w:tcW w:w="2022"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w:t>
            </w:r>
          </w:p>
        </w:tc>
        <w:tc>
          <w:tcPr>
            <w:tcW w:w="8183"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we express no opinion as to any matter other than as set forth herein, and no opinion may be inferred or implied herefrom; and </w:t>
            </w:r>
          </w:p>
        </w:tc>
      </w:tr>
    </w:tbl>
    <w:p>
      <w:pPr>
        <w:pStyle w:val="TextBody"/>
        <w:spacing w:lineRule="auto" w:line="288" w:before="0" w:after="0"/>
        <w:ind w:left="0" w:right="0" w:hanging="3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59"/>
        <w:gridCol w:w="8146"/>
      </w:tblGrid>
      <w:tr>
        <w:trPr/>
        <w:tc>
          <w:tcPr>
            <w:tcW w:w="2059" w:type="dxa"/>
            <w:tcBorders/>
            <w:shd w:fill="auto" w:val="clear"/>
            <w:vAlign w:val="center"/>
          </w:tcPr>
          <w:p>
            <w:pPr>
              <w:pStyle w:val="TableContents"/>
              <w:spacing w:before="0" w:after="283"/>
              <w:rPr>
                <w:sz w:val="4"/>
                <w:szCs w:val="4"/>
              </w:rPr>
            </w:pPr>
            <w:r>
              <w:rPr>
                <w:sz w:val="4"/>
                <w:szCs w:val="4"/>
              </w:rPr>
            </w:r>
          </w:p>
        </w:tc>
        <w:tc>
          <w:tcPr>
            <w:tcW w:w="8146" w:type="dxa"/>
            <w:tcBorders/>
            <w:shd w:fill="auto" w:val="clear"/>
            <w:vAlign w:val="center"/>
          </w:tcPr>
          <w:p>
            <w:pPr>
              <w:pStyle w:val="TableContents"/>
              <w:spacing w:before="0" w:after="283"/>
              <w:rPr>
                <w:sz w:val="4"/>
                <w:szCs w:val="4"/>
              </w:rPr>
            </w:pPr>
            <w:r>
              <w:rPr>
                <w:sz w:val="4"/>
                <w:szCs w:val="4"/>
              </w:rPr>
            </w:r>
          </w:p>
        </w:tc>
      </w:tr>
      <w:tr>
        <w:trPr/>
        <w:tc>
          <w:tcPr>
            <w:tcW w:w="2059"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(iii)</w:t>
            </w:r>
          </w:p>
        </w:tc>
        <w:tc>
          <w:tcPr>
            <w:tcW w:w="8146"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our opinion is given as of the date hereof, and we undertake no, and hereby disclaim any, obligation to advise you of any change in any matter set forth herein.</w:t>
            </w:r>
          </w:p>
        </w:tc>
      </w:tr>
    </w:tbl>
    <w:p>
      <w:pPr>
        <w:pStyle w:val="TextBody"/>
        <w:spacing w:lineRule="auto" w:line="288" w:before="0" w:after="0"/>
        <w:ind w:left="0" w:right="0" w:firstLine="720"/>
        <w:jc w:val="both"/>
        <w:rPr>
          <w:rFonts w:ascii="inherit" w:hAnsi="inherit"/>
          <w:sz w:val="20"/>
        </w:rPr>
      </w:pPr>
      <w:r>
        <w:rPr>
          <w:rFonts w:ascii="inherit" w:hAnsi="inherit"/>
          <w:sz w:val="20"/>
        </w:rPr>
      </w:r>
    </w:p>
    <w:p>
      <w:pPr>
        <w:pStyle w:val="TextBody"/>
        <w:spacing w:lineRule="auto" w:line="288" w:before="0" w:after="0"/>
        <w:ind w:left="0" w:right="0" w:firstLine="720"/>
        <w:jc w:val="both"/>
        <w:rPr>
          <w:rFonts w:ascii="inherit" w:hAnsi="inherit"/>
          <w:sz w:val="20"/>
        </w:rPr>
      </w:pPr>
      <w:r>
        <w:rPr>
          <w:rFonts w:ascii="inherit" w:hAnsi="inherit"/>
          <w:sz w:val="20"/>
        </w:rPr>
        <w:t xml:space="preserve">We hereby consent to the filing of this opinion as an exhibit to the Registration Statement and to the reference to our firm under the caption “Legal Matters” in the Prospectus forming part of the Registration Statement as having passed on the validity of the Shares. By giving such consent, we do not admit that we are within the category of persons whose consent is required under Section 7 of the Securities Act or the rules and regulations of the Commission issued thereunder. </w:t>
      </w:r>
    </w:p>
    <w:p>
      <w:pPr>
        <w:pStyle w:val="TextBody"/>
        <w:spacing w:lineRule="auto" w:line="288" w:before="0" w:after="0"/>
        <w:ind w:left="0" w:right="0" w:firstLine="5040"/>
        <w:jc w:val="both"/>
        <w:rPr>
          <w:rFonts w:ascii="inherit" w:hAnsi="inherit"/>
          <w:sz w:val="20"/>
        </w:rPr>
      </w:pPr>
      <w:r>
        <w:rPr>
          <w:rFonts w:ascii="inherit" w:hAnsi="inherit"/>
          <w:sz w:val="20"/>
        </w:rPr>
        <w:t>Very truly yours,</w:t>
      </w:r>
    </w:p>
    <w:p>
      <w:pPr>
        <w:pStyle w:val="TextBody"/>
        <w:spacing w:lineRule="auto" w:line="288" w:before="0" w:after="0"/>
        <w:ind w:left="0" w:right="0" w:firstLine="5040"/>
        <w:jc w:val="both"/>
        <w:rPr>
          <w:rFonts w:ascii="inherit" w:hAnsi="inherit"/>
          <w:sz w:val="20"/>
        </w:rPr>
      </w:pPr>
      <w:r>
        <w:rPr>
          <w:rFonts w:ascii="inherit" w:hAnsi="inherit"/>
          <w:sz w:val="20"/>
        </w:rPr>
        <w:t>/s/ Vinson &amp; Elkins L.L.P.</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44" w:name="sFE5098CF1C41EABC61175E127E40B635"/>
      <w:bookmarkStart w:id="45" w:name="exhibit231consentofbdousal.htm"/>
      <w:bookmarkStart w:id="46" w:name="ksexhibit231consentofbdousal"/>
      <w:bookmarkStart w:id="47" w:name="sFE5098CF1C41EABC61175E127E40B635"/>
      <w:bookmarkStart w:id="48" w:name="exhibit231consentofbdousal.htm"/>
      <w:bookmarkStart w:id="49" w:name="ksexhibit231consentofbdousal"/>
      <w:bookmarkEnd w:id="47"/>
      <w:bookmarkEnd w:id="48"/>
      <w:bookmarkEnd w:id="49"/>
    </w:p>
    <w:p>
      <w:pPr>
        <w:pStyle w:val="TextBody"/>
        <w:spacing w:before="0" w:after="0"/>
        <w:rPr/>
      </w:pPr>
      <w:r>
        <w:rPr/>
      </w:r>
    </w:p>
    <w:p>
      <w:pPr>
        <w:pStyle w:val="TextBody"/>
        <w:spacing w:lineRule="auto" w:line="288" w:before="0" w:after="0"/>
        <w:ind w:left="0" w:right="0" w:firstLine="1440"/>
        <w:jc w:val="left"/>
        <w:rPr/>
      </w:pPr>
      <w:r>
        <w:rPr/>
        <w:t>        </w:t>
      </w:r>
    </w:p>
    <w:tbl>
      <w:tblPr>
        <w:tblW w:w="10205" w:type="dxa"/>
        <w:jc w:val="left"/>
        <w:tblInd w:w="0" w:type="dxa"/>
        <w:tblCellMar>
          <w:top w:w="0" w:type="dxa"/>
          <w:left w:w="0" w:type="dxa"/>
          <w:bottom w:w="0" w:type="dxa"/>
          <w:right w:w="0" w:type="dxa"/>
        </w:tblCellMar>
      </w:tblPr>
      <w:tblGrid>
        <w:gridCol w:w="5210"/>
        <w:gridCol w:w="1730"/>
        <w:gridCol w:w="1217"/>
        <w:gridCol w:w="2048"/>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210"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10" w:type="dxa"/>
            <w:vMerge w:val="restart"/>
            <w:tcBorders/>
            <w:shd w:fill="auto" w:val="clear"/>
            <w:vAlign w:val="center"/>
          </w:tcPr>
          <w:p>
            <w:pPr>
              <w:pStyle w:val="TableContents"/>
              <w:spacing w:before="0" w:after="0"/>
              <w:ind w:left="0" w:right="0" w:firstLine="30"/>
              <w:rPr/>
            </w:pPr>
            <w:r>
              <w:rPr/>
              <w:drawing>
                <wp:inline distT="0" distB="0" distL="0" distR="0">
                  <wp:extent cx="1460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05" cy="14605"/>
                          </a:xfrm>
                          <a:prstGeom prst="rect">
                            <a:avLst/>
                          </a:prstGeom>
                        </pic:spPr>
                      </pic:pic>
                    </a:graphicData>
                  </a:graphic>
                </wp:inline>
              </w:drawing>
            </w:r>
            <w:r>
              <w:rPr/>
              <w:drawing>
                <wp:inline distT="0" distB="0" distL="0" distR="0">
                  <wp:extent cx="13335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0" cy="504825"/>
                          </a:xfrm>
                          <a:prstGeom prst="rect">
                            <a:avLst/>
                          </a:prstGeom>
                        </pic:spPr>
                      </pic:pic>
                    </a:graphicData>
                  </a:graphic>
                </wp:inline>
              </w:drawing>
            </w:r>
          </w:p>
        </w:tc>
        <w:tc>
          <w:tcPr>
            <w:tcW w:w="1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Tel: 214-969-7007</w:t>
            </w:r>
          </w:p>
        </w:tc>
        <w:tc>
          <w:tcPr>
            <w:tcW w:w="1217" w:type="dxa"/>
            <w:tcBorders/>
            <w:shd w:fill="auto" w:val="clear"/>
            <w:vAlign w:val="center"/>
          </w:tcPr>
          <w:p>
            <w:pPr>
              <w:pStyle w:val="TableContents"/>
              <w:spacing w:before="0" w:after="0"/>
              <w:ind w:left="0" w:right="0" w:firstLine="30"/>
              <w:rPr/>
            </w:pPr>
            <w:r>
              <w:rPr/>
              <w:t> </w:t>
            </w:r>
          </w:p>
        </w:tc>
        <w:tc>
          <w:tcPr>
            <w:tcW w:w="204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700 North Pearl, Suite 2000</w:t>
            </w:r>
          </w:p>
        </w:tc>
      </w:tr>
      <w:tr>
        <w:trPr/>
        <w:tc>
          <w:tcPr>
            <w:tcW w:w="5210" w:type="dxa"/>
            <w:vMerge w:val="continue"/>
            <w:tcBorders/>
            <w:shd w:fill="auto" w:val="clear"/>
            <w:vAlign w:val="center"/>
          </w:tcPr>
          <w:p>
            <w:pPr>
              <w:pStyle w:val="Normal"/>
              <w:rPr/>
            </w:pPr>
            <w:r>
              <w:rPr/>
            </w:r>
          </w:p>
        </w:tc>
        <w:tc>
          <w:tcPr>
            <w:tcW w:w="1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Fax: 214-953-0722</w:t>
            </w:r>
          </w:p>
        </w:tc>
        <w:tc>
          <w:tcPr>
            <w:tcW w:w="1217" w:type="dxa"/>
            <w:tcBorders/>
            <w:shd w:fill="auto" w:val="clear"/>
            <w:vAlign w:val="center"/>
          </w:tcPr>
          <w:p>
            <w:pPr>
              <w:pStyle w:val="TableContents"/>
              <w:spacing w:before="0" w:after="0"/>
              <w:ind w:left="0" w:right="0" w:firstLine="30"/>
              <w:rPr/>
            </w:pPr>
            <w:r>
              <w:rPr/>
              <w:t> </w:t>
            </w:r>
          </w:p>
        </w:tc>
        <w:tc>
          <w:tcPr>
            <w:tcW w:w="204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Dallas, TX 75201</w:t>
            </w:r>
          </w:p>
        </w:tc>
      </w:tr>
      <w:tr>
        <w:trPr/>
        <w:tc>
          <w:tcPr>
            <w:tcW w:w="5210" w:type="dxa"/>
            <w:vMerge w:val="continue"/>
            <w:tcBorders/>
            <w:shd w:fill="auto" w:val="clear"/>
            <w:vAlign w:val="center"/>
          </w:tcPr>
          <w:p>
            <w:pPr>
              <w:pStyle w:val="Normal"/>
              <w:rPr/>
            </w:pPr>
            <w:r>
              <w:rPr/>
            </w:r>
          </w:p>
        </w:tc>
        <w:tc>
          <w:tcPr>
            <w:tcW w:w="1730" w:type="dxa"/>
            <w:tcBorders/>
            <w:shd w:fill="auto" w:val="clear"/>
            <w:vAlign w:val="center"/>
          </w:tcPr>
          <w:p>
            <w:pPr>
              <w:pStyle w:val="TableContents"/>
              <w:spacing w:before="0" w:after="0"/>
              <w:ind w:left="0" w:right="0" w:firstLine="30"/>
              <w:rPr/>
            </w:pPr>
            <w:r>
              <w:rPr/>
              <w:t> </w:t>
            </w:r>
          </w:p>
        </w:tc>
        <w:tc>
          <w:tcPr>
            <w:tcW w:w="1217" w:type="dxa"/>
            <w:tcBorders/>
            <w:shd w:fill="auto" w:val="clear"/>
            <w:vAlign w:val="center"/>
          </w:tcPr>
          <w:p>
            <w:pPr>
              <w:pStyle w:val="TableContents"/>
              <w:spacing w:before="0" w:after="0"/>
              <w:ind w:left="0" w:right="0" w:firstLine="30"/>
              <w:rPr/>
            </w:pPr>
            <w:r>
              <w:rPr/>
              <w:t> </w:t>
            </w:r>
          </w:p>
        </w:tc>
        <w:tc>
          <w:tcPr>
            <w:tcW w:w="2048" w:type="dxa"/>
            <w:tcBorders/>
            <w:shd w:fill="auto" w:val="clear"/>
            <w:vAlign w:val="center"/>
          </w:tcPr>
          <w:p>
            <w:pPr>
              <w:pStyle w:val="TableContents"/>
              <w:spacing w:before="0" w:after="0"/>
              <w:jc w:val="left"/>
              <w:rPr>
                <w:rFonts w:ascii="inherit" w:hAnsi="inherit"/>
                <w:b/>
                <w:sz w:val="13"/>
              </w:rPr>
            </w:pPr>
            <w:r>
              <w:rPr>
                <w:rFonts w:ascii="inherit" w:hAnsi="inherit"/>
                <w:b/>
                <w:sz w:val="13"/>
              </w:rPr>
              <w:t>www.bdo.com</w:t>
            </w:r>
          </w:p>
        </w:tc>
      </w:tr>
    </w:tbl>
    <w:p>
      <w:pPr>
        <w:pStyle w:val="TextBody"/>
        <w:spacing w:lineRule="auto" w:line="288" w:before="0" w:after="0"/>
        <w:jc w:val="center"/>
        <w:rPr>
          <w:rFonts w:ascii="inherit" w:hAnsi="inherit"/>
          <w:sz w:val="17"/>
          <w:u w:val="single"/>
        </w:rPr>
      </w:pPr>
      <w:r>
        <w:rPr>
          <w:rFonts w:ascii="inherit" w:hAnsi="inherit"/>
          <w:sz w:val="17"/>
          <w:u w:val="single"/>
        </w:rPr>
        <w:t xml:space="preserve">Consent of Independent Registered Public Accounting Firm </w:t>
      </w:r>
    </w:p>
    <w:p>
      <w:pPr>
        <w:pStyle w:val="TextBody"/>
        <w:spacing w:lineRule="auto" w:line="288" w:before="0" w:after="0"/>
        <w:jc w:val="both"/>
        <w:rPr>
          <w:rFonts w:ascii="inherit" w:hAnsi="inherit"/>
          <w:sz w:val="17"/>
        </w:rPr>
      </w:pPr>
      <w:r>
        <w:rPr>
          <w:rFonts w:ascii="inherit" w:hAnsi="inherit"/>
          <w:sz w:val="17"/>
        </w:rPr>
        <w:t xml:space="preserve">EZCORP, Inc. Austin, Texas </w:t>
      </w:r>
    </w:p>
    <w:p>
      <w:pPr>
        <w:pStyle w:val="TextBody"/>
        <w:spacing w:lineRule="auto" w:line="288" w:before="0" w:after="0"/>
        <w:jc w:val="both"/>
        <w:rPr>
          <w:rFonts w:ascii="inherit" w:hAnsi="inherit"/>
          <w:sz w:val="17"/>
        </w:rPr>
      </w:pPr>
      <w:r>
        <w:rPr>
          <w:rFonts w:ascii="inherit" w:hAnsi="inherit"/>
          <w:sz w:val="17"/>
        </w:rPr>
        <w:t xml:space="preserve">We hereby consent to the incorporation by reference in the Prospectus constituting a part of this Registration Statement of our reports dated November 20, 2012, relating to the consolidated financial statements and the effectiveness of EZCORP, Inc.'s internal control over financial reporting of EZCORP, Inc. appearing in the Company's Annual Report on Form 10-K for the year ended September 30, 2012. </w:t>
      </w:r>
    </w:p>
    <w:p>
      <w:pPr>
        <w:pStyle w:val="TextBody"/>
        <w:spacing w:lineRule="auto" w:line="288" w:before="0" w:after="0"/>
        <w:rPr>
          <w:rFonts w:ascii="inherit" w:hAnsi="inherit"/>
          <w:sz w:val="17"/>
        </w:rPr>
      </w:pPr>
      <w:r>
        <w:rPr>
          <w:rFonts w:ascii="inherit" w:hAnsi="inherit"/>
          <w:sz w:val="17"/>
        </w:rPr>
        <w:t>We also consent to the reference to us under the caption “Experts” in the Prospectus.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pPr>
      <w:r>
        <w:rPr/>
        <w:drawing>
          <wp:inline distT="0" distB="0" distL="0" distR="0">
            <wp:extent cx="228600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00" cy="542925"/>
                    </a:xfrm>
                    <a:prstGeom prst="rect">
                      <a:avLst/>
                    </a:prstGeom>
                  </pic:spPr>
                </pic:pic>
              </a:graphicData>
            </a:graphic>
          </wp:inline>
        </w:drawing>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BDO USA, LLP </w:t>
      </w:r>
    </w:p>
    <w:p>
      <w:pPr>
        <w:pStyle w:val="TextBody"/>
        <w:spacing w:lineRule="auto" w:line="288" w:before="0" w:after="0"/>
        <w:jc w:val="both"/>
        <w:rPr>
          <w:rFonts w:ascii="inherit" w:hAnsi="inherit"/>
          <w:sz w:val="17"/>
        </w:rPr>
      </w:pPr>
      <w:r>
        <w:rPr>
          <w:rFonts w:ascii="inherit" w:hAnsi="inherit"/>
          <w:sz w:val="17"/>
        </w:rPr>
        <w:t xml:space="preserve">Dallas, Texas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January 15, 2013     </w:t>
      </w:r>
    </w:p>
    <w:p>
      <w:pPr>
        <w:pStyle w:val="TextBody"/>
        <w:spacing w:lineRule="auto" w:line="288" w:before="0" w:after="0"/>
        <w:jc w:val="both"/>
        <w:rPr>
          <w:color w:val="674F3F"/>
        </w:rPr>
      </w:pPr>
      <w:r>
        <w:rPr>
          <w:color w:val="674F3F"/>
        </w:rPr>
        <w: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color w:val="674F3F"/>
          <w:sz w:val="10"/>
        </w:rPr>
      </w:pPr>
      <w:r>
        <w:rPr>
          <w:rFonts w:ascii="inherit" w:hAnsi="inherit"/>
          <w:color w:val="674F3F"/>
          <w:sz w:val="10"/>
        </w:rPr>
        <w:t xml:space="preserve">BDO USA, LLP, a Delaware limited liability partnership, is the U.S. member of BDO International Limited, a UK company limited by guarantee, and forms part of the international BDO network of independent member firms. </w:t>
      </w:r>
    </w:p>
    <w:p>
      <w:pPr>
        <w:pStyle w:val="TextBody"/>
        <w:spacing w:lineRule="auto" w:line="288" w:before="0" w:after="0"/>
        <w:jc w:val="both"/>
        <w:rPr>
          <w:rFonts w:ascii="inherit" w:hAnsi="inherit"/>
          <w:color w:val="674F3F"/>
          <w:sz w:val="10"/>
        </w:rPr>
      </w:pPr>
      <w:r>
        <w:rPr>
          <w:rFonts w:ascii="inherit" w:hAnsi="inherit"/>
          <w:color w:val="674F3F"/>
          <w:sz w:val="10"/>
        </w:rPr>
        <w:t xml:space="preserve">BDO is the brand name for the BDO network and for each of the BDO Member Firms. </w:t>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8834</Words>
  <CharactersWithSpaces>55581</CharactersWithSpaces>
  <Paragraphs>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