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303"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91"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_______________________________________________________</w:t>
      </w: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February 12, 2019 (February 8, 2019)</w:t>
      </w:r>
    </w:p>
    <w:p>
      <w:pPr>
        <w:spacing w:after="0" w:line="71"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EZCORP,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61" w:lineRule="exact"/>
        <w:rPr>
          <w:sz w:val="24"/>
          <w:szCs w:val="24"/>
          <w:color w:val="auto"/>
        </w:rPr>
      </w:pPr>
    </w:p>
    <w:p>
      <w:pPr>
        <w:ind w:left="3240"/>
        <w:spacing w:after="0"/>
        <w:rPr>
          <w:sz w:val="20"/>
          <w:szCs w:val="20"/>
          <w:color w:val="auto"/>
        </w:rPr>
      </w:pPr>
      <w:r>
        <w:rPr>
          <w:rFonts w:ascii="Arial" w:cs="Arial" w:eastAsia="Arial" w:hAnsi="Arial"/>
          <w:sz w:val="18"/>
          <w:szCs w:val="18"/>
          <w:color w:val="auto"/>
        </w:rPr>
        <w:t>_______________________________________________________</w:t>
      </w:r>
    </w:p>
    <w:p>
      <w:pPr>
        <w:spacing w:after="0" w:line="200" w:lineRule="exact"/>
        <w:rPr>
          <w:sz w:val="24"/>
          <w:szCs w:val="24"/>
          <w:color w:val="auto"/>
        </w:rPr>
      </w:pPr>
    </w:p>
    <w:p>
      <w:pPr>
        <w:spacing w:after="0" w:line="251" w:lineRule="exact"/>
        <w:rPr>
          <w:sz w:val="24"/>
          <w:szCs w:val="24"/>
          <w:color w:val="auto"/>
        </w:rPr>
      </w:pPr>
    </w:p>
    <w:tbl>
      <w:tblPr>
        <w:tblLayout w:type="fixed"/>
        <w:tblInd w:w="10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1"/>
              </w:rPr>
              <w:t>Delaware</w:t>
            </w:r>
          </w:p>
        </w:tc>
        <w:tc>
          <w:tcPr>
            <w:tcW w:w="578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0-19424</w:t>
            </w:r>
          </w:p>
        </w:tc>
        <w:tc>
          <w:tcPr>
            <w:tcW w:w="1440" w:type="dxa"/>
            <w:vAlign w:val="bottom"/>
          </w:tcPr>
          <w:p>
            <w:pPr>
              <w:jc w:val="center"/>
              <w:ind w:left="242"/>
              <w:spacing w:after="0"/>
              <w:rPr>
                <w:sz w:val="20"/>
                <w:szCs w:val="20"/>
                <w:color w:val="auto"/>
              </w:rPr>
            </w:pPr>
            <w:r>
              <w:rPr>
                <w:rFonts w:ascii="Arial" w:cs="Arial" w:eastAsia="Arial" w:hAnsi="Arial"/>
                <w:sz w:val="18"/>
                <w:szCs w:val="18"/>
                <w:b w:val="1"/>
                <w:bCs w:val="1"/>
                <w:color w:val="auto"/>
                <w:w w:val="91"/>
              </w:rPr>
              <w:t>74-2540145</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2"/>
              </w:rPr>
              <w:t>(Commission</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6"/>
              </w:rPr>
              <w:t>(IRS Employer</w:t>
            </w:r>
          </w:p>
        </w:tc>
      </w:tr>
      <w:tr>
        <w:trPr>
          <w:trHeight w:val="180"/>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of incorporation)</w:t>
            </w:r>
          </w:p>
        </w:tc>
        <w:tc>
          <w:tcPr>
            <w:tcW w:w="57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File Number)</w:t>
            </w:r>
          </w:p>
        </w:tc>
        <w:tc>
          <w:tcPr>
            <w:tcW w:w="1440" w:type="dxa"/>
            <w:vAlign w:val="bottom"/>
          </w:tcPr>
          <w:p>
            <w:pPr>
              <w:jc w:val="center"/>
              <w:ind w:left="242"/>
              <w:spacing w:after="0"/>
              <w:rPr>
                <w:sz w:val="20"/>
                <w:szCs w:val="20"/>
                <w:color w:val="auto"/>
              </w:rPr>
            </w:pPr>
            <w:r>
              <w:rPr>
                <w:rFonts w:ascii="Arial" w:cs="Arial" w:eastAsia="Arial" w:hAnsi="Arial"/>
                <w:sz w:val="14"/>
                <w:szCs w:val="14"/>
                <w:b w:val="1"/>
                <w:bCs w:val="1"/>
                <w:color w:val="auto"/>
                <w:w w:val="94"/>
              </w:rPr>
              <w:t>Identification No.)</w:t>
            </w:r>
          </w:p>
        </w:tc>
      </w:tr>
      <w:tr>
        <w:trPr>
          <w:trHeight w:val="212"/>
        </w:trPr>
        <w:tc>
          <w:tcPr>
            <w:tcW w:w="1860" w:type="dxa"/>
            <w:vAlign w:val="bottom"/>
          </w:tcPr>
          <w:p>
            <w:pPr>
              <w:spacing w:after="0"/>
              <w:rPr>
                <w:sz w:val="18"/>
                <w:szCs w:val="18"/>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2500 Bee Cave Road, Bldg One, Suite 200, Rollingwood, Texas 78746</w:t>
            </w:r>
          </w:p>
        </w:tc>
        <w:tc>
          <w:tcPr>
            <w:tcW w:w="1440" w:type="dxa"/>
            <w:vAlign w:val="bottom"/>
          </w:tcPr>
          <w:p>
            <w:pPr>
              <w:spacing w:after="0"/>
              <w:rPr>
                <w:sz w:val="18"/>
                <w:szCs w:val="18"/>
                <w:color w:val="auto"/>
              </w:rPr>
            </w:pPr>
          </w:p>
        </w:tc>
      </w:tr>
      <w:tr>
        <w:trPr>
          <w:trHeight w:val="186"/>
        </w:trPr>
        <w:tc>
          <w:tcPr>
            <w:tcW w:w="1860" w:type="dxa"/>
            <w:vAlign w:val="bottom"/>
          </w:tcPr>
          <w:p>
            <w:pPr>
              <w:spacing w:after="0"/>
              <w:rPr>
                <w:sz w:val="16"/>
                <w:szCs w:val="16"/>
                <w:color w:val="auto"/>
              </w:rPr>
            </w:pPr>
          </w:p>
        </w:tc>
        <w:tc>
          <w:tcPr>
            <w:tcW w:w="57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(Address of principal executive offices) (zip code)</w:t>
            </w:r>
          </w:p>
        </w:tc>
        <w:tc>
          <w:tcPr>
            <w:tcW w:w="1440" w:type="dxa"/>
            <w:vAlign w:val="bottom"/>
          </w:tcPr>
          <w:p>
            <w:pPr>
              <w:spacing w:after="0"/>
              <w:rPr>
                <w:sz w:val="16"/>
                <w:szCs w:val="16"/>
                <w:color w:val="auto"/>
              </w:rPr>
            </w:pPr>
          </w:p>
        </w:tc>
      </w:tr>
      <w:tr>
        <w:trPr>
          <w:trHeight w:val="377"/>
        </w:trPr>
        <w:tc>
          <w:tcPr>
            <w:tcW w:w="1860" w:type="dxa"/>
            <w:vAlign w:val="bottom"/>
          </w:tcPr>
          <w:p>
            <w:pPr>
              <w:spacing w:after="0"/>
              <w:rPr>
                <w:sz w:val="24"/>
                <w:szCs w:val="24"/>
                <w:color w:val="auto"/>
              </w:rPr>
            </w:pPr>
          </w:p>
        </w:tc>
        <w:tc>
          <w:tcPr>
            <w:tcW w:w="5780" w:type="dxa"/>
            <w:vAlign w:val="bottom"/>
          </w:tcPr>
          <w:p>
            <w:pPr>
              <w:jc w:val="center"/>
              <w:ind w:right="38"/>
              <w:spacing w:after="0"/>
              <w:rPr>
                <w:sz w:val="20"/>
                <w:szCs w:val="20"/>
                <w:color w:val="auto"/>
              </w:rPr>
            </w:pPr>
            <w:r>
              <w:rPr>
                <w:rFonts w:ascii="Arial" w:cs="Arial" w:eastAsia="Arial" w:hAnsi="Arial"/>
                <w:sz w:val="18"/>
                <w:szCs w:val="18"/>
                <w:b w:val="1"/>
                <w:bCs w:val="1"/>
                <w:color w:val="auto"/>
                <w:w w:val="89"/>
              </w:rPr>
              <w:t>Registrant’s telephone number, including area code: (512) 314-3400</w:t>
            </w:r>
          </w:p>
        </w:tc>
        <w:tc>
          <w:tcPr>
            <w:tcW w:w="1440" w:type="dxa"/>
            <w:vAlign w:val="bottom"/>
          </w:tcPr>
          <w:p>
            <w:pPr>
              <w:spacing w:after="0"/>
              <w:rPr>
                <w:sz w:val="24"/>
                <w:szCs w:val="24"/>
                <w:color w:val="auto"/>
              </w:rPr>
            </w:pPr>
          </w:p>
        </w:tc>
      </w:tr>
      <w:tr>
        <w:trPr>
          <w:trHeight w:val="284"/>
        </w:trPr>
        <w:tc>
          <w:tcPr>
            <w:tcW w:w="1860" w:type="dxa"/>
            <w:vAlign w:val="bottom"/>
          </w:tcPr>
          <w:p>
            <w:pPr>
              <w:spacing w:after="0"/>
              <w:rPr>
                <w:sz w:val="24"/>
                <w:szCs w:val="24"/>
                <w:color w:val="auto"/>
              </w:rPr>
            </w:pPr>
          </w:p>
        </w:tc>
        <w:tc>
          <w:tcPr>
            <w:tcW w:w="5780" w:type="dxa"/>
            <w:vAlign w:val="bottom"/>
          </w:tcPr>
          <w:p>
            <w:pPr>
              <w:jc w:val="center"/>
              <w:ind w:right="78"/>
              <w:spacing w:after="0"/>
              <w:rPr>
                <w:sz w:val="20"/>
                <w:szCs w:val="20"/>
                <w:color w:val="auto"/>
              </w:rPr>
            </w:pPr>
            <w:r>
              <w:rPr>
                <w:rFonts w:ascii="Arial" w:cs="Arial" w:eastAsia="Arial" w:hAnsi="Arial"/>
                <w:sz w:val="18"/>
                <w:szCs w:val="18"/>
                <w:color w:val="auto"/>
                <w:w w:val="89"/>
              </w:rPr>
              <w:t>_______________________________________________________</w:t>
            </w:r>
          </w:p>
        </w:tc>
        <w:tc>
          <w:tcPr>
            <w:tcW w:w="1440" w:type="dxa"/>
            <w:vAlign w:val="bottom"/>
          </w:tcPr>
          <w:p>
            <w:pPr>
              <w:spacing w:after="0"/>
              <w:rPr>
                <w:sz w:val="24"/>
                <w:szCs w:val="24"/>
                <w:color w:val="auto"/>
              </w:rPr>
            </w:pPr>
          </w:p>
        </w:tc>
      </w:tr>
    </w:tbl>
    <w:p>
      <w:pPr>
        <w:spacing w:after="0" w:line="350"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20" w:hanging="585"/>
        <w:spacing w:after="0"/>
        <w:tabs>
          <w:tab w:leader="none" w:pos="620" w:val="left"/>
        </w:tabs>
        <w:numPr>
          <w:ilvl w:val="0"/>
          <w:numId w:val="1"/>
        </w:numPr>
        <w:rPr>
          <w:rFonts w:ascii="Arial" w:cs="Arial" w:eastAsia="Arial" w:hAnsi="Arial"/>
          <w:sz w:val="29"/>
          <w:szCs w:val="29"/>
          <w:color w:val="auto"/>
          <w:vertAlign w:val="subscript"/>
        </w:rPr>
      </w:pPr>
      <w:r>
        <w:rPr>
          <w:rFonts w:ascii="Arial" w:cs="Arial" w:eastAsia="Arial" w:hAnsi="Arial"/>
          <w:sz w:val="18"/>
          <w:szCs w:val="18"/>
          <w:color w:val="auto"/>
        </w:rPr>
        <w:t>Written communications pursuant to Rule 425 under the Securities Act (17 CFR 230.425)</w:t>
      </w:r>
    </w:p>
    <w:p>
      <w:pPr>
        <w:spacing w:after="0" w:line="161" w:lineRule="exact"/>
        <w:rPr>
          <w:rFonts w:ascii="Arial" w:cs="Arial" w:eastAsia="Arial" w:hAnsi="Arial"/>
          <w:sz w:val="29"/>
          <w:szCs w:val="29"/>
          <w:color w:val="auto"/>
          <w:vertAlign w:val="subscript"/>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6"/>
          <w:szCs w:val="16"/>
          <w:color w:val="auto"/>
        </w:rPr>
      </w:pPr>
    </w:p>
    <w:p>
      <w:pPr>
        <w:ind w:left="620" w:hanging="585"/>
        <w:spacing w:after="0"/>
        <w:tabs>
          <w:tab w:leader="none" w:pos="620" w:val="left"/>
        </w:tabs>
        <w:numPr>
          <w:ilvl w:val="0"/>
          <w:numId w:val="1"/>
        </w:numPr>
        <w:rPr>
          <w:rFonts w:ascii="Arial" w:cs="Arial" w:eastAsia="Arial" w:hAnsi="Arial"/>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5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6" w:lineRule="exact"/>
        <w:rPr>
          <w:sz w:val="24"/>
          <w:szCs w:val="24"/>
          <w:color w:val="auto"/>
        </w:rPr>
      </w:pPr>
    </w:p>
    <w:p>
      <w:pPr>
        <w:ind w:left="8860"/>
        <w:spacing w:after="0"/>
        <w:rPr>
          <w:sz w:val="20"/>
          <w:szCs w:val="20"/>
          <w:color w:val="auto"/>
        </w:rPr>
      </w:pPr>
      <w:r>
        <w:rPr>
          <w:rFonts w:ascii="Arial" w:cs="Arial" w:eastAsia="Arial" w:hAnsi="Arial"/>
          <w:sz w:val="18"/>
          <w:szCs w:val="18"/>
          <w:color w:val="auto"/>
        </w:rPr>
        <w:t xml:space="preserve">Emerging growth company </w:t>
      </w:r>
      <w:r>
        <w:rPr>
          <w:rFonts w:ascii="Arial" w:cs="Arial" w:eastAsia="Arial" w:hAnsi="Arial"/>
          <w:sz w:val="16"/>
          <w:szCs w:val="16"/>
          <w:color w:val="auto"/>
        </w:rPr>
        <w:t>o</w:t>
      </w:r>
    </w:p>
    <w:p>
      <w:pPr>
        <w:spacing w:after="0" w:line="36"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00"/>
          </w:cols>
          <w:pgMar w:left="240" w:top="7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8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February 8, 2019, Joseph L. Rotunda, Chief Operating Officer, entered into a prearranged trading plan to sell 300,000 shares of the Company’s Class A Non-Voting Common Stock in one or more open market transactions between February 14, 2019 and May 3, 2019. This plan was designed to comply with Rule 10b5-1 under the Securities Exchange Act of 1934 and the Company’s policies regarding stock transactions. Mr. Rotunda has informed the company that these sales are part of his personal program for long-term asset diversification and tax and financial planning. Following completion of these sales, Mr. Rotunda will still own more than 500,000 shares of Company stock and will continue to own almost 200,000 shares of unvested restricted stock units.</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Rule 10b5-1 permits persons who may be considered company insiders to establish written prearranged stock trading plans when they are not in possession of material, nonpublic information. The plans establish predetermined trading parameters that do not permit the person adopting the plan to exercise any subsequent influence over how, when or whether to effect trades. All sales under the plans will be disclosed publicly through appropriate filings with the U.S. Securities and Exchange Commission.</w:t>
      </w:r>
    </w:p>
    <w:p>
      <w:pPr>
        <w:spacing w:after="0" w:line="146"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information in this Item 7.01 shall not be deemed to be incorporated by reference into any registration statement or other document pursuant to the Securities Act of 1933, as amended, unless such subsequent filing specifically references Item 7.01 in this Current Report on Form 8-K.</w:t>
      </w: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EZCORP, INC.</w:t>
      </w:r>
    </w:p>
    <w:p>
      <w:pPr>
        <w:spacing w:after="0" w:line="185" w:lineRule="exact"/>
        <w:rPr>
          <w:sz w:val="20"/>
          <w:szCs w:val="20"/>
          <w:color w:val="auto"/>
        </w:rPr>
      </w:pPr>
    </w:p>
    <w:p>
      <w:pPr>
        <w:ind w:left="40"/>
        <w:spacing w:after="0"/>
        <w:tabs>
          <w:tab w:leader="none" w:pos="600" w:val="left"/>
          <w:tab w:leader="none" w:pos="6180" w:val="left"/>
          <w:tab w:leader="none" w:pos="6960" w:val="left"/>
        </w:tabs>
        <w:rPr>
          <w:sz w:val="20"/>
          <w:szCs w:val="20"/>
          <w:color w:val="auto"/>
        </w:rPr>
      </w:pPr>
      <w:r>
        <w:rPr>
          <w:rFonts w:ascii="Arial" w:cs="Arial" w:eastAsia="Arial" w:hAnsi="Arial"/>
          <w:sz w:val="18"/>
          <w:szCs w:val="18"/>
          <w:color w:val="auto"/>
        </w:rPr>
        <w:t>Date:</w:t>
        <w:tab/>
        <w:t>February 12,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H. Welch,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4413250</wp:posOffset>
            </wp:positionH>
            <wp:positionV relativeFrom="paragraph">
              <wp:posOffset>31750</wp:posOffset>
            </wp:positionV>
            <wp:extent cx="2804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pacing w:after="0" w:line="57"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Thomas H. Welch, Jr.</w:t>
      </w:r>
    </w:p>
    <w:p>
      <w:pPr>
        <w:spacing w:after="0" w:line="6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Chief Legal Officer and Secretary</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2020-01-09T20:04:47Z</dcterms:created>
  <dcterms:modified xsi:type="dcterms:W3CDTF">2020-01-09T20:04:47Z</dcterms:modified>
</cp:coreProperties>
</file>