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-234950</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5239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523938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Jugmans Timothy</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2500 BEE CAVE RD, BLDG. 1,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EZCORP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EZPW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9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11/17/2021</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tbl>
      <w:tblPr>
        <w:tblLayout w:type="fixed"/>
        <w:tblInd w:w="197" w:type="dxa"/>
        <w:tblCellMar>
          <w:top w:w="0" w:type="dxa"/>
          <w:left w:w="0" w:type="dxa"/>
          <w:bottom w:w="0" w:type="dxa"/>
          <w:right w:w="0" w:type="dxa"/>
        </w:tblCellMar>
      </w:tblPr>
      <w:tr>
        <w:trPr>
          <w:trHeight w:val="169"/>
        </w:trPr>
        <w:tc>
          <w:tcPr>
            <w:tcW w:w="220" w:type="dxa"/>
            <w:vAlign w:val="bottom"/>
          </w:tcPr>
          <w:p>
            <w:pPr>
              <w:spacing w:after="0"/>
              <w:rPr>
                <w:sz w:val="14"/>
                <w:szCs w:val="14"/>
                <w:color w:val="auto"/>
              </w:rPr>
            </w:pP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7"/>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2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14"/>
        </w:trPr>
        <w:tc>
          <w:tcPr>
            <w:tcW w:w="220" w:type="dxa"/>
            <w:vAlign w:val="bottom"/>
            <w:vMerge w:val="continue"/>
          </w:tcPr>
          <w:p>
            <w:pPr>
              <w:spacing w:after="0"/>
              <w:rPr>
                <w:sz w:val="9"/>
                <w:szCs w:val="9"/>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797"/>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307" w:lineRule="exact"/>
        <w:rPr>
          <w:sz w:val="24"/>
          <w:szCs w:val="24"/>
          <w:color w:val="auto"/>
        </w:rPr>
      </w:pPr>
    </w:p>
    <w:p>
      <w:pPr>
        <w:sectPr>
          <w:pgSz w:w="11900" w:h="16838" w:orient="portrait"/>
          <w:cols w:equalWidth="0" w:num="3">
            <w:col w:w="3180" w:space="720"/>
            <w:col w:w="3103" w:space="720"/>
            <w:col w:w="3357"/>
          </w:cols>
          <w:pgMar w:left="460" w:top="217" w:right="359" w:bottom="1440" w:gutter="0" w:footer="0" w:header="0"/>
          <w:type w:val="continuous"/>
        </w:sectPr>
      </w:pPr>
    </w:p>
    <w:p>
      <w:pPr>
        <w:spacing w:after="0" w:line="155"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ROLLINGWOOD TX</w:t>
            </w:r>
          </w:p>
        </w:tc>
        <w:tc>
          <w:tcPr>
            <w:tcW w:w="1600" w:type="dxa"/>
            <w:vAlign w:val="bottom"/>
          </w:tcPr>
          <w:p>
            <w:pPr>
              <w:jc w:val="right"/>
              <w:ind w:right="646"/>
              <w:spacing w:after="0"/>
              <w:rPr>
                <w:sz w:val="20"/>
                <w:szCs w:val="20"/>
                <w:color w:val="auto"/>
              </w:rPr>
            </w:pPr>
            <w:r>
              <w:rPr>
                <w:rFonts w:ascii="Times New Roman" w:cs="Times New Roman" w:eastAsia="Times New Roman" w:hAnsi="Times New Roman"/>
                <w:sz w:val="17"/>
                <w:szCs w:val="17"/>
                <w:color w:val="0000FF"/>
              </w:rPr>
              <w:t>78746</w:t>
            </w:r>
          </w:p>
        </w:tc>
      </w:tr>
      <w:tr>
        <w:trPr>
          <w:trHeight w:val="149"/>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00" w:type="dxa"/>
            <w:vAlign w:val="bottom"/>
          </w:tcPr>
          <w:p>
            <w:pPr>
              <w:jc w:val="right"/>
              <w:ind w:right="846"/>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5"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line="230" w:lineRule="auto"/>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03" w:lineRule="exact"/>
        <w:rPr>
          <w:sz w:val="24"/>
          <w:szCs w:val="24"/>
          <w:color w:val="auto"/>
        </w:rPr>
      </w:pPr>
    </w:p>
    <w:p>
      <w:pPr>
        <w:sectPr>
          <w:pgSz w:w="11900" w:h="16838" w:orient="portrait"/>
          <w:cols w:equalWidth="0" w:num="2">
            <w:col w:w="3740" w:space="160"/>
            <w:col w:w="718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0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8"/>
              </w:rPr>
              <w:t>Expiration</w:t>
            </w: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(2)</w:t>
            </w:r>
          </w:p>
        </w:tc>
        <w:tc>
          <w:tcPr>
            <w:tcW w:w="70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Non-</w:t>
            </w:r>
          </w:p>
        </w:tc>
        <w:tc>
          <w:tcPr>
            <w:tcW w:w="520" w:type="dxa"/>
            <w:vAlign w:val="bottom"/>
            <w:vMerge w:val="restart"/>
          </w:tcPr>
          <w:p>
            <w:pPr>
              <w:jc w:val="right"/>
              <w:ind w:right="35"/>
              <w:spacing w:after="0"/>
              <w:rPr>
                <w:sz w:val="20"/>
                <w:szCs w:val="20"/>
                <w:color w:val="auto"/>
              </w:rPr>
            </w:pPr>
            <w:r>
              <w:rPr>
                <w:rFonts w:ascii="Times New Roman" w:cs="Times New Roman" w:eastAsia="Times New Roman" w:hAnsi="Times New Roman"/>
                <w:sz w:val="17"/>
                <w:szCs w:val="17"/>
                <w:color w:val="0000FF"/>
              </w:rPr>
              <w:t>9,808</w:t>
            </w:r>
          </w:p>
        </w:tc>
        <w:tc>
          <w:tcPr>
            <w:tcW w:w="700" w:type="dxa"/>
            <w:vAlign w:val="bottom"/>
            <w:vMerge w:val="restart"/>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5.03</w:t>
            </w:r>
            <w:r>
              <w:rPr>
                <w:rFonts w:ascii="Times New Roman" w:cs="Times New Roman" w:eastAsia="Times New Roman" w:hAnsi="Times New Roman"/>
                <w:sz w:val="21"/>
                <w:szCs w:val="21"/>
                <w:color w:val="008000"/>
                <w:vertAlign w:val="superscript"/>
              </w:rPr>
              <w:t>(3)</w:t>
            </w: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right"/>
              <w:ind w:right="179"/>
              <w:spacing w:after="0" w:line="142" w:lineRule="exact"/>
              <w:rPr>
                <w:sz w:val="20"/>
                <w:szCs w:val="20"/>
                <w:color w:val="auto"/>
              </w:rPr>
            </w:pPr>
            <w:r>
              <w:rPr>
                <w:rFonts w:ascii="Times New Roman" w:cs="Times New Roman" w:eastAsia="Times New Roman" w:hAnsi="Times New Roman"/>
                <w:sz w:val="13"/>
                <w:szCs w:val="13"/>
                <w:color w:val="0000FF"/>
              </w:rPr>
              <w:t>11/17/2021</w:t>
            </w:r>
          </w:p>
        </w:tc>
        <w:tc>
          <w:tcPr>
            <w:tcW w:w="1100" w:type="dxa"/>
            <w:vAlign w:val="bottom"/>
          </w:tcPr>
          <w:p>
            <w:pPr>
              <w:spacing w:after="0"/>
              <w:rPr>
                <w:sz w:val="12"/>
                <w:szCs w:val="12"/>
                <w:color w:val="auto"/>
              </w:rPr>
            </w:pPr>
          </w:p>
        </w:tc>
        <w:tc>
          <w:tcPr>
            <w:tcW w:w="80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tcPr>
          <w:p>
            <w:pPr>
              <w:jc w:val="right"/>
              <w:ind w:right="41"/>
              <w:spacing w:after="0" w:line="142" w:lineRule="exact"/>
              <w:rPr>
                <w:sz w:val="20"/>
                <w:szCs w:val="20"/>
                <w:color w:val="auto"/>
              </w:rPr>
            </w:pPr>
            <w:r>
              <w:rPr>
                <w:rFonts w:ascii="Times New Roman" w:cs="Times New Roman" w:eastAsia="Times New Roman" w:hAnsi="Times New Roman"/>
                <w:sz w:val="13"/>
                <w:szCs w:val="13"/>
                <w:color w:val="0000FF"/>
              </w:rPr>
              <w:t>9,808</w:t>
            </w:r>
          </w:p>
        </w:tc>
        <w:tc>
          <w:tcPr>
            <w:tcW w:w="3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70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4"/>
              </w:rPr>
              <w:t>Voting</w:t>
            </w:r>
          </w:p>
        </w:tc>
        <w:tc>
          <w:tcPr>
            <w:tcW w:w="52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940" w:type="dxa"/>
            <w:vAlign w:val="bottom"/>
          </w:tcPr>
          <w:p>
            <w:pPr>
              <w:ind w:left="260"/>
              <w:spacing w:after="0" w:line="142" w:lineRule="exact"/>
              <w:rPr>
                <w:sz w:val="20"/>
                <w:szCs w:val="20"/>
                <w:color w:val="auto"/>
              </w:rPr>
            </w:pPr>
            <w:r>
              <w:rPr>
                <w:rFonts w:ascii="Times New Roman" w:cs="Times New Roman" w:eastAsia="Times New Roman" w:hAnsi="Times New Roman"/>
                <w:sz w:val="13"/>
                <w:szCs w:val="13"/>
                <w:color w:val="0000FF"/>
              </w:rPr>
              <w:t>144,686</w:t>
            </w:r>
          </w:p>
        </w:tc>
        <w:tc>
          <w:tcPr>
            <w:tcW w:w="72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70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Non-</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w w:val="94"/>
              </w:rPr>
              <w:t>64,850</w:t>
            </w:r>
          </w:p>
        </w:tc>
        <w:tc>
          <w:tcPr>
            <w:tcW w:w="700" w:type="dxa"/>
            <w:vAlign w:val="bottom"/>
            <w:vMerge w:val="restart"/>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7.71</w:t>
            </w:r>
            <w:r>
              <w:rPr>
                <w:rFonts w:ascii="Times New Roman" w:cs="Times New Roman" w:eastAsia="Times New Roman" w:hAnsi="Times New Roman"/>
                <w:sz w:val="21"/>
                <w:szCs w:val="21"/>
                <w:color w:val="008000"/>
                <w:vertAlign w:val="superscript"/>
              </w:rPr>
              <w:t>(5)</w:t>
            </w: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right"/>
              <w:ind w:right="179"/>
              <w:spacing w:after="0" w:line="142" w:lineRule="exact"/>
              <w:rPr>
                <w:sz w:val="20"/>
                <w:szCs w:val="20"/>
                <w:color w:val="auto"/>
              </w:rPr>
            </w:pPr>
            <w:r>
              <w:rPr>
                <w:rFonts w:ascii="Times New Roman" w:cs="Times New Roman" w:eastAsia="Times New Roman" w:hAnsi="Times New Roman"/>
                <w:sz w:val="13"/>
                <w:szCs w:val="13"/>
                <w:color w:val="0000FF"/>
              </w:rPr>
              <w:t>10/11/2022</w:t>
            </w:r>
          </w:p>
        </w:tc>
        <w:tc>
          <w:tcPr>
            <w:tcW w:w="1100" w:type="dxa"/>
            <w:vAlign w:val="bottom"/>
          </w:tcPr>
          <w:p>
            <w:pPr>
              <w:spacing w:after="0"/>
              <w:rPr>
                <w:sz w:val="12"/>
                <w:szCs w:val="12"/>
                <w:color w:val="auto"/>
              </w:rPr>
            </w:pPr>
          </w:p>
        </w:tc>
        <w:tc>
          <w:tcPr>
            <w:tcW w:w="80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tcPr>
          <w:p>
            <w:pPr>
              <w:jc w:val="right"/>
              <w:ind w:right="1"/>
              <w:spacing w:after="0" w:line="142" w:lineRule="exact"/>
              <w:rPr>
                <w:sz w:val="20"/>
                <w:szCs w:val="20"/>
                <w:color w:val="auto"/>
              </w:rPr>
            </w:pPr>
            <w:r>
              <w:rPr>
                <w:rFonts w:ascii="Times New Roman" w:cs="Times New Roman" w:eastAsia="Times New Roman" w:hAnsi="Times New Roman"/>
                <w:sz w:val="13"/>
                <w:szCs w:val="13"/>
                <w:color w:val="0000FF"/>
              </w:rPr>
              <w:t>64,850</w:t>
            </w:r>
          </w:p>
        </w:tc>
        <w:tc>
          <w:tcPr>
            <w:tcW w:w="3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70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4"/>
              </w:rPr>
              <w:t>Voting</w:t>
            </w:r>
          </w:p>
        </w:tc>
        <w:tc>
          <w:tcPr>
            <w:tcW w:w="52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940" w:type="dxa"/>
            <w:vAlign w:val="bottom"/>
          </w:tcPr>
          <w:p>
            <w:pPr>
              <w:ind w:left="260"/>
              <w:spacing w:after="0" w:line="142" w:lineRule="exact"/>
              <w:rPr>
                <w:sz w:val="20"/>
                <w:szCs w:val="20"/>
                <w:color w:val="auto"/>
              </w:rPr>
            </w:pPr>
            <w:r>
              <w:rPr>
                <w:rFonts w:ascii="Times New Roman" w:cs="Times New Roman" w:eastAsia="Times New Roman" w:hAnsi="Times New Roman"/>
                <w:sz w:val="13"/>
                <w:szCs w:val="13"/>
                <w:color w:val="0000FF"/>
              </w:rPr>
              <w:t>209,536</w:t>
            </w:r>
          </w:p>
        </w:tc>
        <w:tc>
          <w:tcPr>
            <w:tcW w:w="72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6920"/>
        <w:spacing w:after="0"/>
        <w:rPr>
          <w:sz w:val="20"/>
          <w:szCs w:val="20"/>
          <w:color w:val="auto"/>
        </w:rPr>
      </w:pPr>
      <w:r>
        <w:rPr>
          <w:rFonts w:ascii="Times New Roman" w:cs="Times New Roman" w:eastAsia="Times New Roman" w:hAnsi="Times New Roman"/>
          <w:sz w:val="13"/>
          <w:szCs w:val="13"/>
          <w:color w:val="0000FF"/>
        </w:rPr>
        <w:t>Stock</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unit represents a contingent right to receive one share of EZCORP Class A Non-Voting Common Stock at the time of vesting.</w:t>
      </w:r>
    </w:p>
    <w:p>
      <w:pPr>
        <w:spacing w:after="0" w:line="44" w:lineRule="exact"/>
        <w:rPr>
          <w:rFonts w:ascii="Times New Roman" w:cs="Times New Roman" w:eastAsia="Times New Roman" w:hAnsi="Times New Roman"/>
          <w:sz w:val="13"/>
          <w:szCs w:val="13"/>
          <w:color w:val="008000"/>
        </w:rPr>
      </w:pPr>
    </w:p>
    <w:p>
      <w:pPr>
        <w:ind w:left="40" w:right="42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 "bonus" units attributable to the fiscal 2021 Restricted Stock Unit award. These units were earned with achievement of the specified performance goal for fiscal 2021 and vest on September 30, 2023, subject to continued employment.</w:t>
      </w:r>
    </w:p>
    <w:p>
      <w:pPr>
        <w:spacing w:after="0" w:line="1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Closing market value on September 30, 2020. However, no consideration was paid for the award other than services rendered and to be rendered by the Reporting Person.</w:t>
      </w:r>
    </w:p>
    <w:p>
      <w:pPr>
        <w:spacing w:after="0" w:line="44" w:lineRule="exact"/>
        <w:rPr>
          <w:rFonts w:ascii="Times New Roman" w:cs="Times New Roman" w:eastAsia="Times New Roman" w:hAnsi="Times New Roman"/>
          <w:sz w:val="13"/>
          <w:szCs w:val="13"/>
          <w:color w:val="008000"/>
        </w:rPr>
      </w:pPr>
    </w:p>
    <w:p>
      <w:pPr>
        <w:ind w:left="40" w:right="40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units will vest in whole or in part on September 30, 2025, with 80% being subject to the attainment of specified performance goals in addition to continued employment, and the remaining 20% being subject to continued employment only.</w:t>
      </w:r>
    </w:p>
    <w:p>
      <w:pPr>
        <w:spacing w:after="0" w:line="1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Closing market value on September 30, 2022. However, no consideration was paid for the award other than services rendered and to be rendered by the Reporting Person.</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8"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Carrie Putnam, attorney-in-fact 10/13/2022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-8890</wp:posOffset>
            </wp:positionV>
            <wp:extent cx="18789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878965" cy="8255"/>
                    </a:xfrm>
                    <a:prstGeom prst="rect">
                      <a:avLst/>
                    </a:prstGeom>
                    <a:noFill/>
                  </pic:spPr>
                </pic:pic>
              </a:graphicData>
            </a:graphic>
          </wp:anchor>
        </w:drawing>
      </w:r>
    </w:p>
    <w:p>
      <w:pPr>
        <w:spacing w:after="0" w:line="43"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24431" TargetMode="External"/><Relationship Id="rId13" Type="http://schemas.openxmlformats.org/officeDocument/2006/relationships/hyperlink" Target="http://www.sec.gov/cgi-bin/browse-edgar?action=getcompany&amp;CIK=00008765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2022-10-13T10:04:53Z</dcterms:created>
  <dcterms:modified xsi:type="dcterms:W3CDTF">2022-10-13T10:04:53Z</dcterms:modified>
</cp:coreProperties>
</file>