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January 22, 2016</w:t>
      </w:r>
    </w:p>
    <w:p>
      <w:pPr>
        <w:spacing w:after="0" w:line="121"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169545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EZCORP,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368"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5060" w:type="dxa"/>
            <w:vAlign w:val="bottom"/>
          </w:tcPr>
          <w:p>
            <w:pPr>
              <w:jc w:val="center"/>
              <w:ind w:right="1539"/>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tcPr>
          <w:p>
            <w:pPr>
              <w:jc w:val="right"/>
              <w:ind w:right="49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5060" w:type="dxa"/>
            <w:vAlign w:val="bottom"/>
          </w:tcPr>
          <w:p>
            <w:pPr>
              <w:jc w:val="center"/>
              <w:ind w:right="153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40" w:type="dxa"/>
            <w:vAlign w:val="bottom"/>
          </w:tcPr>
          <w:p>
            <w:pPr>
              <w:jc w:val="center"/>
              <w:ind w:left="1519"/>
              <w:spacing w:after="0"/>
              <w:rPr>
                <w:sz w:val="20"/>
                <w:szCs w:val="20"/>
                <w:color w:val="auto"/>
              </w:rPr>
            </w:pPr>
            <w:r>
              <w:rPr>
                <w:rFonts w:ascii="Arial" w:cs="Arial" w:eastAsia="Arial" w:hAnsi="Arial"/>
                <w:sz w:val="14"/>
                <w:szCs w:val="14"/>
                <w:color w:val="auto"/>
                <w:w w:val="96"/>
              </w:rPr>
              <w:t>(I.R.S. Employer identification no.)</w:t>
            </w:r>
          </w:p>
        </w:tc>
      </w:tr>
      <w:tr>
        <w:trPr>
          <w:trHeight w:val="606"/>
        </w:trPr>
        <w:tc>
          <w:tcPr>
            <w:tcW w:w="5060" w:type="dxa"/>
            <w:vAlign w:val="bottom"/>
          </w:tcPr>
          <w:p>
            <w:pPr>
              <w:jc w:val="center"/>
              <w:ind w:right="1499"/>
              <w:spacing w:after="0"/>
              <w:rPr>
                <w:sz w:val="20"/>
                <w:szCs w:val="20"/>
                <w:color w:val="auto"/>
              </w:rPr>
            </w:pPr>
            <w:r>
              <w:rPr>
                <w:rFonts w:ascii="Arial" w:cs="Arial" w:eastAsia="Arial" w:hAnsi="Arial"/>
                <w:sz w:val="18"/>
                <w:szCs w:val="18"/>
                <w:b w:val="1"/>
                <w:bCs w:val="1"/>
                <w:color w:val="auto"/>
                <w:w w:val="88"/>
              </w:rPr>
              <w:t>2500 Bee Cave Road, Rollingwood, Texas</w:t>
            </w:r>
          </w:p>
        </w:tc>
        <w:tc>
          <w:tcPr>
            <w:tcW w:w="3640" w:type="dxa"/>
            <w:vAlign w:val="bottom"/>
          </w:tcPr>
          <w:p>
            <w:pPr>
              <w:jc w:val="right"/>
              <w:ind w:right="679"/>
              <w:spacing w:after="0"/>
              <w:rPr>
                <w:sz w:val="20"/>
                <w:szCs w:val="20"/>
                <w:color w:val="auto"/>
              </w:rPr>
            </w:pPr>
            <w:r>
              <w:rPr>
                <w:rFonts w:ascii="Arial" w:cs="Arial" w:eastAsia="Arial" w:hAnsi="Arial"/>
                <w:sz w:val="18"/>
                <w:szCs w:val="18"/>
                <w:b w:val="1"/>
                <w:bCs w:val="1"/>
                <w:color w:val="auto"/>
              </w:rPr>
              <w:t>78746</w:t>
            </w:r>
          </w:p>
        </w:tc>
      </w:tr>
      <w:tr>
        <w:trPr>
          <w:trHeight w:val="218"/>
        </w:trPr>
        <w:tc>
          <w:tcPr>
            <w:tcW w:w="5060" w:type="dxa"/>
            <w:vAlign w:val="bottom"/>
          </w:tcPr>
          <w:p>
            <w:pPr>
              <w:jc w:val="center"/>
              <w:ind w:right="1479"/>
              <w:spacing w:after="0"/>
              <w:rPr>
                <w:sz w:val="20"/>
                <w:szCs w:val="20"/>
                <w:color w:val="auto"/>
              </w:rPr>
            </w:pPr>
            <w:r>
              <w:rPr>
                <w:rFonts w:ascii="Arial" w:cs="Arial" w:eastAsia="Arial" w:hAnsi="Arial"/>
                <w:sz w:val="14"/>
                <w:szCs w:val="14"/>
                <w:color w:val="auto"/>
                <w:w w:val="95"/>
              </w:rPr>
              <w:t>(Address of principal executive offices)</w:t>
            </w:r>
          </w:p>
        </w:tc>
        <w:tc>
          <w:tcPr>
            <w:tcW w:w="3640" w:type="dxa"/>
            <w:vAlign w:val="bottom"/>
          </w:tcPr>
          <w:p>
            <w:pPr>
              <w:jc w:val="center"/>
              <w:ind w:left="1579"/>
              <w:spacing w:after="0"/>
              <w:rPr>
                <w:sz w:val="20"/>
                <w:szCs w:val="20"/>
                <w:color w:val="auto"/>
              </w:rPr>
            </w:pPr>
            <w:r>
              <w:rPr>
                <w:rFonts w:ascii="Arial" w:cs="Arial" w:eastAsia="Arial" w:hAnsi="Arial"/>
                <w:sz w:val="14"/>
                <w:szCs w:val="14"/>
                <w:color w:val="auto"/>
                <w:w w:val="98"/>
              </w:rPr>
              <w:t>(Zip code)</w:t>
            </w: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EZCORP, INC. 2010 LONG-TERM INCENTIVE PLAN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(Full title of the plan)</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2500 Bee Cave Road, Building One, Suite 200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Rollingwood, Texas 78746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and address of agent for service)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(512) 314-3400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11"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2600" w:type="dxa"/>
            <w:vAlign w:val="bottom"/>
          </w:tcPr>
          <w:p>
            <w:pPr>
              <w:ind w:left="640"/>
              <w:spacing w:after="0"/>
              <w:rPr>
                <w:sz w:val="20"/>
                <w:szCs w:val="20"/>
                <w:color w:val="auto"/>
              </w:rPr>
            </w:pPr>
            <w:r>
              <w:rPr>
                <w:rFonts w:ascii="Arial" w:cs="Arial" w:eastAsia="Arial" w:hAnsi="Arial"/>
                <w:sz w:val="16"/>
                <w:szCs w:val="16"/>
                <w:color w:val="auto"/>
              </w:rPr>
              <w:t>Large accelerated filer o</w:t>
            </w:r>
          </w:p>
        </w:tc>
        <w:tc>
          <w:tcPr>
            <w:tcW w:w="1880" w:type="dxa"/>
            <w:vAlign w:val="bottom"/>
          </w:tcPr>
          <w:p>
            <w:pPr>
              <w:ind w:left="4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Non-accelerated filer o</w:t>
            </w:r>
          </w:p>
        </w:tc>
        <w:tc>
          <w:tcPr>
            <w:tcW w:w="3320" w:type="dxa"/>
            <w:vAlign w:val="bottom"/>
            <w:gridSpan w:val="2"/>
          </w:tcPr>
          <w:p>
            <w:pPr>
              <w:ind w:left="880"/>
              <w:spacing w:after="0"/>
              <w:rPr>
                <w:sz w:val="20"/>
                <w:szCs w:val="20"/>
                <w:color w:val="auto"/>
              </w:rPr>
            </w:pPr>
            <w:r>
              <w:rPr>
                <w:rFonts w:ascii="Arial" w:cs="Arial" w:eastAsia="Arial" w:hAnsi="Arial"/>
                <w:sz w:val="16"/>
                <w:szCs w:val="16"/>
                <w:color w:val="auto"/>
              </w:rPr>
              <w:t>Smaller reporting company o</w:t>
            </w:r>
          </w:p>
        </w:tc>
        <w:tc>
          <w:tcPr>
            <w:tcW w:w="0" w:type="dxa"/>
            <w:vAlign w:val="bottom"/>
          </w:tcPr>
          <w:p>
            <w:pPr>
              <w:spacing w:after="0"/>
              <w:rPr>
                <w:sz w:val="1"/>
                <w:szCs w:val="1"/>
                <w:color w:val="auto"/>
              </w:rPr>
            </w:pPr>
          </w:p>
        </w:tc>
      </w:tr>
      <w:tr>
        <w:trPr>
          <w:trHeight w:val="239"/>
        </w:trPr>
        <w:tc>
          <w:tcPr>
            <w:tcW w:w="2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40" w:type="dxa"/>
            <w:vAlign w:val="bottom"/>
            <w:gridSpan w:val="3"/>
          </w:tcPr>
          <w:p>
            <w:pPr>
              <w:jc w:val="center"/>
              <w:ind w:left="541"/>
              <w:spacing w:after="0"/>
              <w:rPr>
                <w:sz w:val="20"/>
                <w:szCs w:val="20"/>
                <w:color w:val="auto"/>
              </w:rPr>
            </w:pPr>
            <w:r>
              <w:rPr>
                <w:rFonts w:ascii="Arial" w:cs="Arial" w:eastAsia="Arial" w:hAnsi="Arial"/>
                <w:sz w:val="16"/>
                <w:szCs w:val="16"/>
                <w:color w:val="auto"/>
                <w:w w:val="93"/>
              </w:rPr>
              <w:t>(Do not check if a smaller reporting company)</w:t>
            </w: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600" w:type="dxa"/>
            <w:vAlign w:val="bottom"/>
          </w:tcPr>
          <w:p>
            <w:pPr>
              <w:spacing w:after="0"/>
              <w:rPr>
                <w:sz w:val="24"/>
                <w:szCs w:val="24"/>
                <w:color w:val="auto"/>
              </w:rPr>
            </w:pPr>
          </w:p>
        </w:tc>
        <w:tc>
          <w:tcPr>
            <w:tcW w:w="5520" w:type="dxa"/>
            <w:vAlign w:val="bottom"/>
            <w:gridSpan w:val="4"/>
          </w:tcPr>
          <w:p>
            <w:pPr>
              <w:ind w:left="1560"/>
              <w:spacing w:after="0"/>
              <w:rPr>
                <w:sz w:val="20"/>
                <w:szCs w:val="20"/>
                <w:color w:val="auto"/>
              </w:rPr>
            </w:pPr>
            <w:r>
              <w:rPr>
                <w:rFonts w:ascii="Arial" w:cs="Arial" w:eastAsia="Arial" w:hAnsi="Arial"/>
                <w:sz w:val="16"/>
                <w:szCs w:val="16"/>
                <w:b w:val="1"/>
                <w:bCs w:val="1"/>
                <w:color w:val="auto"/>
              </w:rPr>
              <w:t>CALCULATION OF REGISTRATION FEE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Title of securities to be registered</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to be registered</w:t>
            </w:r>
          </w:p>
        </w:tc>
        <w:tc>
          <w:tcPr>
            <w:tcW w:w="1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24"/>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rPr>
                <w:sz w:val="1"/>
                <w:szCs w:val="1"/>
                <w:color w:val="auto"/>
              </w:rPr>
            </w:pPr>
          </w:p>
        </w:tc>
      </w:tr>
      <w:tr>
        <w:trPr>
          <w:trHeight w:val="149"/>
        </w:trPr>
        <w:tc>
          <w:tcPr>
            <w:tcW w:w="4480" w:type="dxa"/>
            <w:vAlign w:val="bottom"/>
            <w:tcBorders>
              <w:left w:val="single" w:sz="8" w:color="auto"/>
              <w:right w:val="single" w:sz="8" w:color="auto"/>
            </w:tcBorders>
            <w:gridSpan w:val="2"/>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 share</w:t>
            </w:r>
          </w:p>
        </w:tc>
        <w:tc>
          <w:tcPr>
            <w:tcW w:w="80" w:type="dxa"/>
            <w:vAlign w:val="bottom"/>
          </w:tcPr>
          <w:p>
            <w:pPr>
              <w:spacing w:after="0"/>
              <w:rPr>
                <w:sz w:val="12"/>
                <w:szCs w:val="12"/>
                <w:color w:val="auto"/>
              </w:rPr>
            </w:pPr>
          </w:p>
        </w:tc>
        <w:tc>
          <w:tcPr>
            <w:tcW w:w="1620" w:type="dxa"/>
            <w:vAlign w:val="bottom"/>
            <w:tcBorders>
              <w:right w:val="single" w:sz="8" w:color="auto"/>
            </w:tcBorders>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aggregate offering price</w:t>
            </w:r>
          </w:p>
        </w:tc>
        <w:tc>
          <w:tcPr>
            <w:tcW w:w="1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00" w:type="dxa"/>
            <w:vAlign w:val="bottom"/>
            <w:tcBorders>
              <w:left w:val="single" w:sz="8" w:color="auto"/>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w w:val="93"/>
              </w:rPr>
              <w:t>Class A Non-Voting Common Stock,</w:t>
            </w:r>
          </w:p>
        </w:tc>
        <w:tc>
          <w:tcPr>
            <w:tcW w:w="184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16"/>
                <w:szCs w:val="16"/>
                <w:color w:val="auto"/>
              </w:rPr>
              <w:t>1,081,200 (2)</w:t>
            </w:r>
          </w:p>
        </w:tc>
        <w:tc>
          <w:tcPr>
            <w:tcW w:w="1720" w:type="dxa"/>
            <w:vAlign w:val="bottom"/>
            <w:tcBorders>
              <w:right w:val="single" w:sz="8" w:color="auto"/>
            </w:tcBorders>
            <w:vMerge w:val="restart"/>
          </w:tcPr>
          <w:p>
            <w:pPr>
              <w:jc w:val="right"/>
              <w:ind w:right="626"/>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9"/>
                <w:szCs w:val="19"/>
                <w:color w:val="auto"/>
              </w:rPr>
            </w:pPr>
          </w:p>
        </w:tc>
        <w:tc>
          <w:tcPr>
            <w:tcW w:w="1620" w:type="dxa"/>
            <w:vAlign w:val="bottom"/>
            <w:tcBorders>
              <w:right w:val="single" w:sz="8" w:color="auto"/>
            </w:tcBorders>
            <w:vMerge w:val="restart"/>
          </w:tcPr>
          <w:p>
            <w:pPr>
              <w:jc w:val="right"/>
              <w:ind w:right="424"/>
              <w:spacing w:after="0"/>
              <w:rPr>
                <w:sz w:val="20"/>
                <w:szCs w:val="20"/>
                <w:color w:val="auto"/>
              </w:rPr>
            </w:pPr>
            <w:r>
              <w:rPr>
                <w:rFonts w:ascii="Arial" w:cs="Arial" w:eastAsia="Arial" w:hAnsi="Arial"/>
                <w:sz w:val="16"/>
                <w:szCs w:val="16"/>
                <w:color w:val="auto"/>
              </w:rPr>
              <w:t>$3,384,156</w:t>
            </w:r>
          </w:p>
        </w:tc>
        <w:tc>
          <w:tcPr>
            <w:tcW w:w="1700" w:type="dxa"/>
            <w:vAlign w:val="bottom"/>
            <w:tcBorders>
              <w:right w:val="single" w:sz="8" w:color="auto"/>
            </w:tcBorders>
            <w:vMerge w:val="restart"/>
          </w:tcPr>
          <w:p>
            <w:pPr>
              <w:jc w:val="right"/>
              <w:ind w:right="623"/>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152"/>
        </w:trPr>
        <w:tc>
          <w:tcPr>
            <w:tcW w:w="44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color w:val="auto"/>
                <w:w w:val="89"/>
              </w:rPr>
              <w:t>par value, $0.01 per share</w:t>
            </w:r>
          </w:p>
        </w:tc>
        <w:tc>
          <w:tcPr>
            <w:tcW w:w="184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480" w:type="dxa"/>
            <w:vAlign w:val="bottom"/>
            <w:tcBorders>
              <w:left w:val="single" w:sz="8" w:color="auto"/>
              <w:right w:val="single" w:sz="8" w:color="auto"/>
            </w:tcBorders>
            <w:gridSpan w:val="2"/>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600" w:type="dxa"/>
            <w:vAlign w:val="bottom"/>
            <w:tcBorders>
              <w:left w:val="single" w:sz="8" w:color="auto"/>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500" w:right="220" w:hanging="492"/>
        <w:spacing w:after="0" w:line="312"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January 20, 2016.</w:t>
      </w:r>
    </w:p>
    <w:p>
      <w:pPr>
        <w:spacing w:after="0" w:line="83" w:lineRule="exact"/>
        <w:rPr>
          <w:rFonts w:ascii="Arial" w:cs="Arial" w:eastAsia="Arial" w:hAnsi="Arial"/>
          <w:sz w:val="13"/>
          <w:szCs w:val="13"/>
          <w:color w:val="auto"/>
        </w:rPr>
      </w:pPr>
    </w:p>
    <w:p>
      <w:pPr>
        <w:ind w:left="500" w:right="160" w:hanging="492"/>
        <w:spacing w:after="0" w:line="353" w:lineRule="auto"/>
        <w:tabs>
          <w:tab w:leader="none" w:pos="362"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this Registration Statement shall be deemed to cover such additional shares of Class A Non-Voting Common Stock as may become issuable pursuant to the antidilution provisions of the EZCORP, Inc. 2010 Long-Term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139700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53975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347"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17"/>
                <w:szCs w:val="17"/>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legal counsel</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legal counsel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Amended and Restated EZCORP, Inc. 2010 Long-Term Incentive Plan, effective March 23, 2015 (incorporated by</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5"/>
              </w:rPr>
              <w:t>reference to Exhibit 10.1 to the Company's Current Report on Form 8-K filed March 23, 2015, Commission File</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No. 0-19424)</w:t>
            </w:r>
          </w:p>
        </w:tc>
      </w:tr>
      <w:tr>
        <w:trPr>
          <w:trHeight w:val="918"/>
        </w:trPr>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40" w:type="dxa"/>
            <w:vAlign w:val="bottom"/>
          </w:tcPr>
          <w:p>
            <w:pPr>
              <w:ind w:left="31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940"/>
          </w:cols>
          <w:pgMar w:left="240" w:top="584" w:right="7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 that it meets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in the City of Austin, State of Texas, on January 22, 2016.</w:t>
      </w:r>
    </w:p>
    <w:p>
      <w:pPr>
        <w:spacing w:after="0" w:line="12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5420"/>
        <w:spacing w:after="0"/>
        <w:tabs>
          <w:tab w:leader="none" w:pos="5840" w:val="left"/>
        </w:tabs>
        <w:rPr>
          <w:sz w:val="20"/>
          <w:szCs w:val="20"/>
          <w:color w:val="auto"/>
        </w:rPr>
      </w:pPr>
      <w:r>
        <w:rPr>
          <w:rFonts w:ascii="Arial" w:cs="Arial" w:eastAsia="Arial" w:hAnsi="Arial"/>
          <w:sz w:val="18"/>
          <w:szCs w:val="18"/>
          <w:color w:val="auto"/>
        </w:rPr>
        <w:t>By:</w:t>
        <w:tab/>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I. Grimshaw,</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5560" w:type="dxa"/>
            <w:vAlign w:val="bottom"/>
            <w:gridSpan w:val="2"/>
          </w:tcPr>
          <w:p>
            <w:pPr>
              <w:ind w:left="2580"/>
              <w:spacing w:after="0"/>
              <w:rPr>
                <w:sz w:val="20"/>
                <w:szCs w:val="20"/>
                <w:color w:val="auto"/>
              </w:rPr>
            </w:pPr>
            <w:r>
              <w:rPr>
                <w:rFonts w:ascii="Arial" w:cs="Arial" w:eastAsia="Arial" w:hAnsi="Arial"/>
                <w:sz w:val="14"/>
                <w:szCs w:val="14"/>
                <w:b w:val="1"/>
                <w:bCs w:val="1"/>
                <w:color w:val="auto"/>
              </w:rPr>
              <w:t>Title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74"/>
        </w:trPr>
        <w:tc>
          <w:tcPr>
            <w:tcW w:w="36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4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/s/ Stuart I. Grimshaw</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/s/ Mark S. Ashby</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2"/>
              </w:rPr>
              <w:t>Mark S. Ashby</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Lachlan P. Given</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/s/ Matthew W. Appel</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Santiago Creel Miranda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 Peter Cumins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8"/>
              </w:rPr>
              <w:t>Peter Cumins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Pablo Lagos Espinosa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/s/ Thomas C. Roberts</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640" w:type="dxa"/>
            <w:vAlign w:val="bottom"/>
          </w:tcPr>
          <w:p>
            <w:pPr>
              <w:jc w:val="center"/>
              <w:spacing w:after="0"/>
              <w:rPr>
                <w:sz w:val="20"/>
                <w:szCs w:val="20"/>
                <w:color w:val="auto"/>
              </w:rPr>
            </w:pPr>
            <w:r>
              <w:rPr>
                <w:rFonts w:ascii="Arial" w:cs="Arial" w:eastAsia="Arial" w:hAnsi="Arial"/>
                <w:sz w:val="18"/>
                <w:szCs w:val="18"/>
                <w:color w:val="auto"/>
                <w:w w:val="89"/>
              </w:rPr>
              <w:t>/s/ Joseph L. Rotunda</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President, North American Pawn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89"/>
              </w:rPr>
              <w:t>Joseph L. Rotunda</w:t>
            </w:r>
          </w:p>
        </w:tc>
        <w:tc>
          <w:tcPr>
            <w:tcW w:w="1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640" w:type="dxa"/>
            <w:vAlign w:val="bottom"/>
          </w:tcPr>
          <w:p>
            <w:pPr>
              <w:jc w:val="center"/>
              <w:spacing w:after="0"/>
              <w:rPr>
                <w:sz w:val="20"/>
                <w:szCs w:val="20"/>
                <w:color w:val="auto"/>
              </w:rPr>
            </w:pPr>
            <w:r>
              <w:rPr>
                <w:rFonts w:ascii="Arial" w:cs="Arial" w:eastAsia="Arial" w:hAnsi="Arial"/>
                <w:sz w:val="18"/>
                <w:szCs w:val="18"/>
                <w:color w:val="auto"/>
                <w:w w:val="95"/>
              </w:rPr>
              <w:t>/s/ David McGuire</w:t>
            </w:r>
          </w:p>
        </w:tc>
        <w:tc>
          <w:tcPr>
            <w:tcW w:w="120" w:type="dxa"/>
            <w:vAlign w:val="bottom"/>
          </w:tcPr>
          <w:p>
            <w:pPr>
              <w:spacing w:after="0"/>
              <w:rPr>
                <w:sz w:val="24"/>
                <w:szCs w:val="24"/>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January 22, 2016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60" w:type="dxa"/>
            <w:vAlign w:val="bottom"/>
            <w:gridSpan w:val="2"/>
            <w:vMerge w:val="restart"/>
          </w:tcPr>
          <w:p>
            <w:pPr>
              <w:ind w:left="360"/>
              <w:spacing w:after="0"/>
              <w:rPr>
                <w:sz w:val="20"/>
                <w:szCs w:val="20"/>
                <w:color w:val="auto"/>
              </w:rPr>
            </w:pPr>
            <w:r>
              <w:rPr>
                <w:rFonts w:ascii="Arial" w:cs="Arial" w:eastAsia="Arial" w:hAnsi="Arial"/>
                <w:sz w:val="18"/>
                <w:szCs w:val="18"/>
                <w:color w:val="auto"/>
              </w:rPr>
              <w:t>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jc w:val="center"/>
              <w:spacing w:after="0"/>
              <w:rPr>
                <w:sz w:val="20"/>
                <w:szCs w:val="20"/>
                <w:color w:val="auto"/>
              </w:rPr>
            </w:pPr>
            <w:r>
              <w:rPr>
                <w:rFonts w:ascii="Arial" w:cs="Arial" w:eastAsia="Arial" w:hAnsi="Arial"/>
                <w:sz w:val="18"/>
                <w:szCs w:val="18"/>
                <w:color w:val="auto"/>
                <w:w w:val="94"/>
              </w:rPr>
              <w:t>David McGuire</w:t>
            </w:r>
          </w:p>
        </w:tc>
        <w:tc>
          <w:tcPr>
            <w:tcW w:w="120" w:type="dxa"/>
            <w:vAlign w:val="bottom"/>
          </w:tcPr>
          <w:p>
            <w:pPr>
              <w:spacing w:after="0"/>
              <w:rPr>
                <w:sz w:val="20"/>
                <w:szCs w:val="20"/>
                <w:color w:val="auto"/>
              </w:rPr>
            </w:pPr>
          </w:p>
        </w:tc>
        <w:tc>
          <w:tcPr>
            <w:tcW w:w="5560" w:type="dxa"/>
            <w:vAlign w:val="bottom"/>
            <w:gridSpan w:val="2"/>
            <w:vMerge w:val="continue"/>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5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0"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tbl>
      <w:tblPr>
        <w:tblLayout w:type="fixed"/>
        <w:tblInd w:w="8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Exhibit</w:t>
            </w:r>
          </w:p>
        </w:tc>
        <w:tc>
          <w:tcPr>
            <w:tcW w:w="8440" w:type="dxa"/>
            <w:vAlign w:val="bottom"/>
          </w:tcPr>
          <w:p>
            <w:pPr>
              <w:spacing w:after="0"/>
              <w:rPr>
                <w:sz w:val="24"/>
                <w:szCs w:val="24"/>
                <w:color w:val="auto"/>
              </w:rPr>
            </w:pPr>
          </w:p>
        </w:tc>
      </w:tr>
      <w:tr>
        <w:trPr>
          <w:trHeight w:val="210"/>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44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legal counsel</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legal counsel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56"/>
        </w:trPr>
        <w:tc>
          <w:tcPr>
            <w:tcW w:w="15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20" w:type="dxa"/>
            <w:vAlign w:val="bottom"/>
          </w:tcPr>
          <w:p>
            <w:pPr>
              <w:spacing w:after="0"/>
              <w:rPr>
                <w:sz w:val="22"/>
                <w:szCs w:val="22"/>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2"/>
              </w:rPr>
              <w:t>Amended and Restated EZCORP, Inc. 2010 Long-Term Incentive Plan, effective March 23, 2015 (incorporated by</w:t>
            </w:r>
          </w:p>
        </w:tc>
      </w:tr>
      <w:tr>
        <w:trPr>
          <w:trHeight w:val="216"/>
        </w:trPr>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w w:val="95"/>
              </w:rPr>
              <w:t>reference to Exhibit 10.1 to the Company's Current Report on Form 8-K filed March 23, 2015, Commission File</w:t>
            </w:r>
          </w:p>
        </w:tc>
      </w:tr>
      <w:tr>
        <w:trPr>
          <w:trHeight w:val="230"/>
        </w:trPr>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No. 0-19424)</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660" w:top="580" w:right="7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2627630</wp:posOffset>
            </wp:positionH>
            <wp:positionV relativeFrom="page">
              <wp:posOffset>243205</wp:posOffset>
            </wp:positionV>
            <wp:extent cx="230695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06955" cy="394335"/>
                    </a:xfrm>
                    <a:prstGeom prst="rect">
                      <a:avLst/>
                    </a:prstGeom>
                    <a:noFill/>
                  </pic:spPr>
                </pic:pic>
              </a:graphicData>
            </a:graphic>
          </wp:anchor>
        </w:drawing>
        <w:t>January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One,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2500 Bee Cave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Rollingwood, Texas 78746</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am Senior Vice President, General Counsel and Secretary for EZCORP, Inc., a Delaware corporation (the “Company”), and have represented the Company in connection with the preparation of the Registration Statement on Form S-8 (the “Registration Statement”) to be filed with the Securities and Exchange Commission in connection with the registration under the Securities Act of 1933 of the offer and sale of an additional 1,081,200 shares of the Company's Class A Non-Voting Common Stock, par value $.01 per share (the “Shares”), that may be issued from time to time pursuant to awards granted under the EZCORP 2010 Long-Term Incentive Plan (the “Plan”).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reaching the opinion set forth herein, I have examined such agreements, certificates of public officials and officers of the Company, records, documents and matters of law as I deemed relevant.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foregoing and subject further to the assumptions, exceptions and qualifications hereinafter stated, I am of the opinion that the Shares, when issued in the manner contemplated by the Registration Statement and in accordance with the terms of the Plan and the relevant award agreements, will be legally issued, fully paid and nonassessable.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rendering the opinion set forth herein, I have assumed that the Company will receive the full amount and type of consideration (as specified in the Plan and each applicable award agreement) for each of the Shares or will have received that consideration upon the issuance of the Shares pursuant to the applicable award agreement, that such consideration will be in cash, personal property or services already performed, that such consideration will equal or exceed the par value per share of the Shares, that appropriate certificates or other evidence of ownership with respect to the Shares will be properly executed upon each such issuance and that each grant of an award pursuant to the Plan will be duly authorized.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opinion expressed above is limited to the laws of the State of Texas, the Delaware General Corporation Law and the federal laws of the United States of America. I am not admitted to the practice of law in the State of Delaware.</w:t>
      </w:r>
    </w:p>
    <w:p>
      <w:pPr>
        <w:sectPr>
          <w:pgSz w:w="11900" w:h="16838" w:orient="portrait"/>
          <w:cols w:equalWidth="0" w:num="1">
            <w:col w:w="11420"/>
          </w:cols>
          <w:pgMar w:left="240" w:top="142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In giving this consent, I do not thereby admit that I come into the category of persons whose consent is required under Section 7 of the Securities Act of 1933 or the rules and regulations of the Securities and Exchange Commission promulgated thereunder.</w:t>
      </w:r>
    </w:p>
    <w:p>
      <w:pPr>
        <w:spacing w:after="0" w:line="3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420"/>
          </w:cols>
          <w:pgMar w:left="240" w:top="36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hereby consent to the incorporation by reference in this Registration Statement of our reports dated December 23, 2015, relating to the consolidated financial statements, and the effectiveness of EZCORP, Inc.'s internal control over financial reporting appearing in the Company's Annual Report on Form 10-K for the year ended September 30, 2015. Our report on the effectiveness of internal control over financial reporting expressed an adverse opinion on the effectiveness of the Company's internal control over financial reporting as of September 30, 2015.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22, 2016</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relating to the consolidated financial statements of EZCORP, Inc. and subsidiaries dated November 26, 2014, November 9, 2015 as to the effects of the restatement discussed in Note 25; December 23, 2015 as to Notes 2 and 19 (which report expresses an unqualified opinion and includes an explanatory paragraph related to the restatement of the 2014 and 2013 consolidated financial statements) appearing in the Annual Report on Form 10-K of EZCORP, Inc. for the year ended September 30, 2015.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2020-01-19T08:03:57Z</dcterms:created>
  <dcterms:modified xsi:type="dcterms:W3CDTF">2020-01-19T08:03:57Z</dcterms:modified>
</cp:coreProperties>
</file>