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027A48CB66350DD512BCA9991FBAC751"/>
      <w:bookmarkStart w:id="1" w:name="ezpw093020138-k.htm"/>
      <w:bookmarkStart w:id="2" w:name="ksezpw093020138k"/>
      <w:bookmarkStart w:id="3" w:name="s027A48CB66350DD512BCA9991FBAC751"/>
      <w:bookmarkStart w:id="4" w:name="ezpw093020138-k.htm"/>
      <w:bookmarkStart w:id="5" w:name="ksezpw093020138k"/>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sz w:val="20"/>
        </w:rPr>
      </w:pPr>
      <w:r>
        <w:rPr>
          <w:rFonts w:ascii="inherit" w:hAnsi="inherit"/>
          <w:b/>
          <w:sz w:val="20"/>
        </w:rPr>
        <w:t>Date of Report (Date of earliest event reported): November 7, 2013</w:t>
      </w:r>
      <w:r>
        <w:rPr>
          <w:sz w:val="20"/>
        </w:rPr>
        <w:t xml:space="preserve">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6" w:name="s75DA864488CF06CC59DEA9991FDB099D"/>
      <w:bookmarkStart w:id="7" w:name="s75DA864488CF06CC59DEA9991FDB099D"/>
      <w:bookmarkEnd w:id="7"/>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2.02 — Results of Operations and Financial Condition</w:t>
      </w:r>
    </w:p>
    <w:p>
      <w:pPr>
        <w:pStyle w:val="TextBody"/>
        <w:spacing w:lineRule="auto" w:line="288" w:before="0" w:after="0"/>
        <w:rPr>
          <w:sz w:val="17"/>
        </w:rPr>
      </w:pPr>
      <w:r>
        <w:rPr>
          <w:rFonts w:ascii="inherit" w:hAnsi="inherit"/>
          <w:sz w:val="17"/>
        </w:rPr>
        <w:t>On November 7, 2013</w:t>
      </w:r>
      <w:r>
        <w:rPr>
          <w:sz w:val="17"/>
        </w:rPr>
        <w:t xml:space="preserve"> </w:t>
      </w:r>
      <w:r>
        <w:rPr>
          <w:rFonts w:ascii="inherit" w:hAnsi="inherit"/>
          <w:sz w:val="17"/>
        </w:rPr>
        <w:t>EZCORP, Inc. issued a press release announcing its results of operations and financial condition for the fourth fiscal quarter and the fiscal year ended September 30, 2013. A copy of that press release is attached as Exhibit 99.1.</w:t>
      </w:r>
    </w:p>
    <w:p>
      <w:pPr>
        <w:pStyle w:val="TextBody"/>
        <w:spacing w:lineRule="auto" w:line="288" w:before="0" w:after="0"/>
        <w:rPr>
          <w:rFonts w:ascii="inherit" w:hAnsi="inherit"/>
          <w:sz w:val="17"/>
        </w:rPr>
      </w:pPr>
      <w:r>
        <w:rPr>
          <w:rFonts w:ascii="inherit" w:hAnsi="inherit"/>
          <w:sz w:val="17"/>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8" w:name="s0B9283DF140130530B8EA999200D1987"/>
      <w:bookmarkEnd w:id="8"/>
      <w:r>
        <w:rPr>
          <w:rFonts w:ascii="inherit" w:hAnsi="inherit"/>
          <w:b/>
          <w:sz w:val="17"/>
        </w:rPr>
        <w:t>Item 9.01 Financial Statements and Exhibits.</w:t>
      </w:r>
    </w:p>
    <w:p>
      <w:pPr>
        <w:pStyle w:val="TextBody"/>
        <w:spacing w:lineRule="auto" w:line="288" w:before="0" w:after="0"/>
        <w:rPr>
          <w:rFonts w:ascii="inherit" w:hAnsi="inherit"/>
          <w:sz w:val="17"/>
        </w:rPr>
      </w:pPr>
      <w:r>
        <w:rPr>
          <w:rFonts w:ascii="inherit" w:hAnsi="inherit"/>
          <w:sz w:val="17"/>
        </w:rPr>
      </w:r>
    </w:p>
    <w:tbl>
      <w:tblPr>
        <w:tblW w:w="1000" w:type="dxa"/>
        <w:jc w:val="left"/>
        <w:tblInd w:w="0" w:type="dxa"/>
        <w:tblCellMar>
          <w:top w:w="0" w:type="dxa"/>
          <w:left w:w="0" w:type="dxa"/>
          <w:bottom w:w="0" w:type="dxa"/>
          <w:right w:w="0" w:type="dxa"/>
        </w:tblCellMar>
      </w:tblPr>
      <w:tblGrid>
        <w:gridCol w:w="260"/>
        <w:gridCol w:w="740"/>
      </w:tblGrid>
      <w:tr>
        <w:trPr/>
        <w:tc>
          <w:tcPr>
            <w:tcW w:w="2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(d)</w:t>
            </w:r>
          </w:p>
        </w:tc>
        <w:tc>
          <w:tcPr>
            <w:tcW w:w="7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Exhibits.</w:t>
            </w:r>
          </w:p>
        </w:tc>
      </w:tr>
    </w:tbl>
    <w:p>
      <w:pPr>
        <w:pStyle w:val="TextBody"/>
        <w:spacing w:lineRule="auto" w:line="288" w:before="0" w:after="0"/>
        <w:ind w:left="0" w:right="0" w:firstLine="60"/>
        <w:jc w:val="left"/>
        <w:rPr>
          <w:rFonts w:ascii="inherit" w:hAnsi="inherit"/>
          <w:sz w:val="17"/>
        </w:rPr>
      </w:pPr>
      <w:r>
        <w:rPr>
          <w:rFonts w:ascii="inherit" w:hAnsi="inherit"/>
          <w:sz w:val="17"/>
        </w:rPr>
      </w:r>
    </w:p>
    <w:tbl>
      <w:tblPr>
        <w:tblW w:w="9840" w:type="dxa"/>
        <w:jc w:val="left"/>
        <w:tblInd w:w="0" w:type="dxa"/>
        <w:tblCellMar>
          <w:top w:w="0" w:type="dxa"/>
          <w:left w:w="0" w:type="dxa"/>
          <w:bottom w:w="0" w:type="dxa"/>
          <w:right w:w="0" w:type="dxa"/>
        </w:tblCellMar>
      </w:tblPr>
      <w:tblGrid>
        <w:gridCol w:w="615"/>
        <w:gridCol w:w="9225"/>
      </w:tblGrid>
      <w:tr>
        <w:trPr/>
        <w:tc>
          <w:tcPr>
            <w:tcW w:w="9840"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vAlign w:val="center"/>
          </w:tcPr>
          <w:p>
            <w:pPr>
              <w:pStyle w:val="TableContents"/>
              <w:spacing w:before="0" w:after="283"/>
              <w:rPr>
                <w:sz w:val="4"/>
                <w:szCs w:val="4"/>
              </w:rPr>
            </w:pPr>
            <w:r>
              <w:rPr>
                <w:sz w:val="4"/>
                <w:szCs w:val="4"/>
              </w:rPr>
            </w:r>
          </w:p>
        </w:tc>
        <w:tc>
          <w:tcPr>
            <w:tcW w:w="92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9225" w:type="dxa"/>
            <w:tcBorders/>
            <w:shd w:fill="auto" w:val="clear"/>
            <w:vAlign w:val="center"/>
          </w:tcPr>
          <w:p>
            <w:pPr>
              <w:pStyle w:val="TableContents"/>
              <w:spacing w:before="0" w:after="0"/>
              <w:jc w:val="left"/>
              <w:rPr>
                <w:rFonts w:ascii="inherit" w:hAnsi="inherit"/>
                <w:sz w:val="17"/>
              </w:rPr>
            </w:pPr>
            <w:r>
              <w:rPr>
                <w:rFonts w:ascii="inherit" w:hAnsi="inherit"/>
                <w:sz w:val="17"/>
              </w:rPr>
              <w:t>Press Release, dated November 7, 2013, announcing EZCORP, Inc.’s results of operations and financial condition for the fourth fiscal quarter and year ended September 30, 2013</w:t>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9" w:name="s7F35D5F04281AB8759D9A999202E2088"/>
      <w:bookmarkStart w:id="10" w:name="s7F35D5F04281AB8759D9A999202E2088"/>
      <w:bookmarkEnd w:id="10"/>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644"/>
        <w:gridCol w:w="3859"/>
        <w:gridCol w:w="304"/>
        <w:gridCol w:w="499"/>
        <w:gridCol w:w="206"/>
        <w:gridCol w:w="523"/>
        <w:gridCol w:w="206"/>
        <w:gridCol w:w="3964"/>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4" w:type="dxa"/>
            <w:tcBorders/>
            <w:shd w:fill="auto" w:val="clear"/>
            <w:vAlign w:val="center"/>
          </w:tcPr>
          <w:p>
            <w:pPr>
              <w:pStyle w:val="TableContents"/>
              <w:spacing w:before="0" w:after="283"/>
              <w:rPr>
                <w:sz w:val="4"/>
                <w:szCs w:val="4"/>
              </w:rPr>
            </w:pPr>
            <w:r>
              <w:rPr>
                <w:sz w:val="4"/>
                <w:szCs w:val="4"/>
              </w:rPr>
            </w:r>
          </w:p>
        </w:tc>
        <w:tc>
          <w:tcPr>
            <w:tcW w:w="385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4"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jc w:val="left"/>
              <w:rPr/>
            </w:pPr>
            <w:r>
              <w:rPr/>
              <w:t> </w:t>
            </w:r>
          </w:p>
        </w:tc>
        <w:tc>
          <w:tcPr>
            <w:tcW w:w="499"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4693"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644"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803" w:type="dxa"/>
            <w:gridSpan w:val="2"/>
            <w:tcBorders/>
            <w:shd w:fill="auto" w:val="clear"/>
            <w:vAlign w:val="center"/>
          </w:tcPr>
          <w:p>
            <w:pPr>
              <w:pStyle w:val="TableContents"/>
              <w:spacing w:before="0" w:after="0"/>
              <w:ind w:left="0" w:right="0" w:firstLine="30"/>
              <w:rPr/>
            </w:pPr>
            <w:r>
              <w:rPr/>
              <w:t> </w:t>
            </w:r>
          </w:p>
        </w:tc>
        <w:tc>
          <w:tcPr>
            <w:tcW w:w="729" w:type="dxa"/>
            <w:gridSpan w:val="2"/>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rPr/>
            </w:pPr>
            <w:r>
              <w:rPr/>
              <w:t> </w:t>
            </w:r>
          </w:p>
        </w:tc>
        <w:tc>
          <w:tcPr>
            <w:tcW w:w="3964" w:type="dxa"/>
            <w:tcBorders/>
            <w:shd w:fill="auto" w:val="clear"/>
            <w:vAlign w:val="center"/>
          </w:tcPr>
          <w:p>
            <w:pPr>
              <w:pStyle w:val="TableContents"/>
              <w:spacing w:before="0" w:after="0"/>
              <w:ind w:left="0" w:right="0" w:firstLine="30"/>
              <w:rPr/>
            </w:pPr>
            <w:r>
              <w:rPr/>
              <w:t> </w:t>
            </w:r>
          </w:p>
        </w:tc>
      </w:tr>
      <w:tr>
        <w:trPr/>
        <w:tc>
          <w:tcPr>
            <w:tcW w:w="6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8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7, 2013</w:t>
            </w:r>
          </w:p>
        </w:tc>
        <w:tc>
          <w:tcPr>
            <w:tcW w:w="304" w:type="dxa"/>
            <w:tcBorders/>
            <w:shd w:fill="auto" w:val="clear"/>
            <w:vAlign w:val="center"/>
          </w:tcPr>
          <w:p>
            <w:pPr>
              <w:pStyle w:val="TableContents"/>
              <w:spacing w:before="0" w:after="0"/>
              <w:ind w:left="0" w:right="0" w:firstLine="30"/>
              <w:jc w:val="left"/>
              <w:rPr/>
            </w:pPr>
            <w:r>
              <w:rPr/>
              <w:t> </w:t>
            </w:r>
          </w:p>
        </w:tc>
        <w:tc>
          <w:tcPr>
            <w:tcW w:w="499"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06" w:type="dxa"/>
            <w:tcBorders/>
            <w:shd w:fill="auto" w:val="clear"/>
            <w:vAlign w:val="center"/>
          </w:tcPr>
          <w:p>
            <w:pPr>
              <w:pStyle w:val="TableContents"/>
              <w:spacing w:before="0" w:after="0"/>
              <w:ind w:left="0" w:right="0" w:firstLine="30"/>
              <w:jc w:val="left"/>
              <w:rPr/>
            </w:pPr>
            <w:r>
              <w:rPr/>
              <w:t> </w:t>
            </w:r>
          </w:p>
        </w:tc>
        <w:tc>
          <w:tcPr>
            <w:tcW w:w="396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/s/ Mark Kuchenrither</w:t>
            </w:r>
          </w:p>
        </w:tc>
      </w:tr>
      <w:tr>
        <w:trPr/>
        <w:tc>
          <w:tcPr>
            <w:tcW w:w="644"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jc w:val="left"/>
              <w:rPr/>
            </w:pPr>
            <w:r>
              <w:rPr/>
              <w:t> </w:t>
            </w:r>
          </w:p>
        </w:tc>
        <w:tc>
          <w:tcPr>
            <w:tcW w:w="499"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52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39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644"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jc w:val="left"/>
              <w:rPr/>
            </w:pPr>
            <w:r>
              <w:rPr/>
              <w:t> </w:t>
            </w:r>
          </w:p>
        </w:tc>
        <w:tc>
          <w:tcPr>
            <w:tcW w:w="499"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52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jc w:val="left"/>
              <w:rPr/>
            </w:pPr>
            <w:r>
              <w:rPr/>
              <w:t> </w:t>
            </w:r>
          </w:p>
        </w:tc>
        <w:tc>
          <w:tcPr>
            <w:tcW w:w="39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w:t>
            </w:r>
          </w:p>
        </w:tc>
      </w:tr>
      <w:tr>
        <w:trPr/>
        <w:tc>
          <w:tcPr>
            <w:tcW w:w="644" w:type="dxa"/>
            <w:tcBorders/>
            <w:shd w:fill="auto" w:val="clear"/>
            <w:vAlign w:val="center"/>
          </w:tcPr>
          <w:p>
            <w:pPr>
              <w:pStyle w:val="TableContents"/>
              <w:spacing w:before="0" w:after="0"/>
              <w:ind w:left="0" w:right="0" w:firstLine="30"/>
              <w:rPr/>
            </w:pPr>
            <w:r>
              <w:rPr/>
              <w:t> </w:t>
            </w:r>
          </w:p>
        </w:tc>
        <w:tc>
          <w:tcPr>
            <w:tcW w:w="3859"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rPr/>
            </w:pPr>
            <w:r>
              <w:rPr/>
              <w:t> </w:t>
            </w:r>
          </w:p>
        </w:tc>
        <w:tc>
          <w:tcPr>
            <w:tcW w:w="499"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rPr/>
            </w:pPr>
            <w:r>
              <w:rPr/>
              <w:t> </w:t>
            </w:r>
          </w:p>
        </w:tc>
        <w:tc>
          <w:tcPr>
            <w:tcW w:w="523" w:type="dxa"/>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rPr/>
            </w:pPr>
            <w:r>
              <w:rPr/>
              <w:t> </w:t>
            </w:r>
          </w:p>
        </w:tc>
        <w:tc>
          <w:tcPr>
            <w:tcW w:w="3964"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rFonts w:ascii="inherit" w:hAnsi="inherit"/>
          <w:sz w:val="17"/>
        </w:rPr>
      </w:pPr>
      <w:r>
        <w:rPr>
          <w:rFonts w:ascii="inherit" w:hAnsi="inherit"/>
          <w:sz w:val="17"/>
        </w:rPr>
      </w:r>
      <w:bookmarkStart w:id="11" w:name="sAD8FD55F63A1153902B1A9992060F5F7"/>
      <w:bookmarkStart w:id="12" w:name="sAD8FD55F63A1153902B1A9992060F5F7"/>
      <w:bookmarkEnd w:id="12"/>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1475"/>
        <w:gridCol w:w="162"/>
        <w:gridCol w:w="8568"/>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47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56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75"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Exhibit</w:t>
            </w:r>
          </w:p>
          <w:p>
            <w:pPr>
              <w:pStyle w:val="TableContents"/>
              <w:spacing w:before="0" w:after="0"/>
              <w:ind w:left="0" w:right="0" w:firstLine="30"/>
              <w:jc w:val="center"/>
              <w:rPr>
                <w:rFonts w:ascii="inherit" w:hAnsi="inherit"/>
                <w:b/>
                <w:sz w:val="13"/>
              </w:rPr>
            </w:pPr>
            <w:r>
              <w:rPr>
                <w:rFonts w:ascii="inherit" w:hAnsi="inherit"/>
                <w:b/>
                <w:sz w:val="13"/>
              </w:rPr>
              <w:t>No.</w:t>
            </w:r>
          </w:p>
        </w:tc>
        <w:tc>
          <w:tcPr>
            <w:tcW w:w="162" w:type="dxa"/>
            <w:tcBorders/>
            <w:shd w:fill="auto" w:val="clear"/>
            <w:vAlign w:val="center"/>
          </w:tcPr>
          <w:p>
            <w:pPr>
              <w:pStyle w:val="TableContents"/>
              <w:spacing w:before="0" w:after="0"/>
              <w:ind w:left="0" w:right="0" w:firstLine="30"/>
              <w:jc w:val="left"/>
              <w:rPr/>
            </w:pPr>
            <w:r>
              <w:rPr/>
              <w:t>  </w:t>
            </w:r>
          </w:p>
        </w:tc>
        <w:tc>
          <w:tcPr>
            <w:tcW w:w="85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1475"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ind w:left="0" w:right="0" w:firstLine="30"/>
              <w:rPr/>
            </w:pPr>
            <w:r>
              <w:rPr/>
              <w:t> </w:t>
            </w:r>
          </w:p>
        </w:tc>
        <w:tc>
          <w:tcPr>
            <w:tcW w:w="8568" w:type="dxa"/>
            <w:tcBorders/>
            <w:shd w:fill="auto" w:val="clear"/>
            <w:vAlign w:val="center"/>
          </w:tcPr>
          <w:p>
            <w:pPr>
              <w:pStyle w:val="TableContents"/>
              <w:spacing w:before="0" w:after="0"/>
              <w:ind w:left="0" w:right="0" w:firstLine="30"/>
              <w:rPr/>
            </w:pPr>
            <w:r>
              <w:rPr/>
              <w:t> </w:t>
            </w:r>
          </w:p>
        </w:tc>
      </w:tr>
      <w:tr>
        <w:trPr/>
        <w:tc>
          <w:tcPr>
            <w:tcW w:w="14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162" w:type="dxa"/>
            <w:tcBorders/>
            <w:shd w:fill="auto" w:val="clear"/>
            <w:vAlign w:val="center"/>
          </w:tcPr>
          <w:p>
            <w:pPr>
              <w:pStyle w:val="TableContents"/>
              <w:spacing w:before="0" w:after="0"/>
              <w:ind w:left="0" w:right="0" w:firstLine="30"/>
              <w:jc w:val="left"/>
              <w:rPr/>
            </w:pPr>
            <w:r>
              <w:rPr/>
              <w:t>  </w:t>
            </w:r>
          </w:p>
        </w:tc>
        <w:tc>
          <w:tcPr>
            <w:tcW w:w="8568" w:type="dxa"/>
            <w:tcBorders/>
            <w:shd w:fill="auto" w:val="clear"/>
            <w:vAlign w:val="center"/>
          </w:tcPr>
          <w:p>
            <w:pPr>
              <w:pStyle w:val="TableContents"/>
              <w:spacing w:before="0" w:after="0"/>
              <w:jc w:val="left"/>
              <w:rPr>
                <w:rFonts w:ascii="inherit" w:hAnsi="inherit"/>
                <w:sz w:val="17"/>
              </w:rPr>
            </w:pPr>
            <w:r>
              <w:rPr>
                <w:rFonts w:ascii="inherit" w:hAnsi="inherit"/>
                <w:sz w:val="17"/>
              </w:rPr>
              <w:t>Press Release, dated November 7, 2013, announcing EZCORP, Inc.’s results of operations and financial condition for the fourth fiscal quarter and year ended September 30, 2013.</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rFonts w:ascii="inherit" w:hAnsi="inherit"/>
          <w:sz w:val="17"/>
        </w:rPr>
      </w:pPr>
      <w:r>
        <w:rPr>
          <w:rFonts w:ascii="inherit" w:hAnsi="inherit"/>
          <w:sz w:val="17"/>
        </w:rPr>
      </w:r>
      <w:bookmarkStart w:id="13" w:name="s807A00855188E394776F83E2DD7BE9E5"/>
      <w:bookmarkStart w:id="14" w:name="ezpw09302013ex991.htm"/>
      <w:bookmarkStart w:id="15" w:name="ksezpw09302013ex991"/>
      <w:bookmarkStart w:id="16" w:name="s807A00855188E394776F83E2DD7BE9E5"/>
      <w:bookmarkStart w:id="17" w:name="ezpw09302013ex991.htm"/>
      <w:bookmarkStart w:id="18" w:name="ksezpw09302013ex991"/>
      <w:bookmarkEnd w:id="16"/>
      <w:bookmarkEnd w:id="17"/>
      <w:bookmarkEnd w:id="18"/>
    </w:p>
    <w:p>
      <w:pPr>
        <w:pStyle w:val="TextBody"/>
        <w:spacing w:before="0" w:after="0"/>
        <w:rPr/>
      </w:pPr>
      <w:r>
        <w:rPr/>
      </w:r>
    </w:p>
    <w:p>
      <w:pPr>
        <w:pStyle w:val="TextBody"/>
        <w:spacing w:lineRule="auto" w:line="288" w:before="0" w:after="0"/>
        <w:jc w:val="right"/>
        <w:rPr>
          <w:rFonts w:ascii="inherit" w:hAnsi="inherit"/>
          <w:b/>
          <w:sz w:val="20"/>
        </w:rPr>
      </w:pPr>
      <w:r>
        <w:rPr>
          <w:rFonts w:ascii="inherit" w:hAnsi="inherit"/>
          <w:b/>
          <w:sz w:val="20"/>
        </w:rPr>
        <w:t>Exhibit 99.1</w:t>
      </w:r>
    </w:p>
    <w:p>
      <w:pPr>
        <w:pStyle w:val="TextBody"/>
        <w:spacing w:lineRule="auto" w:line="288" w:before="0" w:after="0"/>
        <w:jc w:val="center"/>
        <w:rPr>
          <w:rFonts w:ascii="inherit" w:hAnsi="inherit"/>
          <w:sz w:val="30"/>
        </w:rPr>
      </w:pPr>
      <w:r>
        <w:rPr>
          <w:rFonts w:ascii="inherit" w:hAnsi="inherit"/>
          <w:sz w:val="30"/>
        </w:rPr>
      </w:r>
    </w:p>
    <w:p>
      <w:pPr>
        <w:pStyle w:val="TextBody"/>
        <w:spacing w:lineRule="auto" w:line="288" w:before="0" w:after="0"/>
        <w:jc w:val="center"/>
        <w:rPr>
          <w:rFonts w:ascii="inherit" w:hAnsi="inherit"/>
          <w:sz w:val="30"/>
        </w:rPr>
      </w:pPr>
      <w:r>
        <w:rPr>
          <w:rFonts w:ascii="inherit" w:hAnsi="inherit"/>
          <w:sz w:val="30"/>
        </w:rPr>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23"/>
        </w:rPr>
      </w:pPr>
      <w:r>
        <w:rPr>
          <w:rFonts w:ascii="inherit" w:hAnsi="inherit"/>
          <w:b/>
          <w:sz w:val="23"/>
        </w:rPr>
        <w:t>EZCORP REPORTS 2013 REVENUES OF MORE THAN $1 BILLION</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both"/>
        <w:rPr>
          <w:sz w:val="20"/>
        </w:rPr>
      </w:pPr>
      <w:r>
        <w:rPr>
          <w:rFonts w:ascii="inherit" w:hAnsi="inherit"/>
          <w:b/>
          <w:sz w:val="20"/>
        </w:rPr>
        <w:t>AUSTIN, Texas (</w:t>
      </w:r>
      <w:r>
        <w:rPr>
          <w:rFonts w:ascii="inherit" w:hAnsi="inherit"/>
          <w:b/>
          <w:strike w:val="false"/>
          <w:dstrike w:val="false"/>
          <w:color w:val="000000"/>
          <w:sz w:val="20"/>
          <w:u w:val="none"/>
          <w:effect w:val="none"/>
        </w:rPr>
        <w:t>November 7, 2013</w:t>
      </w:r>
      <w:r>
        <w:rPr>
          <w:rFonts w:ascii="inherit" w:hAnsi="inherit"/>
          <w:b/>
          <w:sz w:val="20"/>
        </w:rPr>
        <w:t>)</w:t>
      </w:r>
      <w:r>
        <w:rPr>
          <w:sz w:val="20"/>
        </w:rPr>
        <w:t xml:space="preserve"> — </w:t>
      </w:r>
      <w:r>
        <w:rPr>
          <w:rFonts w:ascii="inherit" w:hAnsi="inherit"/>
          <w:sz w:val="20"/>
        </w:rPr>
        <w:t xml:space="preserve">EZCORP, Inc. (NASDAQ: EZPW), a leading provider of easy cash solutions for consumers, announced that for the fiscal year ended </w:t>
      </w:r>
      <w:r>
        <w:rPr>
          <w:rFonts w:ascii="inherit" w:hAnsi="inherit"/>
          <w:strike w:val="false"/>
          <w:dstrike w:val="false"/>
          <w:color w:val="000000"/>
          <w:sz w:val="20"/>
          <w:u w:val="none"/>
          <w:effect w:val="none"/>
        </w:rPr>
        <w:t>September 30, 2013</w:t>
      </w:r>
      <w:r>
        <w:rPr>
          <w:rFonts w:ascii="inherit" w:hAnsi="inherit"/>
          <w:sz w:val="20"/>
        </w:rPr>
        <w:t>, total revenues were $1.01 billion, a record for the company. Net income from continuing operations attributable to EZCORP was $57 million.</w:t>
      </w:r>
    </w:p>
    <w:p>
      <w:pPr>
        <w:pStyle w:val="TextBody"/>
        <w:spacing w:lineRule="auto" w:line="288" w:before="0" w:after="0"/>
        <w:jc w:val="left"/>
        <w:rPr>
          <w:rFonts w:ascii="inherit" w:hAnsi="inherit"/>
          <w:sz w:val="20"/>
        </w:rPr>
      </w:pPr>
      <w:r>
        <w:rPr>
          <w:rFonts w:ascii="inherit" w:hAnsi="inherit"/>
          <w:sz w:val="20"/>
        </w:rPr>
        <w:t xml:space="preserve">EZCORP's core lending and retail businesses in the United States and Latin America showed continued strength, highlighted by the following: </w:t>
      </w:r>
    </w:p>
    <w:p>
      <w:pPr>
        <w:pStyle w:val="TextBody"/>
        <w:spacing w:lineRule="auto" w:line="288" w:before="0" w:after="0"/>
        <w:jc w:val="left"/>
        <w:rPr>
          <w:rFonts w:ascii="inherit" w:hAnsi="inherit"/>
          <w:sz w:val="20"/>
        </w:rPr>
      </w:pPr>
      <w:r>
        <w:rPr>
          <w:rFonts w:ascii="inherit" w:hAnsi="inherit"/>
          <w:sz w:val="20"/>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20"/>
              </w:rPr>
            </w:pPr>
            <w:r>
              <w:rPr>
                <w:rFonts w:ascii="inherit" w:hAnsi="inherit"/>
                <w:sz w:val="20"/>
              </w:rPr>
              <w:t>Merchandise sales in the U.S. increased 7% during the year, as the company continued to diversify its retail channels. Online sales, primarily of general merchandise, totaled $19 million during the year, and now account for 8% of general merchandise retail sales in the U.S.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20"/>
              </w:rPr>
            </w:pPr>
            <w:r>
              <w:rPr>
                <w:rFonts w:ascii="inherit" w:hAnsi="inherit"/>
                <w:sz w:val="20"/>
              </w:rPr>
              <w:t>Total loan balances in the company's U.S. Financial Services division (including online loans) were up 29%, including 23% growth in storefront loans. Loan fees were up 7%, offsetting the negative impact of various regulatory changes that reduced net income by $7 million.</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20"/>
              </w:rPr>
            </w:pPr>
            <w:r>
              <w:rPr>
                <w:rFonts w:ascii="inherit" w:hAnsi="inherit"/>
                <w:sz w:val="20"/>
              </w:rPr>
              <w:t>Latin America's segment contribution improved 40% during the year, after normalizing the prior year's results for a $16 million positive purchase accounting adjustment. This significant growth was driven by strong performance in the company's Mexico payroll withholding lending business (Grupo Finmart), where loan balances increased 46% during the year and total revenues increased 89%.</w:t>
            </w:r>
          </w:p>
        </w:tc>
      </w:tr>
    </w:tbl>
    <w:p>
      <w:pPr>
        <w:pStyle w:val="TextBody"/>
        <w:spacing w:lineRule="auto" w:line="288" w:before="0" w:after="0"/>
        <w:jc w:val="both"/>
        <w:rPr>
          <w:rFonts w:ascii="inherit" w:hAnsi="inherit"/>
          <w:sz w:val="20"/>
        </w:rPr>
      </w:pPr>
      <w:r>
        <w:rPr>
          <w:rFonts w:ascii="inherit" w:hAnsi="inherit"/>
          <w:sz w:val="20"/>
        </w:rPr>
        <w:t xml:space="preserve">For the fiscal year, the combined effect of reduced gold volumes and the gold price decline had a $31 million negative impact on the company's after tax earnings. The company's fiscal year results also included $35 million of one-time charges, including an impairment charge of $29 million on the company's long-term investment in Albemarle &amp; Bond Holdings, PLC, a gold and jewelry pawnbroker in the U.K. In addition, investments in long-term growth initiatives (including the company's online lending businesses in the U.S. and the U.K. and denovo growth) further negatively impacted earnings by $20 million. </w:t>
      </w:r>
    </w:p>
    <w:p>
      <w:pPr>
        <w:pStyle w:val="TextBody"/>
        <w:spacing w:lineRule="auto" w:line="288" w:before="0" w:after="0"/>
        <w:jc w:val="both"/>
        <w:rPr>
          <w:rFonts w:ascii="inherit" w:hAnsi="inherit"/>
          <w:i/>
          <w:sz w:val="18"/>
        </w:rPr>
      </w:pPr>
      <w:r>
        <w:rPr>
          <w:rFonts w:ascii="inherit" w:hAnsi="inherit"/>
          <w:i/>
          <w:sz w:val="18"/>
        </w:rPr>
        <w:t xml:space="preserve">The following metrics refer to continuing operations, unless otherwise noted. </w:t>
      </w:r>
    </w:p>
    <w:p>
      <w:pPr>
        <w:pStyle w:val="TextBody"/>
        <w:spacing w:lineRule="auto" w:line="288" w:before="0" w:after="0"/>
        <w:jc w:val="both"/>
        <w:rPr>
          <w:rFonts w:ascii="inherit" w:hAnsi="inherit"/>
          <w:b/>
          <w:sz w:val="20"/>
          <w:u w:val="single"/>
        </w:rPr>
      </w:pPr>
      <w:r>
        <w:rPr>
          <w:rFonts w:ascii="inherit" w:hAnsi="inherit"/>
          <w:b/>
          <w:sz w:val="20"/>
          <w:u w:val="single"/>
        </w:rPr>
        <w:t>Consolidated Financial Highlights — Fiscal Year ended September 30, 2013 versus the prior year</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Total revenues exceeded $1 billion, a record for the company. Excluding jewelry scrapping, total revenues grew 14%, driven by a 24% increase in consumer loan fees, an 11% increase in merchandise sales, and an 8% increase in pawn service charges.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Net income from continuing operations attributable to EZCORP was $57 million, while diluted earnings per share from continuing operations attributable to EZCORP were $1.06. </w:t>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19" w:name="s807A00855188E394776F83E2DD7BE9E51"/>
      <w:bookmarkStart w:id="20" w:name="s807A00855188E394776F83E2DD7BE9E51"/>
      <w:bookmarkEnd w:id="20"/>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sz w:val="20"/>
              </w:rPr>
              <w:t xml:space="preserve">Cash and cash equivalents, including restricted cash, were </w:t>
            </w:r>
            <w:r>
              <w:rPr>
                <w:rFonts w:ascii="inherit" w:hAnsi="inherit"/>
                <w:strike w:val="false"/>
                <w:dstrike w:val="false"/>
                <w:color w:val="000000"/>
                <w:sz w:val="20"/>
                <w:u w:val="none"/>
                <w:effect w:val="none"/>
              </w:rPr>
              <w:t>$42 million</w:t>
            </w:r>
            <w:r>
              <w:rPr>
                <w:sz w:val="20"/>
              </w:rPr>
              <w:t xml:space="preserve"> </w:t>
            </w:r>
            <w:r>
              <w:rPr>
                <w:rFonts w:ascii="inherit" w:hAnsi="inherit"/>
                <w:sz w:val="20"/>
              </w:rPr>
              <w:t xml:space="preserve">at year-end, with long-term debt of </w:t>
            </w:r>
            <w:r>
              <w:rPr>
                <w:rFonts w:ascii="inherit" w:hAnsi="inherit"/>
                <w:strike w:val="false"/>
                <w:dstrike w:val="false"/>
                <w:color w:val="000000"/>
                <w:sz w:val="20"/>
                <w:u w:val="none"/>
                <w:effect w:val="none"/>
              </w:rPr>
              <w:t>$246 million</w:t>
            </w:r>
            <w:r>
              <w:rPr>
                <w:rFonts w:ascii="inherit" w:hAnsi="inherit"/>
                <w:sz w:val="20"/>
              </w:rPr>
              <w:t xml:space="preserve">, including </w:t>
            </w:r>
            <w:r>
              <w:rPr>
                <w:rFonts w:ascii="inherit" w:hAnsi="inherit"/>
                <w:strike w:val="false"/>
                <w:dstrike w:val="false"/>
                <w:color w:val="000000"/>
                <w:sz w:val="20"/>
                <w:u w:val="none"/>
                <w:effect w:val="none"/>
              </w:rPr>
              <w:t>$105 million</w:t>
            </w:r>
            <w:r>
              <w:rPr>
                <w:sz w:val="20"/>
              </w:rPr>
              <w:t xml:space="preserve"> </w:t>
            </w:r>
            <w:r>
              <w:rPr>
                <w:rFonts w:ascii="inherit" w:hAnsi="inherit"/>
                <w:sz w:val="20"/>
              </w:rPr>
              <w:t>of Grupo Finmart third-party debt, which is non-recourse to EZCORP.</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Net earning assets, including discontinued operations, were $466 million, a 20% increase over last year. Net earning assets consist of pawn loans, consumer loans and inventory on the balance sheet, combined with CSO loans not on the balance sheet, net of reserves. The growth in net earnings assets was driven by a 35% increase in loan balances in our combined financial services businesses, and a 13% increase in earning assets related to our pawn and retail businesses.</w:t>
            </w:r>
          </w:p>
        </w:tc>
      </w:tr>
    </w:tbl>
    <w:p>
      <w:pPr>
        <w:pStyle w:val="TextBody"/>
        <w:spacing w:lineRule="auto" w:line="288" w:before="0" w:after="0"/>
        <w:jc w:val="both"/>
        <w:rPr>
          <w:rFonts w:ascii="inherit" w:hAnsi="inherit"/>
          <w:b/>
          <w:sz w:val="20"/>
          <w:u w:val="single"/>
        </w:rPr>
      </w:pPr>
      <w:bookmarkStart w:id="21" w:name="s57E0040CE861625A846083E285A12A44"/>
      <w:bookmarkEnd w:id="21"/>
      <w:r>
        <w:rPr>
          <w:rFonts w:ascii="inherit" w:hAnsi="inherit"/>
          <w:b/>
          <w:sz w:val="20"/>
          <w:u w:val="single"/>
        </w:rPr>
        <w:t>Fiscal Year 2013 Business Review</w:t>
      </w:r>
    </w:p>
    <w:p>
      <w:pPr>
        <w:pStyle w:val="TextBody"/>
        <w:spacing w:lineRule="auto" w:line="288" w:before="0" w:after="0"/>
        <w:jc w:val="both"/>
        <w:rPr>
          <w:rFonts w:ascii="inherit" w:hAnsi="inherit"/>
          <w:b/>
          <w:sz w:val="20"/>
        </w:rPr>
      </w:pPr>
      <w:r>
        <w:rPr>
          <w:rFonts w:ascii="inherit" w:hAnsi="inherit"/>
          <w:b/>
          <w:sz w:val="20"/>
        </w:rPr>
        <w:t>U.S. &amp; Canada</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20"/>
              </w:rPr>
            </w:pPr>
            <w:r>
              <w:rPr>
                <w:rFonts w:ascii="inherit" w:hAnsi="inherit"/>
                <w:i/>
                <w:sz w:val="20"/>
              </w:rPr>
              <w:t xml:space="preserve">Storefront Growth — </w:t>
            </w:r>
            <w:r>
              <w:rPr>
                <w:rFonts w:ascii="inherit" w:hAnsi="inherit"/>
                <w:sz w:val="20"/>
              </w:rPr>
              <w:t>At year end, the company operated over 1,000 locations in 26 states. During the year, the company opened 84 de novo stores, and acquired 12 stores in key markets.</w:t>
            </w:r>
          </w:p>
        </w:tc>
      </w:tr>
    </w:tbl>
    <w:tbl>
      <w:tblPr>
        <w:tblW w:w="1345" w:type="dxa"/>
        <w:jc w:val="left"/>
        <w:tblInd w:w="0" w:type="dxa"/>
        <w:tblCellMar>
          <w:top w:w="0" w:type="dxa"/>
          <w:left w:w="0" w:type="dxa"/>
          <w:bottom w:w="0" w:type="dxa"/>
          <w:right w:w="0" w:type="dxa"/>
        </w:tblCellMar>
      </w:tblPr>
      <w:tblGrid>
        <w:gridCol w:w="485"/>
        <w:gridCol w:w="860"/>
      </w:tblGrid>
      <w:tr>
        <w:trPr/>
        <w:tc>
          <w:tcPr>
            <w:tcW w:w="48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60" w:type="dxa"/>
            <w:tcBorders/>
            <w:shd w:fill="auto" w:val="clear"/>
            <w:vAlign w:val="center"/>
          </w:tcPr>
          <w:p>
            <w:pPr>
              <w:pStyle w:val="TableContents"/>
              <w:spacing w:lineRule="auto" w:line="288" w:before="0" w:after="0"/>
              <w:jc w:val="both"/>
              <w:rPr>
                <w:sz w:val="20"/>
              </w:rPr>
            </w:pPr>
            <w:r>
              <w:rPr>
                <w:rFonts w:ascii="inherit" w:hAnsi="inherit"/>
                <w:i/>
                <w:sz w:val="20"/>
              </w:rPr>
              <w:t>Pawn —</w:t>
            </w:r>
            <w:r>
              <w:rPr>
                <w:sz w:val="20"/>
              </w:rPr>
              <w:t xml:space="preserve">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Pawn loan balances increased to </w:t>
            </w:r>
            <w:r>
              <w:rPr>
                <w:rFonts w:ascii="inherit" w:hAnsi="inherit"/>
                <w:strike w:val="false"/>
                <w:dstrike w:val="false"/>
                <w:color w:val="000000"/>
                <w:sz w:val="20"/>
                <w:u w:val="none"/>
                <w:effect w:val="none"/>
              </w:rPr>
              <w:t>$143 million</w:t>
            </w:r>
            <w:r>
              <w:rPr>
                <w:sz w:val="20"/>
              </w:rPr>
              <w:t xml:space="preserve"> </w:t>
            </w:r>
            <w:r>
              <w:rPr>
                <w:rFonts w:ascii="inherit" w:hAnsi="inherit"/>
                <w:sz w:val="20"/>
              </w:rPr>
              <w:t>from $141 million for the prior year, and revenues from pawn service charges increased 5%</w:t>
            </w:r>
            <w:r>
              <w:rPr>
                <w:sz w:val="20"/>
              </w:rPr>
              <w:t xml:space="preserve"> </w:t>
            </w:r>
            <w:r>
              <w:rPr>
                <w:rFonts w:ascii="inherit" w:hAnsi="inherit"/>
                <w:sz w:val="20"/>
              </w:rPr>
              <w:t xml:space="preserve">in total and </w:t>
            </w:r>
            <w:r>
              <w:rPr>
                <w:rFonts w:ascii="inherit" w:hAnsi="inherit"/>
                <w:strike w:val="false"/>
                <w:dstrike w:val="false"/>
                <w:color w:val="000000"/>
                <w:sz w:val="20"/>
                <w:u w:val="none"/>
                <w:effect w:val="none"/>
              </w:rPr>
              <w:t>2%</w:t>
            </w:r>
            <w:r>
              <w:rPr>
                <w:sz w:val="20"/>
              </w:rPr>
              <w:t xml:space="preserve"> </w:t>
            </w:r>
            <w:r>
              <w:rPr>
                <w:rFonts w:ascii="inherit" w:hAnsi="inherit"/>
                <w:sz w:val="20"/>
              </w:rPr>
              <w:t xml:space="preserve">on a same store basis. General merchandise loan balances grew by 11%, while jewelry loan balances declined 6%.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Overall merchandise sales were up 7%</w:t>
            </w:r>
            <w:r>
              <w:rPr>
                <w:sz w:val="20"/>
              </w:rPr>
              <w:t xml:space="preserve"> </w:t>
            </w:r>
            <w:r>
              <w:rPr>
                <w:rFonts w:ascii="inherit" w:hAnsi="inherit"/>
                <w:sz w:val="20"/>
              </w:rPr>
              <w:t xml:space="preserve">in total and 3% on a same store basis. General merchandise sales increased 10% in total and 6% on a same store basis. The company's online retail channel continued to grow, and reported $19 million in revenues primarily in general merchandise sales, for the fiscal year. During the year, jewelry sales decreased 1% in total and 4% on a same store basis. However, in the fourth quarter, jewelry sales increased 18% in total and 14% on a same store basis, reflecting our previously announced strategy to sell more gold through our retail channel and scrap less.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Gross margin on merchandise sales was </w:t>
            </w:r>
            <w:r>
              <w:rPr>
                <w:rFonts w:ascii="inherit" w:hAnsi="inherit"/>
                <w:strike w:val="false"/>
                <w:dstrike w:val="false"/>
                <w:color w:val="000000"/>
                <w:sz w:val="20"/>
                <w:u w:val="none"/>
                <w:effect w:val="none"/>
              </w:rPr>
              <w:t>41%</w:t>
            </w:r>
            <w:r>
              <w:rPr>
                <w:rFonts w:ascii="inherit" w:hAnsi="inherit"/>
                <w:sz w:val="20"/>
              </w:rPr>
              <w:t xml:space="preserve">, down 130 basis points from last year. This decrease was driven by a higher mix of general merchandise sales as general merchandise gross margin remained flat at 40% while gross margin on jewelry sales was 45%.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The overall redemption rate was 83%, up 80 basis points, driven by a jewelry redemption rate of 86%, up 150 basis points. Redemption rates for general merchandise were at unchanged at 76%.</w:t>
            </w:r>
          </w:p>
        </w:tc>
      </w:tr>
    </w:tbl>
    <w:tbl>
      <w:tblPr>
        <w:tblW w:w="4885" w:type="dxa"/>
        <w:jc w:val="left"/>
        <w:tblInd w:w="0" w:type="dxa"/>
        <w:tblCellMar>
          <w:top w:w="0" w:type="dxa"/>
          <w:left w:w="0" w:type="dxa"/>
          <w:bottom w:w="0" w:type="dxa"/>
          <w:right w:w="0" w:type="dxa"/>
        </w:tblCellMar>
      </w:tblPr>
      <w:tblGrid>
        <w:gridCol w:w="485"/>
        <w:gridCol w:w="4400"/>
      </w:tblGrid>
      <w:tr>
        <w:trPr/>
        <w:tc>
          <w:tcPr>
            <w:tcW w:w="485" w:type="dxa"/>
            <w:tcBorders/>
            <w:shd w:fill="auto" w:val="clear"/>
            <w:vAlign w:val="center"/>
          </w:tcPr>
          <w:p>
            <w:pPr>
              <w:pStyle w:val="TableContents"/>
              <w:spacing w:before="0" w:after="283"/>
              <w:rPr>
                <w:sz w:val="4"/>
                <w:szCs w:val="4"/>
              </w:rPr>
            </w:pPr>
            <w:r>
              <w:rPr>
                <w:sz w:val="4"/>
                <w:szCs w:val="4"/>
              </w:rPr>
            </w:r>
          </w:p>
        </w:tc>
        <w:tc>
          <w:tcPr>
            <w:tcW w:w="44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400" w:type="dxa"/>
            <w:tcBorders/>
            <w:shd w:fill="auto" w:val="clear"/>
            <w:vAlign w:val="center"/>
          </w:tcPr>
          <w:p>
            <w:pPr>
              <w:pStyle w:val="TableContents"/>
              <w:spacing w:lineRule="auto" w:line="288" w:before="0" w:after="0"/>
              <w:jc w:val="both"/>
              <w:rPr>
                <w:rFonts w:ascii="inherit" w:hAnsi="inherit"/>
                <w:i/>
                <w:sz w:val="20"/>
              </w:rPr>
            </w:pPr>
            <w:r>
              <w:rPr>
                <w:rFonts w:ascii="inherit" w:hAnsi="inherit"/>
                <w:i/>
                <w:sz w:val="20"/>
              </w:rPr>
              <w:t xml:space="preserve">Financial Services (Storefront and Online) —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Total loan balances (including CSO loans not on the balance sheet) were $51 million, up 29%, driven by a 70% increase in second generation loan products (such as installment and other multiple payment products and auto title loans). Storefront loan growth was strong as well, increasing 23%.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Loan fees were $175 million, up 7%, as a result of new products in existing stores, storefront growth, and new fees from the U.S. online lending channel.</w:t>
            </w:r>
          </w:p>
        </w:tc>
      </w:tr>
    </w:tbl>
    <w:p>
      <w:pPr>
        <w:pStyle w:val="TextBody"/>
        <w:spacing w:before="0" w:after="0"/>
        <w:rPr/>
      </w:pPr>
      <w:r>
        <w:rPr/>
      </w:r>
    </w:p>
    <w:p>
      <w:pPr>
        <w:pStyle w:val="TextBody"/>
        <w:spacing w:lineRule="auto" w:line="288" w:before="0" w:after="0"/>
        <w:jc w:val="center"/>
        <w:rPr>
          <w:sz w:val="17"/>
        </w:rPr>
      </w:pPr>
      <w:r>
        <w:rPr>
          <w:rFonts w:ascii="inherit" w:hAnsi="inherit"/>
          <w:sz w:val="17"/>
        </w:rPr>
        <w:t>2</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Bad debt as a percentage of fees was 25%, an increase of 300 basis points as we attracted new customers and our customers transitioned to our new multi-payment products, including auto title and our online channel.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The U.S. online business's loan book continues to grow and at year end was $2 million, net of reserves. While this business negatively impacted segment contribution in 2013, it is expected to make a positive contribution in fiscal 2014. </w:t>
            </w:r>
          </w:p>
        </w:tc>
      </w:tr>
    </w:tbl>
    <w:p>
      <w:pPr>
        <w:pStyle w:val="TextBody"/>
        <w:spacing w:lineRule="auto" w:line="288" w:before="0" w:after="0"/>
        <w:jc w:val="both"/>
        <w:rPr>
          <w:rFonts w:ascii="inherit" w:hAnsi="inherit"/>
          <w:b/>
          <w:sz w:val="20"/>
        </w:rPr>
      </w:pPr>
      <w:r>
        <w:rPr>
          <w:rFonts w:ascii="inherit" w:hAnsi="inherit"/>
          <w:b/>
          <w:sz w:val="20"/>
        </w:rPr>
        <w:t>Latin America</w:t>
      </w:r>
    </w:p>
    <w:p>
      <w:pPr>
        <w:pStyle w:val="TextBody"/>
        <w:spacing w:lineRule="auto" w:line="288" w:before="0" w:after="0"/>
        <w:jc w:val="both"/>
        <w:rPr>
          <w:rFonts w:ascii="inherit" w:hAnsi="inherit"/>
          <w:sz w:val="20"/>
        </w:rPr>
      </w:pPr>
      <w:r>
        <w:rPr>
          <w:rFonts w:ascii="inherit" w:hAnsi="inherit"/>
          <w:sz w:val="20"/>
        </w:rPr>
        <w:t>The Latin America segment contribution was $27 million, a 40% increase over the prior year after normalizing for the prior year's purchase accounting adjustments. This increase was driven by strong performance at Grupo Finmart, the company's payroll withholding lending division.</w:t>
      </w:r>
    </w:p>
    <w:tbl>
      <w:tblPr>
        <w:tblW w:w="3595" w:type="dxa"/>
        <w:jc w:val="left"/>
        <w:tblInd w:w="0" w:type="dxa"/>
        <w:tblCellMar>
          <w:top w:w="0" w:type="dxa"/>
          <w:left w:w="0" w:type="dxa"/>
          <w:bottom w:w="0" w:type="dxa"/>
          <w:right w:w="0" w:type="dxa"/>
        </w:tblCellMar>
      </w:tblPr>
      <w:tblGrid>
        <w:gridCol w:w="485"/>
        <w:gridCol w:w="3110"/>
      </w:tblGrid>
      <w:tr>
        <w:trPr/>
        <w:tc>
          <w:tcPr>
            <w:tcW w:w="485"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110" w:type="dxa"/>
            <w:tcBorders/>
            <w:shd w:fill="auto" w:val="clear"/>
            <w:vAlign w:val="center"/>
          </w:tcPr>
          <w:p>
            <w:pPr>
              <w:pStyle w:val="TableContents"/>
              <w:spacing w:lineRule="auto" w:line="288" w:before="0" w:after="0"/>
              <w:jc w:val="both"/>
              <w:rPr>
                <w:sz w:val="20"/>
              </w:rPr>
            </w:pPr>
            <w:r>
              <w:rPr>
                <w:rFonts w:ascii="inherit" w:hAnsi="inherit"/>
                <w:i/>
                <w:sz w:val="20"/>
              </w:rPr>
              <w:t>Payroll Withholding Lending —</w:t>
            </w:r>
            <w:r>
              <w:rPr>
                <w:sz w:val="20"/>
              </w:rPr>
              <w:t xml:space="preserve">  </w:t>
            </w:r>
          </w:p>
        </w:tc>
      </w:tr>
    </w:tbl>
    <w:tbl>
      <w:tblPr>
        <w:tblW w:w="9745" w:type="dxa"/>
        <w:jc w:val="left"/>
        <w:tblInd w:w="0" w:type="dxa"/>
        <w:tblCellMar>
          <w:top w:w="0" w:type="dxa"/>
          <w:left w:w="0" w:type="dxa"/>
          <w:bottom w:w="0" w:type="dxa"/>
          <w:right w:w="0" w:type="dxa"/>
        </w:tblCellMar>
      </w:tblPr>
      <w:tblGrid>
        <w:gridCol w:w="1205"/>
        <w:gridCol w:w="8540"/>
      </w:tblGrid>
      <w:tr>
        <w:trPr/>
        <w:tc>
          <w:tcPr>
            <w:tcW w:w="1205" w:type="dxa"/>
            <w:tcBorders/>
            <w:shd w:fill="auto" w:val="clear"/>
            <w:vAlign w:val="center"/>
          </w:tcPr>
          <w:p>
            <w:pPr>
              <w:pStyle w:val="TableContents"/>
              <w:spacing w:before="0" w:after="283"/>
              <w:rPr>
                <w:sz w:val="4"/>
                <w:szCs w:val="4"/>
              </w:rPr>
            </w:pPr>
            <w:r>
              <w:rPr>
                <w:sz w:val="4"/>
                <w:szCs w:val="4"/>
              </w:rPr>
            </w:r>
          </w:p>
        </w:tc>
        <w:tc>
          <w:tcPr>
            <w:tcW w:w="854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8540" w:type="dxa"/>
            <w:tcBorders/>
            <w:shd w:fill="auto" w:val="clear"/>
            <w:vAlign w:val="center"/>
          </w:tcPr>
          <w:p>
            <w:pPr>
              <w:pStyle w:val="TableContents"/>
              <w:spacing w:lineRule="auto" w:line="288" w:before="0" w:after="0"/>
              <w:jc w:val="both"/>
              <w:rPr>
                <w:sz w:val="20"/>
              </w:rPr>
            </w:pPr>
            <w:r>
              <w:rPr>
                <w:rFonts w:ascii="inherit" w:hAnsi="inherit"/>
                <w:sz w:val="20"/>
              </w:rPr>
              <w:t xml:space="preserve">Total loan balances at Grupo Finmart at the end of the year were </w:t>
            </w:r>
            <w:r>
              <w:rPr>
                <w:rFonts w:ascii="inherit" w:hAnsi="inherit"/>
                <w:strike w:val="false"/>
                <w:dstrike w:val="false"/>
                <w:color w:val="000000"/>
                <w:sz w:val="20"/>
                <w:u w:val="none"/>
                <w:effect w:val="none"/>
              </w:rPr>
              <w:t>$107 million</w:t>
            </w:r>
            <w:r>
              <w:rPr>
                <w:rFonts w:ascii="inherit" w:hAnsi="inherit"/>
                <w:sz w:val="20"/>
              </w:rPr>
              <w:t xml:space="preserve">, up </w:t>
            </w:r>
            <w:r>
              <w:rPr>
                <w:rFonts w:ascii="inherit" w:hAnsi="inherit"/>
                <w:strike w:val="false"/>
                <w:dstrike w:val="false"/>
                <w:color w:val="000000"/>
                <w:sz w:val="20"/>
                <w:u w:val="none"/>
                <w:effect w:val="none"/>
              </w:rPr>
              <w:t>46%</w:t>
            </w:r>
            <w:r>
              <w:rPr>
                <w:rFonts w:ascii="inherit" w:hAnsi="inherit"/>
                <w:sz w:val="20"/>
              </w:rPr>
              <w:t>.</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Total revenue was $52 million, an increase of 89%, as a result of better contract terms and better penetration. Net revenues, including a credit for aged consumer loans that were sold, were $53 million. Absent this credit, bad debt as a percentage of fees was approximately 2%.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Grupo Finmart ended the year with 72 active convenios, compared to 67 at the end of last year. Contract penetration across all convenios was 6% for the year, compared to 3% in the prior year.</w:t>
            </w:r>
          </w:p>
        </w:tc>
      </w:tr>
    </w:tbl>
    <w:tbl>
      <w:tblPr>
        <w:tblW w:w="1360" w:type="dxa"/>
        <w:jc w:val="left"/>
        <w:tblInd w:w="0" w:type="dxa"/>
        <w:tblCellMar>
          <w:top w:w="0" w:type="dxa"/>
          <w:left w:w="0" w:type="dxa"/>
          <w:bottom w:w="0" w:type="dxa"/>
          <w:right w:w="0" w:type="dxa"/>
        </w:tblCellMar>
      </w:tblPr>
      <w:tblGrid>
        <w:gridCol w:w="485"/>
        <w:gridCol w:w="875"/>
      </w:tblGrid>
      <w:tr>
        <w:trPr/>
        <w:tc>
          <w:tcPr>
            <w:tcW w:w="48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75" w:type="dxa"/>
            <w:tcBorders/>
            <w:shd w:fill="auto" w:val="clear"/>
            <w:vAlign w:val="center"/>
          </w:tcPr>
          <w:p>
            <w:pPr>
              <w:pStyle w:val="TableContents"/>
              <w:spacing w:lineRule="auto" w:line="288" w:before="0" w:after="0"/>
              <w:jc w:val="both"/>
              <w:rPr>
                <w:rFonts w:ascii="inherit" w:hAnsi="inherit"/>
                <w:i/>
                <w:sz w:val="20"/>
              </w:rPr>
            </w:pPr>
            <w:r>
              <w:rPr>
                <w:rFonts w:ascii="inherit" w:hAnsi="inherit"/>
                <w:i/>
                <w:sz w:val="20"/>
              </w:rPr>
              <w:t xml:space="preserve">Pawn — </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Empeño Fácil, the company's Mexico pawn operation, opened 66 locations during the year and operated 239 stores at the end of the year. As previously announced, the company closed 57 legacy, gold-only stores during the year, which is a part of the discontinued operations charge.</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Pawn loan balances at year-end were </w:t>
            </w:r>
            <w:r>
              <w:rPr>
                <w:rFonts w:ascii="inherit" w:hAnsi="inherit"/>
                <w:strike w:val="false"/>
                <w:dstrike w:val="false"/>
                <w:color w:val="000000"/>
                <w:sz w:val="20"/>
                <w:u w:val="none"/>
                <w:effect w:val="none"/>
              </w:rPr>
              <w:t>$14 million</w:t>
            </w:r>
            <w:r>
              <w:rPr>
                <w:rFonts w:ascii="inherit" w:hAnsi="inherit"/>
                <w:sz w:val="20"/>
              </w:rPr>
              <w:t xml:space="preserve">, a 10% decrease from the prior year-end. General merchandise loan balances were down 4%, while jewelry loan balances decreased 31%. General merchandise loans now comprise 92% of Empeño Fácil's pawn loan portfolio, up from 89% last year. </w:t>
            </w:r>
          </w:p>
        </w:tc>
      </w:tr>
    </w:tbl>
    <w:tbl>
      <w:tblPr>
        <w:tblW w:w="10195" w:type="dxa"/>
        <w:jc w:val="left"/>
        <w:tblInd w:w="0" w:type="dxa"/>
        <w:tblCellMar>
          <w:top w:w="0" w:type="dxa"/>
          <w:left w:w="0" w:type="dxa"/>
          <w:bottom w:w="0" w:type="dxa"/>
          <w:right w:w="0" w:type="dxa"/>
        </w:tblCellMar>
      </w:tblPr>
      <w:tblGrid>
        <w:gridCol w:w="1205"/>
        <w:gridCol w:w="8990"/>
      </w:tblGrid>
      <w:tr>
        <w:trPr/>
        <w:tc>
          <w:tcPr>
            <w:tcW w:w="1205" w:type="dxa"/>
            <w:tcBorders/>
            <w:shd w:fill="auto" w:val="clear"/>
            <w:vAlign w:val="center"/>
          </w:tcPr>
          <w:p>
            <w:pPr>
              <w:pStyle w:val="TableContents"/>
              <w:spacing w:before="0" w:after="283"/>
              <w:rPr>
                <w:sz w:val="4"/>
                <w:szCs w:val="4"/>
              </w:rPr>
            </w:pPr>
            <w:r>
              <w:rPr>
                <w:sz w:val="4"/>
                <w:szCs w:val="4"/>
              </w:rPr>
            </w:r>
          </w:p>
        </w:tc>
        <w:tc>
          <w:tcPr>
            <w:tcW w:w="899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899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Revenue from pawn service charges increased 29% in total and 10% on a same store basis.</w:t>
            </w:r>
          </w:p>
        </w:tc>
      </w:tr>
    </w:tbl>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both"/>
              <w:rPr>
                <w:sz w:val="20"/>
              </w:rPr>
            </w:pPr>
            <w:r>
              <w:rPr>
                <w:rFonts w:ascii="inherit" w:hAnsi="inherit"/>
                <w:sz w:val="20"/>
              </w:rPr>
              <w:t xml:space="preserve">Merchandise sales increased 40% in total and 10% on a same store basis. Gross margin on merchandise sales was </w:t>
            </w:r>
            <w:r>
              <w:rPr>
                <w:rFonts w:ascii="inherit" w:hAnsi="inherit"/>
                <w:strike w:val="false"/>
                <w:dstrike w:val="false"/>
                <w:color w:val="000000"/>
                <w:sz w:val="20"/>
                <w:u w:val="none"/>
                <w:effect w:val="none"/>
              </w:rPr>
              <w:t>39%</w:t>
            </w:r>
            <w:r>
              <w:rPr>
                <w:rFonts w:ascii="inherit" w:hAnsi="inherit"/>
                <w:sz w:val="20"/>
              </w:rPr>
              <w:t>, down 700 basis points from a year ago, reflecting a much more competitive lending and selling marketplace.</w:t>
            </w:r>
          </w:p>
        </w:tc>
      </w:tr>
    </w:tbl>
    <w:p>
      <w:pPr>
        <w:pStyle w:val="TextBody"/>
        <w:spacing w:lineRule="auto" w:line="288" w:before="0" w:after="0"/>
        <w:jc w:val="both"/>
        <w:rPr>
          <w:rFonts w:ascii="inherit" w:hAnsi="inherit"/>
          <w:b/>
          <w:sz w:val="20"/>
        </w:rPr>
      </w:pPr>
      <w:r>
        <w:rPr>
          <w:rFonts w:ascii="inherit" w:hAnsi="inherit"/>
          <w:b/>
          <w:sz w:val="20"/>
        </w:rPr>
        <w:t>Other International</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At fiscal year end, after reviewing the valuation of our holdings in Albemarle &amp; Bond Holdings PLC, we recognized an impairment charge of $43 million ($29 million net of tax).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Cash Genie, the company's online lending operation in the U.K., performed well during the second and third quarters of the year, but a poorly executed introduction of an installment loan product caused </w:t>
            </w:r>
          </w:p>
        </w:tc>
      </w:tr>
    </w:tbl>
    <w:p>
      <w:pPr>
        <w:pStyle w:val="TextBody"/>
        <w:spacing w:before="0" w:after="0"/>
        <w:rPr/>
      </w:pPr>
      <w:r>
        <w:rPr/>
      </w:r>
    </w:p>
    <w:p>
      <w:pPr>
        <w:pStyle w:val="TextBody"/>
        <w:spacing w:lineRule="auto" w:line="288" w:before="0" w:after="0"/>
        <w:jc w:val="center"/>
        <w:rPr>
          <w:sz w:val="17"/>
        </w:rPr>
      </w:pPr>
      <w:r>
        <w:rPr>
          <w:rFonts w:ascii="inherit" w:hAnsi="inherit"/>
          <w:sz w:val="17"/>
        </w:rPr>
        <w:t>3</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jc w:val="both"/>
        <w:rPr>
          <w:rFonts w:ascii="inherit" w:hAnsi="inherit"/>
          <w:sz w:val="20"/>
        </w:rPr>
      </w:pPr>
      <w:r>
        <w:rPr>
          <w:rFonts w:ascii="inherit" w:hAnsi="inherit"/>
          <w:sz w:val="20"/>
        </w:rPr>
        <w:t>performance to deteriorate in the fourth quarter. The company took rapid action to improve performance and is on track to return to profitability in fiscal 2014.</w:t>
      </w:r>
    </w:p>
    <w:p>
      <w:pPr>
        <w:pStyle w:val="TextBody"/>
        <w:spacing w:lineRule="auto" w:line="288" w:before="0" w:after="0"/>
        <w:jc w:val="both"/>
        <w:rPr>
          <w:rFonts w:ascii="inherit" w:hAnsi="inherit"/>
          <w:b/>
          <w:sz w:val="20"/>
          <w:u w:val="single"/>
        </w:rPr>
      </w:pPr>
      <w:r>
        <w:rPr>
          <w:rFonts w:ascii="inherit" w:hAnsi="inherit"/>
          <w:b/>
          <w:sz w:val="20"/>
          <w:u w:val="single"/>
        </w:rPr>
        <w:t>CEO Commentary</w:t>
      </w:r>
    </w:p>
    <w:p>
      <w:pPr>
        <w:pStyle w:val="TextBody"/>
        <w:spacing w:lineRule="auto" w:line="288" w:before="0" w:after="0"/>
        <w:jc w:val="both"/>
        <w:rPr>
          <w:rFonts w:ascii="inherit" w:hAnsi="inherit"/>
          <w:sz w:val="20"/>
        </w:rPr>
      </w:pPr>
      <w:r>
        <w:rPr>
          <w:rFonts w:ascii="inherit" w:hAnsi="inherit"/>
          <w:sz w:val="20"/>
        </w:rPr>
        <w:t>Paul Rothamel, EZCORP's President and Chief Executive Officer, stated: "Obviously, we are disappointed with our financial results in 2013, particularly after posting three straight years of record revenue and net income. We are committed to improving the operational performance of our existing businesses, including our recently acquired online lending businesses. We are confident that our consistent execution against that commitment will ensure that we will deliver superior long-term value to our shareholders."</w:t>
      </w:r>
    </w:p>
    <w:p>
      <w:pPr>
        <w:pStyle w:val="TextBody"/>
        <w:spacing w:lineRule="auto" w:line="288" w:before="0" w:after="0"/>
        <w:jc w:val="both"/>
        <w:rPr>
          <w:rFonts w:ascii="inherit" w:hAnsi="inherit"/>
          <w:b/>
          <w:i/>
          <w:sz w:val="18"/>
        </w:rPr>
      </w:pPr>
      <w:bookmarkStart w:id="22" w:name="s6C183F8E63F4571EE2B783E2DDD12799"/>
      <w:bookmarkEnd w:id="22"/>
      <w:r>
        <w:rPr>
          <w:rFonts w:ascii="inherit" w:hAnsi="inherit"/>
          <w:b/>
          <w:i/>
          <w:sz w:val="18"/>
        </w:rPr>
        <w:t>The company provides supplemental information on its website. For additional content, please see "Investor Resources &amp; Supplemental Information" at http://investors.ezcorp.com/.</w:t>
      </w:r>
    </w:p>
    <w:p>
      <w:pPr>
        <w:pStyle w:val="TextBody"/>
        <w:spacing w:lineRule="auto" w:line="288" w:before="0" w:after="0"/>
        <w:jc w:val="left"/>
        <w:rPr>
          <w:rFonts w:ascii="inherit" w:hAnsi="inherit"/>
          <w:b/>
          <w:sz w:val="20"/>
        </w:rPr>
      </w:pPr>
      <w:r>
        <w:rPr>
          <w:rFonts w:ascii="inherit" w:hAnsi="inherit"/>
          <w:b/>
          <w:sz w:val="20"/>
        </w:rPr>
        <w:t>About EZCORP</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left"/>
        <w:rPr>
          <w:rFonts w:ascii="inherit" w:hAnsi="inherit"/>
          <w:sz w:val="20"/>
        </w:rPr>
      </w:pPr>
      <w:r>
        <w:rPr>
          <w:rFonts w:ascii="inherit" w:hAnsi="inherit"/>
          <w:sz w:val="20"/>
        </w:rPr>
        <w:t>EZCORP, Inc. is a leader in delivering instant cash solutions to our customers across channels, products, services and markets. With approximately 7,800 teammates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20"/>
        </w:rPr>
      </w:pPr>
      <w:r>
        <w:rPr>
          <w:rFonts w:ascii="inherit" w:hAnsi="inherit"/>
          <w:sz w:val="20"/>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significant investments in Albemarle &amp; Bond Holdings PLC (ABM.L), one of the U.K.'s largest pawnbroking businesses with over 180 full-line stores offering pawnbroking, jewelry retailing, gold buying and financial services; and in Cash Converters International Limited (CCV.ASX), which franchises and operates a worldwide network of over 700 stores that provide personal financial services and sell pre-owned merchandise.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20"/>
        </w:rPr>
      </w:pPr>
      <w:r>
        <w:rPr>
          <w:rFonts w:ascii="inherit" w:hAnsi="inherit"/>
          <w:sz w:val="20"/>
        </w:rPr>
        <w:t xml:space="preserve">For the latest information on EZCORP, please visit our website at: </w:t>
      </w:r>
      <w:r>
        <w:rPr>
          <w:rFonts w:ascii="inherit" w:hAnsi="inherit"/>
          <w:color w:val="0000FF"/>
          <w:sz w:val="20"/>
          <w:u w:val="single"/>
        </w:rPr>
        <w:t>http://investors.ezcorp.com/</w:t>
      </w:r>
      <w:r>
        <w:rPr>
          <w:rFonts w:ascii="inherit" w:hAnsi="inherit"/>
          <w:sz w:val="20"/>
        </w:rPr>
        <w:t>.</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left"/>
        <w:rPr>
          <w:rFonts w:ascii="inherit" w:hAnsi="inherit"/>
          <w:b/>
          <w:sz w:val="20"/>
        </w:rPr>
      </w:pPr>
      <w:r>
        <w:rPr>
          <w:rFonts w:ascii="inherit" w:hAnsi="inherit"/>
          <w:b/>
          <w:sz w:val="20"/>
        </w:rPr>
        <w:t>Forward-Looking Statements</w:t>
      </w:r>
    </w:p>
    <w:p>
      <w:pPr>
        <w:pStyle w:val="TextBody"/>
        <w:spacing w:lineRule="auto" w:line="288" w:before="0" w:after="0"/>
        <w:jc w:val="left"/>
        <w:rPr>
          <w:rFonts w:ascii="inherit" w:hAnsi="inherit"/>
          <w:sz w:val="20"/>
        </w:rPr>
      </w:pPr>
      <w:r>
        <w:rPr>
          <w:rFonts w:ascii="inherit" w:hAnsi="inherit"/>
          <w:sz w:val="20"/>
        </w:rPr>
        <w:t>This announcement contains certain forward-looking statements regarding the company's expected operating and financial performance for future periods.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left"/>
        <w:rPr>
          <w:rFonts w:ascii="inherit" w:hAnsi="inherit"/>
          <w:sz w:val="20"/>
        </w:rPr>
      </w:pPr>
      <w:r>
        <w:rPr>
          <w:rFonts w:ascii="inherit" w:hAnsi="inherit"/>
          <w:sz w:val="20"/>
        </w:rPr>
      </w:r>
    </w:p>
    <w:p>
      <w:pPr>
        <w:pStyle w:val="TextBody"/>
        <w:spacing w:before="0" w:after="0"/>
        <w:rPr/>
      </w:pPr>
      <w:r>
        <w:rPr/>
      </w:r>
    </w:p>
    <w:p>
      <w:pPr>
        <w:pStyle w:val="TextBody"/>
        <w:spacing w:lineRule="auto" w:line="288" w:before="0" w:after="0"/>
        <w:jc w:val="center"/>
        <w:rPr>
          <w:sz w:val="17"/>
        </w:rPr>
      </w:pPr>
      <w:r>
        <w:rPr>
          <w:rFonts w:ascii="inherit" w:hAnsi="inherit"/>
          <w:sz w:val="17"/>
        </w:rPr>
        <w:t>4</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20"/>
        </w:rPr>
      </w:pPr>
      <w:r>
        <w:rPr>
          <w:rFonts w:ascii="inherit" w:hAnsi="inherit"/>
          <w:b/>
          <w:sz w:val="20"/>
        </w:rPr>
        <w:t>Contact:</w:t>
      </w:r>
    </w:p>
    <w:p>
      <w:pPr>
        <w:pStyle w:val="TextBody"/>
        <w:spacing w:lineRule="auto" w:line="288" w:before="0" w:after="0"/>
        <w:jc w:val="both"/>
        <w:rPr>
          <w:rFonts w:ascii="inherit" w:hAnsi="inherit"/>
          <w:sz w:val="20"/>
        </w:rPr>
      </w:pPr>
      <w:r>
        <w:rPr>
          <w:rFonts w:ascii="inherit" w:hAnsi="inherit"/>
          <w:sz w:val="20"/>
        </w:rPr>
        <w:t>Mark Trinske</w:t>
      </w:r>
    </w:p>
    <w:p>
      <w:pPr>
        <w:pStyle w:val="TextBody"/>
        <w:spacing w:lineRule="auto" w:line="288" w:before="0" w:after="0"/>
        <w:jc w:val="both"/>
        <w:rPr>
          <w:rFonts w:ascii="inherit" w:hAnsi="inherit"/>
          <w:sz w:val="20"/>
        </w:rPr>
      </w:pPr>
      <w:r>
        <w:rPr>
          <w:rFonts w:ascii="inherit" w:hAnsi="inherit"/>
          <w:sz w:val="20"/>
        </w:rPr>
        <w:t>Vice President, Investor Relations and Communications</w:t>
      </w:r>
    </w:p>
    <w:p>
      <w:pPr>
        <w:pStyle w:val="TextBody"/>
        <w:spacing w:lineRule="auto" w:line="288" w:before="0" w:after="0"/>
        <w:jc w:val="both"/>
        <w:rPr>
          <w:rFonts w:ascii="inherit" w:hAnsi="inherit"/>
          <w:sz w:val="20"/>
        </w:rPr>
      </w:pPr>
      <w:r>
        <w:rPr>
          <w:rFonts w:ascii="inherit" w:hAnsi="inherit"/>
          <w:sz w:val="20"/>
        </w:rPr>
        <w:t>EZCORP, Inc.</w:t>
      </w:r>
    </w:p>
    <w:p>
      <w:pPr>
        <w:pStyle w:val="TextBody"/>
        <w:spacing w:lineRule="auto" w:line="288" w:before="0" w:after="0"/>
        <w:jc w:val="both"/>
        <w:rPr>
          <w:rFonts w:ascii="inherit" w:hAnsi="inherit"/>
          <w:sz w:val="20"/>
        </w:rPr>
      </w:pPr>
      <w:r>
        <w:rPr>
          <w:rFonts w:ascii="inherit" w:hAnsi="inherit"/>
          <w:sz w:val="20"/>
        </w:rPr>
        <w:t>(512) 314-2220</w:t>
      </w:r>
    </w:p>
    <w:p>
      <w:pPr>
        <w:pStyle w:val="TextBody"/>
        <w:spacing w:lineRule="auto" w:line="288" w:before="0" w:after="0"/>
        <w:jc w:val="both"/>
        <w:rPr>
          <w:rFonts w:ascii="inherit" w:hAnsi="inherit"/>
          <w:sz w:val="20"/>
        </w:rPr>
      </w:pPr>
      <w:r>
        <w:rPr>
          <w:rFonts w:ascii="inherit" w:hAnsi="inherit"/>
          <w:sz w:val="20"/>
        </w:rPr>
        <w:t>Investor_Relations@ezcorp.com</w:t>
      </w:r>
    </w:p>
    <w:p>
      <w:pPr>
        <w:pStyle w:val="TextBody"/>
        <w:spacing w:lineRule="auto" w:line="288" w:before="0" w:after="0"/>
        <w:jc w:val="both"/>
        <w:rPr>
          <w:rFonts w:ascii="inherit" w:hAnsi="inherit"/>
          <w:sz w:val="20"/>
        </w:rPr>
      </w:pPr>
      <w:r>
        <w:rPr>
          <w:rFonts w:ascii="inherit" w:hAnsi="inherit"/>
          <w:sz w:val="20"/>
        </w:rPr>
        <w:t>http://investors.ezcorp.com/</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rPr>
          <w:rFonts w:ascii="inherit" w:hAnsi="inherit"/>
          <w:sz w:val="20"/>
        </w:rPr>
      </w:pPr>
      <w:r>
        <w:rPr>
          <w:rFonts w:ascii="inherit" w:hAnsi="inherit"/>
          <w:sz w:val="20"/>
        </w:rPr>
      </w:r>
    </w:p>
    <w:p>
      <w:pPr>
        <w:pStyle w:val="TextBody"/>
        <w:spacing w:before="0" w:after="0"/>
        <w:rPr/>
      </w:pPr>
      <w:r>
        <w:rPr/>
      </w:r>
    </w:p>
    <w:p>
      <w:pPr>
        <w:pStyle w:val="TextBody"/>
        <w:spacing w:lineRule="auto" w:line="288" w:before="0" w:after="0"/>
        <w:jc w:val="center"/>
        <w:rPr>
          <w:sz w:val="17"/>
        </w:rPr>
      </w:pPr>
      <w:r>
        <w:rPr>
          <w:rFonts w:ascii="inherit" w:hAnsi="inherit"/>
          <w:sz w:val="17"/>
        </w:rPr>
        <w:t>5</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23" w:name="s2F0EA34A82CE18A51ECB83E2DE04789E"/>
      <w:bookmarkStart w:id="24" w:name="s2F0EA34A82CE18A51ECB83E2DE04789E"/>
      <w:bookmarkEnd w:id="24"/>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25" w:name="s3A903CB64B6EB86868D083E281E00712"/>
      <w:bookmarkEnd w:id="25"/>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Highlights of Consolidated Statements of Operations (Unaudited)</w:t>
      </w:r>
    </w:p>
    <w:p>
      <w:pPr>
        <w:pStyle w:val="TextBody"/>
        <w:spacing w:lineRule="auto" w:line="288" w:before="0" w:after="0"/>
        <w:jc w:val="center"/>
        <w:rPr>
          <w:rFonts w:ascii="inherit" w:hAnsi="inherit"/>
          <w:i/>
          <w:sz w:val="17"/>
        </w:rPr>
      </w:pPr>
      <w:r>
        <w:rPr>
          <w:rFonts w:ascii="inherit" w:hAnsi="inherit"/>
          <w:i/>
          <w:sz w:val="17"/>
        </w:rPr>
        <w:t>(in thousands, except per share data)</w:t>
      </w:r>
    </w:p>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4579"/>
        <w:gridCol w:w="155"/>
        <w:gridCol w:w="855"/>
        <w:gridCol w:w="155"/>
        <w:gridCol w:w="137"/>
        <w:gridCol w:w="155"/>
        <w:gridCol w:w="799"/>
        <w:gridCol w:w="155"/>
        <w:gridCol w:w="137"/>
        <w:gridCol w:w="163"/>
        <w:gridCol w:w="898"/>
        <w:gridCol w:w="155"/>
        <w:gridCol w:w="137"/>
        <w:gridCol w:w="155"/>
        <w:gridCol w:w="883"/>
        <w:gridCol w:w="68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79" w:type="dxa"/>
            <w:tcBorders/>
            <w:shd w:fill="auto" w:val="clear"/>
            <w:vAlign w:val="center"/>
          </w:tcPr>
          <w:p>
            <w:pPr>
              <w:pStyle w:val="TableContents"/>
              <w:spacing w:before="0" w:after="0"/>
              <w:ind w:left="0" w:right="0" w:firstLine="30"/>
              <w:jc w:val="left"/>
              <w:rPr/>
            </w:pPr>
            <w:r>
              <w:rPr/>
              <w:t> </w:t>
            </w:r>
          </w:p>
        </w:tc>
        <w:tc>
          <w:tcPr>
            <w:tcW w:w="241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w:t>
            </w:r>
          </w:p>
        </w:tc>
        <w:tc>
          <w:tcPr>
            <w:tcW w:w="137" w:type="dxa"/>
            <w:tcBorders/>
            <w:shd w:fill="auto" w:val="clear"/>
            <w:vAlign w:val="center"/>
          </w:tcPr>
          <w:p>
            <w:pPr>
              <w:pStyle w:val="TableContents"/>
              <w:spacing w:before="0" w:after="0"/>
              <w:ind w:left="0" w:right="0" w:firstLine="30"/>
              <w:rPr/>
            </w:pPr>
            <w:r>
              <w:rPr/>
              <w:t> </w:t>
            </w:r>
          </w:p>
        </w:tc>
        <w:tc>
          <w:tcPr>
            <w:tcW w:w="307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4579" w:type="dxa"/>
            <w:tcBorders/>
            <w:shd w:fill="auto" w:val="clear"/>
            <w:vAlign w:val="center"/>
          </w:tcPr>
          <w:p>
            <w:pPr>
              <w:pStyle w:val="TableContents"/>
              <w:spacing w:before="0" w:after="0"/>
              <w:ind w:left="0" w:right="0" w:firstLine="30"/>
              <w:jc w:val="left"/>
              <w:rPr/>
            </w:pPr>
            <w:r>
              <w:rPr/>
              <w:t> </w:t>
            </w:r>
          </w:p>
        </w:tc>
        <w:tc>
          <w:tcPr>
            <w:tcW w:w="116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7" w:type="dxa"/>
            <w:tcBorders/>
            <w:shd w:fill="auto" w:val="clear"/>
            <w:vAlign w:val="center"/>
          </w:tcPr>
          <w:p>
            <w:pPr>
              <w:pStyle w:val="TableContents"/>
              <w:spacing w:before="0" w:after="0"/>
              <w:ind w:left="0" w:right="0" w:firstLine="30"/>
              <w:rPr/>
            </w:pPr>
            <w:r>
              <w:rPr/>
              <w:t> </w:t>
            </w:r>
          </w:p>
        </w:tc>
        <w:tc>
          <w:tcPr>
            <w:tcW w:w="12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7" w:type="dxa"/>
            <w:tcBorders/>
            <w:shd w:fill="auto" w:val="clear"/>
            <w:vAlign w:val="center"/>
          </w:tcPr>
          <w:p>
            <w:pPr>
              <w:pStyle w:val="TableContents"/>
              <w:spacing w:before="0" w:after="0"/>
              <w:ind w:left="0" w:right="0" w:firstLine="30"/>
              <w:rPr/>
            </w:pPr>
            <w:r>
              <w:rPr/>
              <w:t> </w:t>
            </w:r>
          </w:p>
        </w:tc>
        <w:tc>
          <w:tcPr>
            <w:tcW w:w="17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Revenues:</w:t>
            </w:r>
          </w:p>
        </w:tc>
        <w:tc>
          <w:tcPr>
            <w:tcW w:w="1165"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180"/>
              <w:jc w:val="left"/>
              <w:rPr/>
            </w:pPr>
            <w:r>
              <w:rPr/>
              <w:t> </w:t>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Merchandise sales</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55" w:type="dxa"/>
            <w:tcBorders/>
            <w:shd w:fill="CCEEFF" w:val="clear"/>
            <w:vAlign w:val="center"/>
          </w:tcPr>
          <w:p>
            <w:pPr>
              <w:pStyle w:val="TableContents"/>
              <w:spacing w:before="0" w:after="0"/>
              <w:jc w:val="right"/>
              <w:rPr>
                <w:rFonts w:ascii="inherit" w:hAnsi="inherit"/>
                <w:sz w:val="13"/>
              </w:rPr>
            </w:pPr>
            <w:r>
              <w:rPr>
                <w:rFonts w:ascii="inherit" w:hAnsi="inherit"/>
                <w:sz w:val="13"/>
              </w:rPr>
              <w:t>87,504</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CCEEFF" w:val="clear"/>
            <w:vAlign w:val="center"/>
          </w:tcPr>
          <w:p>
            <w:pPr>
              <w:pStyle w:val="TableContents"/>
              <w:spacing w:before="0" w:after="0"/>
              <w:jc w:val="right"/>
              <w:rPr>
                <w:rFonts w:ascii="inherit" w:hAnsi="inherit"/>
                <w:sz w:val="13"/>
              </w:rPr>
            </w:pPr>
            <w:r>
              <w:rPr>
                <w:rFonts w:ascii="inherit" w:hAnsi="inherit"/>
                <w:sz w:val="13"/>
              </w:rPr>
              <w:t>76,793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98" w:type="dxa"/>
            <w:tcBorders/>
            <w:shd w:fill="CCEEFF" w:val="clear"/>
            <w:vAlign w:val="center"/>
          </w:tcPr>
          <w:p>
            <w:pPr>
              <w:pStyle w:val="TableContents"/>
              <w:spacing w:before="0" w:after="0"/>
              <w:jc w:val="right"/>
              <w:rPr>
                <w:rFonts w:ascii="inherit" w:hAnsi="inherit"/>
                <w:sz w:val="13"/>
              </w:rPr>
            </w:pPr>
            <w:r>
              <w:rPr>
                <w:rFonts w:ascii="inherit" w:hAnsi="inherit"/>
                <w:sz w:val="13"/>
              </w:rPr>
              <w:t>368,766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CCEEFF" w:val="clear"/>
            <w:vAlign w:val="center"/>
          </w:tcPr>
          <w:p>
            <w:pPr>
              <w:pStyle w:val="TableContents"/>
              <w:spacing w:before="0" w:after="0"/>
              <w:jc w:val="right"/>
              <w:rPr>
                <w:rFonts w:ascii="inherit" w:hAnsi="inherit"/>
                <w:sz w:val="13"/>
              </w:rPr>
            </w:pPr>
            <w:r>
              <w:rPr>
                <w:rFonts w:ascii="inherit" w:hAnsi="inherit"/>
                <w:sz w:val="13"/>
              </w:rPr>
              <w:t>333,064</w:t>
            </w:r>
          </w:p>
        </w:tc>
        <w:tc>
          <w:tcPr>
            <w:tcW w:w="687"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sales</w:t>
            </w:r>
          </w:p>
        </w:tc>
        <w:tc>
          <w:tcPr>
            <w:tcW w:w="101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18,123</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55,415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131,702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202,481</w:t>
            </w:r>
          </w:p>
        </w:tc>
        <w:tc>
          <w:tcPr>
            <w:tcW w:w="68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w:t>
            </w:r>
          </w:p>
        </w:tc>
        <w:tc>
          <w:tcPr>
            <w:tcW w:w="101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63,542</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62,658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251,354</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233,538</w:t>
            </w:r>
          </w:p>
        </w:tc>
        <w:tc>
          <w:tcPr>
            <w:tcW w:w="687"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w:t>
            </w:r>
          </w:p>
        </w:tc>
        <w:tc>
          <w:tcPr>
            <w:tcW w:w="101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65,185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57,087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248,304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200,681</w:t>
            </w:r>
          </w:p>
        </w:tc>
        <w:tc>
          <w:tcPr>
            <w:tcW w:w="68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revenues</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2,008</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10,181</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5,359</w:t>
            </w:r>
          </w:p>
        </w:tc>
        <w:tc>
          <w:tcPr>
            <w:tcW w:w="687"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revenues</w:t>
            </w:r>
          </w:p>
        </w:tc>
        <w:tc>
          <w:tcPr>
            <w:tcW w:w="101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234,366</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253,961</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1,010,307</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975,123</w:t>
            </w:r>
          </w:p>
        </w:tc>
        <w:tc>
          <w:tcPr>
            <w:tcW w:w="6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Merchandise cost of goods sold</w:t>
            </w:r>
          </w:p>
        </w:tc>
        <w:tc>
          <w:tcPr>
            <w:tcW w:w="101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53,906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43,016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218,617</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190,637</w:t>
            </w:r>
          </w:p>
        </w:tc>
        <w:tc>
          <w:tcPr>
            <w:tcW w:w="6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cost of goods sold</w:t>
            </w:r>
          </w:p>
        </w:tc>
        <w:tc>
          <w:tcPr>
            <w:tcW w:w="101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15,140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37,908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96,133</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130,715</w:t>
            </w:r>
          </w:p>
        </w:tc>
        <w:tc>
          <w:tcPr>
            <w:tcW w:w="6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bad debt</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20,377</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12,101</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54,873</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39,370</w:t>
            </w:r>
          </w:p>
        </w:tc>
        <w:tc>
          <w:tcPr>
            <w:tcW w:w="687"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revenues</w:t>
            </w:r>
          </w:p>
        </w:tc>
        <w:tc>
          <w:tcPr>
            <w:tcW w:w="101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144,943</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160,936</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640,684</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614,401</w:t>
            </w:r>
          </w:p>
        </w:tc>
        <w:tc>
          <w:tcPr>
            <w:tcW w:w="6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expenses:</w:t>
            </w:r>
          </w:p>
        </w:tc>
        <w:tc>
          <w:tcPr>
            <w:tcW w:w="1165"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180"/>
              <w:rPr/>
            </w:pPr>
            <w:r>
              <w:rPr/>
              <w:t> </w:t>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Operations</w:t>
            </w:r>
          </w:p>
        </w:tc>
        <w:tc>
          <w:tcPr>
            <w:tcW w:w="101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104,879</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88,334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414,225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336,348</w:t>
            </w:r>
          </w:p>
        </w:tc>
        <w:tc>
          <w:tcPr>
            <w:tcW w:w="68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Administrative</w:t>
            </w:r>
          </w:p>
        </w:tc>
        <w:tc>
          <w:tcPr>
            <w:tcW w:w="101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17,556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14,403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52,474</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47,912</w:t>
            </w:r>
          </w:p>
        </w:tc>
        <w:tc>
          <w:tcPr>
            <w:tcW w:w="687"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Depreciation</w:t>
            </w:r>
          </w:p>
        </w:tc>
        <w:tc>
          <w:tcPr>
            <w:tcW w:w="101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3,698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3,046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28,327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22,011</w:t>
            </w:r>
          </w:p>
        </w:tc>
        <w:tc>
          <w:tcPr>
            <w:tcW w:w="68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Amortization</w:t>
            </w:r>
          </w:p>
        </w:tc>
        <w:tc>
          <w:tcPr>
            <w:tcW w:w="101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5,233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1,956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5,233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1,956</w:t>
            </w:r>
          </w:p>
        </w:tc>
        <w:tc>
          <w:tcPr>
            <w:tcW w:w="687"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Loss (gain) on sale or disposal of assets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1,214</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(135</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1,434</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w:t>
            </w:r>
          </w:p>
        </w:tc>
        <w:tc>
          <w:tcPr>
            <w:tcW w:w="687" w:type="dxa"/>
            <w:tcBorders>
              <w:bottom w:val="single" w:sz="2" w:space="0" w:color="000000"/>
            </w:tcBorders>
            <w:shd w:fill="auto" w:val="clear"/>
            <w:tcMar>
              <w:bottom w:w="30" w:type="dxa"/>
            </w:tcM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operating expenses</w:t>
            </w:r>
          </w:p>
        </w:tc>
        <w:tc>
          <w:tcPr>
            <w:tcW w:w="101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132,580</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107,604</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501,693</w:t>
            </w:r>
          </w:p>
        </w:tc>
        <w:tc>
          <w:tcPr>
            <w:tcW w:w="1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408,200</w:t>
            </w:r>
          </w:p>
        </w:tc>
        <w:tc>
          <w:tcPr>
            <w:tcW w:w="687"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income</w:t>
            </w:r>
          </w:p>
        </w:tc>
        <w:tc>
          <w:tcPr>
            <w:tcW w:w="101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12,363</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53,332</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138,991</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206,201</w:t>
            </w:r>
          </w:p>
        </w:tc>
        <w:tc>
          <w:tcPr>
            <w:tcW w:w="6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Interest expense (income)</w:t>
            </w:r>
          </w:p>
        </w:tc>
        <w:tc>
          <w:tcPr>
            <w:tcW w:w="101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4,139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(5,244</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15,166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(1,550</w:t>
            </w:r>
          </w:p>
        </w:tc>
        <w:tc>
          <w:tcPr>
            <w:tcW w:w="6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Equity in net loss (income) of unconsolidated affiliates</w:t>
            </w:r>
          </w:p>
        </w:tc>
        <w:tc>
          <w:tcPr>
            <w:tcW w:w="101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1,613</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(4,465</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(11,878</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(17,400</w:t>
            </w:r>
          </w:p>
        </w:tc>
        <w:tc>
          <w:tcPr>
            <w:tcW w:w="68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Impairment of investments</w:t>
            </w:r>
          </w:p>
        </w:tc>
        <w:tc>
          <w:tcPr>
            <w:tcW w:w="101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44,598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pPr>
            <w:r>
              <w:rPr/>
              <w:t>—</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44,598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6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income</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(205</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(1,054</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(205</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(1,211</w:t>
            </w:r>
          </w:p>
        </w:tc>
        <w:tc>
          <w:tcPr>
            <w:tcW w:w="6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(Loss) income from continuing operations before income taxes</w:t>
            </w:r>
          </w:p>
        </w:tc>
        <w:tc>
          <w:tcPr>
            <w:tcW w:w="10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(37,782</w:t>
            </w:r>
          </w:p>
        </w:tc>
        <w:tc>
          <w:tcPr>
            <w:tcW w:w="15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9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64,095</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06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91,310</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226,362</w:t>
            </w:r>
          </w:p>
        </w:tc>
        <w:tc>
          <w:tcPr>
            <w:tcW w:w="6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expense</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(12,509</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18,588</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29,575</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71,252</w:t>
            </w:r>
          </w:p>
        </w:tc>
        <w:tc>
          <w:tcPr>
            <w:tcW w:w="6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(Loss) income from continuing operations, net of tax</w:t>
            </w:r>
          </w:p>
        </w:tc>
        <w:tc>
          <w:tcPr>
            <w:tcW w:w="10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(25,273</w:t>
            </w:r>
          </w:p>
        </w:tc>
        <w:tc>
          <w:tcPr>
            <w:tcW w:w="15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jc w:val="right"/>
              <w:rPr>
                <w:rFonts w:ascii="inherit" w:hAnsi="inherit"/>
                <w:sz w:val="13"/>
              </w:rPr>
            </w:pPr>
            <w:r>
              <w:rPr>
                <w:rFonts w:ascii="inherit" w:hAnsi="inherit"/>
                <w:sz w:val="13"/>
              </w:rPr>
            </w:r>
          </w:p>
        </w:tc>
        <w:tc>
          <w:tcPr>
            <w:tcW w:w="9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45,507</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jc w:val="right"/>
              <w:rPr>
                <w:rFonts w:ascii="inherit" w:hAnsi="inherit"/>
                <w:sz w:val="13"/>
              </w:rPr>
            </w:pPr>
            <w:r>
              <w:rPr>
                <w:rFonts w:ascii="inherit" w:hAnsi="inherit"/>
                <w:sz w:val="13"/>
              </w:rPr>
            </w:r>
          </w:p>
        </w:tc>
        <w:tc>
          <w:tcPr>
            <w:tcW w:w="106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61,735</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155,110</w:t>
            </w:r>
          </w:p>
        </w:tc>
        <w:tc>
          <w:tcPr>
            <w:tcW w:w="6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(loss) from discontinued operations, net of tax</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1,503</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(1,366</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(23,310</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(4,533</w:t>
            </w:r>
          </w:p>
        </w:tc>
        <w:tc>
          <w:tcPr>
            <w:tcW w:w="6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(loss) income</w:t>
            </w:r>
          </w:p>
        </w:tc>
        <w:tc>
          <w:tcPr>
            <w:tcW w:w="10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(23,770</w:t>
            </w:r>
          </w:p>
        </w:tc>
        <w:tc>
          <w:tcPr>
            <w:tcW w:w="15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jc w:val="right"/>
              <w:rPr>
                <w:rFonts w:ascii="inherit" w:hAnsi="inherit"/>
                <w:sz w:val="13"/>
              </w:rPr>
            </w:pPr>
            <w:r>
              <w:rPr>
                <w:rFonts w:ascii="inherit" w:hAnsi="inherit"/>
                <w:sz w:val="13"/>
              </w:rPr>
            </w:r>
          </w:p>
        </w:tc>
        <w:tc>
          <w:tcPr>
            <w:tcW w:w="9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44,141</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jc w:val="right"/>
              <w:rPr>
                <w:rFonts w:ascii="inherit" w:hAnsi="inherit"/>
                <w:sz w:val="13"/>
              </w:rPr>
            </w:pPr>
            <w:r>
              <w:rPr>
                <w:rFonts w:ascii="inherit" w:hAnsi="inherit"/>
                <w:sz w:val="13"/>
              </w:rPr>
            </w:r>
          </w:p>
        </w:tc>
        <w:tc>
          <w:tcPr>
            <w:tcW w:w="106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38,425</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150,577</w:t>
            </w:r>
          </w:p>
        </w:tc>
        <w:tc>
          <w:tcPr>
            <w:tcW w:w="6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from continuing operations attributable to redeemable noncontrolling interest</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970</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5,569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4,348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6,869</w:t>
            </w:r>
          </w:p>
        </w:tc>
        <w:tc>
          <w:tcPr>
            <w:tcW w:w="6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(loss) income attributable to EZCORP, Inc.</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(24,740</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38,572</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34,077</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143,708</w:t>
            </w:r>
          </w:p>
        </w:tc>
        <w:tc>
          <w:tcPr>
            <w:tcW w:w="6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auto" w:val="clear"/>
            <w:vAlign w:val="center"/>
          </w:tcPr>
          <w:p>
            <w:pPr>
              <w:pStyle w:val="TableContents"/>
              <w:spacing w:before="0" w:after="0"/>
              <w:ind w:left="0" w:right="0" w:firstLine="30"/>
              <w:rPr/>
            </w:pPr>
            <w:r>
              <w:rPr/>
              <w:t> </w:t>
            </w:r>
          </w:p>
        </w:tc>
        <w:tc>
          <w:tcPr>
            <w:tcW w:w="1165"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109"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37"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Diluted earnings (loss) per share attributable to EZCORP, Inc.:</w:t>
            </w:r>
          </w:p>
        </w:tc>
        <w:tc>
          <w:tcPr>
            <w:tcW w:w="1165"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420"/>
              <w:rPr/>
            </w:pPr>
            <w:r>
              <w:rPr/>
              <w:t> </w:t>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Continuing operations</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55" w:type="dxa"/>
            <w:tcBorders/>
            <w:shd w:fill="auto" w:val="clear"/>
            <w:vAlign w:val="center"/>
          </w:tcPr>
          <w:p>
            <w:pPr>
              <w:pStyle w:val="TableContents"/>
              <w:spacing w:before="0" w:after="0"/>
              <w:jc w:val="right"/>
              <w:rPr>
                <w:rFonts w:ascii="inherit" w:hAnsi="inherit"/>
                <w:sz w:val="13"/>
              </w:rPr>
            </w:pPr>
            <w:r>
              <w:rPr>
                <w:rFonts w:ascii="inherit" w:hAnsi="inherit"/>
                <w:sz w:val="13"/>
              </w:rPr>
              <w:t>(0.48</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auto" w:val="clear"/>
            <w:vAlign w:val="center"/>
          </w:tcPr>
          <w:p>
            <w:pPr>
              <w:pStyle w:val="TableContents"/>
              <w:spacing w:before="0" w:after="0"/>
              <w:jc w:val="right"/>
              <w:rPr>
                <w:rFonts w:ascii="inherit" w:hAnsi="inherit"/>
                <w:sz w:val="13"/>
              </w:rPr>
            </w:pPr>
            <w:r>
              <w:rPr>
                <w:rFonts w:ascii="inherit" w:hAnsi="inherit"/>
                <w:sz w:val="13"/>
              </w:rPr>
              <w:t>0.78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98" w:type="dxa"/>
            <w:tcBorders/>
            <w:shd w:fill="auto" w:val="clear"/>
            <w:vAlign w:val="center"/>
          </w:tcPr>
          <w:p>
            <w:pPr>
              <w:pStyle w:val="TableContents"/>
              <w:spacing w:before="0" w:after="0"/>
              <w:jc w:val="right"/>
              <w:rPr>
                <w:rFonts w:ascii="inherit" w:hAnsi="inherit"/>
                <w:sz w:val="13"/>
              </w:rPr>
            </w:pPr>
            <w:r>
              <w:rPr>
                <w:rFonts w:ascii="inherit" w:hAnsi="inherit"/>
                <w:sz w:val="13"/>
              </w:rPr>
              <w:t>1.06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auto" w:val="clear"/>
            <w:vAlign w:val="center"/>
          </w:tcPr>
          <w:p>
            <w:pPr>
              <w:pStyle w:val="TableContents"/>
              <w:spacing w:before="0" w:after="0"/>
              <w:jc w:val="right"/>
              <w:rPr>
                <w:rFonts w:ascii="inherit" w:hAnsi="inherit"/>
                <w:sz w:val="13"/>
              </w:rPr>
            </w:pPr>
            <w:r>
              <w:rPr>
                <w:rFonts w:ascii="inherit" w:hAnsi="inherit"/>
                <w:sz w:val="13"/>
              </w:rPr>
              <w:t>2.90</w:t>
            </w:r>
          </w:p>
        </w:tc>
        <w:tc>
          <w:tcPr>
            <w:tcW w:w="6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01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0.02</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(0.03</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(0.43</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(0.09</w:t>
            </w:r>
          </w:p>
        </w:tc>
        <w:tc>
          <w:tcPr>
            <w:tcW w:w="687"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Diluted earnings per share</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(0.46</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0.75</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0.63</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2.81</w:t>
            </w:r>
          </w:p>
        </w:tc>
        <w:tc>
          <w:tcPr>
            <w:tcW w:w="6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rPr/>
            </w:pPr>
            <w:r>
              <w:rPr/>
              <w:t> </w:t>
            </w:r>
          </w:p>
        </w:tc>
        <w:tc>
          <w:tcPr>
            <w:tcW w:w="1165"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420"/>
              <w:rPr/>
            </w:pPr>
            <w:r>
              <w:rPr/>
              <w:t> </w:t>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Weighted average shares diluted</w:t>
            </w:r>
          </w:p>
        </w:tc>
        <w:tc>
          <w:tcPr>
            <w:tcW w:w="101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54,310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95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51,394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53,737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51,133</w:t>
            </w:r>
          </w:p>
        </w:tc>
        <w:tc>
          <w:tcPr>
            <w:tcW w:w="6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rPr/>
            </w:pPr>
            <w:r>
              <w:rPr/>
              <w:t> </w:t>
            </w:r>
          </w:p>
        </w:tc>
        <w:tc>
          <w:tcPr>
            <w:tcW w:w="1165"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109"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30"/>
              <w:rPr/>
            </w:pPr>
            <w:r>
              <w:rPr/>
              <w:t> </w:t>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(loss) income from continuing operations attributable to EZCORP, Inc.</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55" w:type="dxa"/>
            <w:tcBorders/>
            <w:shd w:fill="auto" w:val="clear"/>
            <w:vAlign w:val="center"/>
          </w:tcPr>
          <w:p>
            <w:pPr>
              <w:pStyle w:val="TableContents"/>
              <w:spacing w:before="0" w:after="0"/>
              <w:jc w:val="right"/>
              <w:rPr>
                <w:rFonts w:ascii="inherit" w:hAnsi="inherit"/>
                <w:sz w:val="13"/>
              </w:rPr>
            </w:pPr>
            <w:r>
              <w:rPr>
                <w:rFonts w:ascii="inherit" w:hAnsi="inherit"/>
                <w:sz w:val="13"/>
              </w:rPr>
              <w:t>(26,243</w:t>
            </w:r>
          </w:p>
        </w:tc>
        <w:tc>
          <w:tcPr>
            <w:tcW w:w="15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shd w:fill="auto" w:val="clear"/>
            <w:vAlign w:val="center"/>
          </w:tcPr>
          <w:p>
            <w:pPr>
              <w:pStyle w:val="TableContents"/>
              <w:spacing w:before="0" w:after="0"/>
              <w:jc w:val="right"/>
              <w:rPr>
                <w:rFonts w:ascii="inherit" w:hAnsi="inherit"/>
                <w:sz w:val="13"/>
              </w:rPr>
            </w:pPr>
            <w:r>
              <w:rPr>
                <w:rFonts w:ascii="inherit" w:hAnsi="inherit"/>
                <w:sz w:val="13"/>
              </w:rPr>
              <w:t>39,938</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98" w:type="dxa"/>
            <w:tcBorders/>
            <w:shd w:fill="auto" w:val="clear"/>
            <w:vAlign w:val="center"/>
          </w:tcPr>
          <w:p>
            <w:pPr>
              <w:pStyle w:val="TableContents"/>
              <w:spacing w:before="0" w:after="0"/>
              <w:jc w:val="right"/>
              <w:rPr>
                <w:rFonts w:ascii="inherit" w:hAnsi="inherit"/>
                <w:sz w:val="13"/>
              </w:rPr>
            </w:pPr>
            <w:r>
              <w:rPr>
                <w:rFonts w:ascii="inherit" w:hAnsi="inherit"/>
                <w:sz w:val="13"/>
              </w:rPr>
              <w:t>57,387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shd w:fill="auto" w:val="clear"/>
            <w:vAlign w:val="center"/>
          </w:tcPr>
          <w:p>
            <w:pPr>
              <w:pStyle w:val="TableContents"/>
              <w:spacing w:before="0" w:after="0"/>
              <w:jc w:val="right"/>
              <w:rPr>
                <w:rFonts w:ascii="inherit" w:hAnsi="inherit"/>
                <w:sz w:val="13"/>
              </w:rPr>
            </w:pPr>
            <w:r>
              <w:rPr>
                <w:rFonts w:ascii="inherit" w:hAnsi="inherit"/>
                <w:sz w:val="13"/>
              </w:rPr>
              <w:t>148,241</w:t>
            </w:r>
          </w:p>
        </w:tc>
        <w:tc>
          <w:tcPr>
            <w:tcW w:w="6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(loss) from discontinued operations attributable to EZCORP, Inc.</w:t>
            </w:r>
          </w:p>
        </w:tc>
        <w:tc>
          <w:tcPr>
            <w:tcW w:w="101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1,503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95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(1,366</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(23,310</w:t>
            </w:r>
          </w:p>
        </w:tc>
        <w:tc>
          <w:tcPr>
            <w:tcW w:w="15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(4,533</w:t>
            </w:r>
          </w:p>
        </w:tc>
        <w:tc>
          <w:tcPr>
            <w:tcW w:w="6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7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(loss) income attributable to EZCORP, Inc.</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(24,740</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9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38,572</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34,077</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143,708</w:t>
            </w:r>
          </w:p>
        </w:tc>
        <w:tc>
          <w:tcPr>
            <w:tcW w:w="6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before="0" w:after="0"/>
        <w:jc w:val="center"/>
        <w:rPr>
          <w:sz w:val="17"/>
        </w:rPr>
      </w:pPr>
      <w:r>
        <w:rPr>
          <w:rFonts w:ascii="inherit" w:hAnsi="inherit"/>
          <w:sz w:val="17"/>
        </w:rPr>
        <w:t>6</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26" w:name="sBC1A97192240B3F84A9E83E283E0D1E8"/>
      <w:bookmarkStart w:id="27" w:name="sBC1A97192240B3F84A9E83E283E0D1E8"/>
      <w:bookmarkEnd w:id="27"/>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Highlights of Consolidated Balance Sheets (Unaudited)</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6106"/>
        <w:gridCol w:w="156"/>
        <w:gridCol w:w="1129"/>
        <w:gridCol w:w="94"/>
        <w:gridCol w:w="151"/>
        <w:gridCol w:w="156"/>
        <w:gridCol w:w="1129"/>
        <w:gridCol w:w="1284"/>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06" w:type="dxa"/>
            <w:tcBorders/>
            <w:shd w:fill="auto" w:val="clear"/>
            <w:vAlign w:val="center"/>
          </w:tcPr>
          <w:p>
            <w:pPr>
              <w:pStyle w:val="TableContents"/>
              <w:spacing w:before="0" w:after="0"/>
              <w:ind w:left="0" w:right="0" w:firstLine="30"/>
              <w:rPr/>
            </w:pPr>
            <w:r>
              <w:rPr/>
              <w:t> </w:t>
            </w:r>
          </w:p>
        </w:tc>
        <w:tc>
          <w:tcPr>
            <w:tcW w:w="409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6106" w:type="dxa"/>
            <w:tcBorders/>
            <w:shd w:fill="auto" w:val="clear"/>
            <w:vAlign w:val="center"/>
          </w:tcPr>
          <w:p>
            <w:pPr>
              <w:pStyle w:val="TableContents"/>
              <w:spacing w:before="0" w:after="0"/>
              <w:ind w:left="0" w:right="0" w:firstLine="30"/>
              <w:rPr/>
            </w:pPr>
            <w:r>
              <w:rPr/>
              <w:t> </w:t>
            </w:r>
          </w:p>
        </w:tc>
        <w:tc>
          <w:tcPr>
            <w:tcW w:w="13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25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106"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Assets:</w:t>
            </w:r>
          </w:p>
        </w:tc>
        <w:tc>
          <w:tcPr>
            <w:tcW w:w="1379" w:type="dxa"/>
            <w:gridSpan w:val="3"/>
            <w:tcBorders/>
            <w:shd w:fill="auto" w:val="clear"/>
            <w:vAlign w:val="center"/>
          </w:tcPr>
          <w:p>
            <w:pPr>
              <w:pStyle w:val="TableContents"/>
              <w:spacing w:before="0" w:after="0"/>
              <w:ind w:left="0" w:right="0" w:firstLine="30"/>
              <w:jc w:val="left"/>
              <w:rPr/>
            </w:pPr>
            <w:r>
              <w:rPr/>
              <w:t> </w:t>
            </w:r>
          </w:p>
        </w:tc>
        <w:tc>
          <w:tcPr>
            <w:tcW w:w="151" w:type="dxa"/>
            <w:tcBorders/>
            <w:shd w:fill="auto" w:val="clear"/>
            <w:vAlign w:val="center"/>
          </w:tcPr>
          <w:p>
            <w:pPr>
              <w:pStyle w:val="TableContents"/>
              <w:spacing w:before="0" w:after="0"/>
              <w:ind w:left="0" w:right="0" w:firstLine="30"/>
              <w:rPr/>
            </w:pPr>
            <w:r>
              <w:rPr/>
              <w:t> </w:t>
            </w:r>
          </w:p>
        </w:tc>
        <w:tc>
          <w:tcPr>
            <w:tcW w:w="2569" w:type="dxa"/>
            <w:gridSpan w:val="3"/>
            <w:tcBorders/>
            <w:shd w:fill="auto" w:val="clear"/>
            <w:vAlign w:val="center"/>
          </w:tcPr>
          <w:p>
            <w:pPr>
              <w:pStyle w:val="TableContents"/>
              <w:spacing w:before="0" w:after="0"/>
              <w:ind w:left="0" w:right="0" w:firstLine="420"/>
              <w:jc w:val="left"/>
              <w:rPr/>
            </w:pPr>
            <w:r>
              <w:rPr/>
              <w:t> </w:t>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assets:</w:t>
            </w:r>
          </w:p>
        </w:tc>
        <w:tc>
          <w:tcPr>
            <w:tcW w:w="1379" w:type="dxa"/>
            <w:gridSpan w:val="3"/>
            <w:tcBorders/>
            <w:shd w:fill="CCEEFF" w:val="clear"/>
            <w:vAlign w:val="center"/>
          </w:tcPr>
          <w:p>
            <w:pPr>
              <w:pStyle w:val="TableContents"/>
              <w:spacing w:before="0" w:after="0"/>
              <w:ind w:left="0" w:right="0" w:firstLine="30"/>
              <w:jc w:val="left"/>
              <w:rPr/>
            </w:pPr>
            <w:r>
              <w:rPr/>
              <w:t> </w:t>
            </w:r>
          </w:p>
        </w:tc>
        <w:tc>
          <w:tcPr>
            <w:tcW w:w="151" w:type="dxa"/>
            <w:tcBorders/>
            <w:shd w:fill="CCEEFF" w:val="clear"/>
            <w:vAlign w:val="center"/>
          </w:tcPr>
          <w:p>
            <w:pPr>
              <w:pStyle w:val="TableContents"/>
              <w:spacing w:before="0" w:after="0"/>
              <w:ind w:left="0" w:right="0" w:firstLine="30"/>
              <w:rPr/>
            </w:pPr>
            <w:r>
              <w:rPr/>
              <w:t> </w:t>
            </w:r>
          </w:p>
        </w:tc>
        <w:tc>
          <w:tcPr>
            <w:tcW w:w="2569" w:type="dxa"/>
            <w:gridSpan w:val="3"/>
            <w:tcBorders/>
            <w:shd w:fill="CCEEFF" w:val="clear"/>
            <w:vAlign w:val="center"/>
          </w:tcPr>
          <w:p>
            <w:pPr>
              <w:pStyle w:val="TableContents"/>
              <w:spacing w:before="0" w:after="0"/>
              <w:ind w:left="0" w:right="0" w:firstLine="780"/>
              <w:jc w:val="left"/>
              <w:rPr/>
            </w:pPr>
            <w:r>
              <w:rPr/>
              <w:t> </w:t>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w:t>
            </w:r>
          </w:p>
        </w:tc>
        <w:tc>
          <w:tcPr>
            <w:tcW w:w="15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36,317</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48,477</w:t>
            </w:r>
          </w:p>
        </w:tc>
        <w:tc>
          <w:tcPr>
            <w:tcW w:w="128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Restricted cash</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3,312</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1,145</w:t>
            </w:r>
          </w:p>
        </w:tc>
        <w:tc>
          <w:tcPr>
            <w:tcW w:w="128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loans</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156,637</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157,648</w:t>
            </w:r>
          </w:p>
        </w:tc>
        <w:tc>
          <w:tcPr>
            <w:tcW w:w="128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loans, net</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64,515</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34,152</w:t>
            </w:r>
          </w:p>
        </w:tc>
        <w:tc>
          <w:tcPr>
            <w:tcW w:w="128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 receivable, net</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30,362</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29,401</w:t>
            </w:r>
          </w:p>
        </w:tc>
        <w:tc>
          <w:tcPr>
            <w:tcW w:w="128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 receivable, net</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36,588</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30,416</w:t>
            </w:r>
          </w:p>
        </w:tc>
        <w:tc>
          <w:tcPr>
            <w:tcW w:w="128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145,200</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109,214</w:t>
            </w:r>
          </w:p>
        </w:tc>
        <w:tc>
          <w:tcPr>
            <w:tcW w:w="128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13,825</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14,984</w:t>
            </w:r>
          </w:p>
        </w:tc>
        <w:tc>
          <w:tcPr>
            <w:tcW w:w="128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receivable</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10,694</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10,511</w:t>
            </w:r>
          </w:p>
        </w:tc>
        <w:tc>
          <w:tcPr>
            <w:tcW w:w="128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and other assets</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34,217</w:t>
            </w:r>
          </w:p>
        </w:tc>
        <w:tc>
          <w:tcPr>
            <w:tcW w:w="9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45,451</w:t>
            </w:r>
          </w:p>
        </w:tc>
        <w:tc>
          <w:tcPr>
            <w:tcW w:w="1284"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assets</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531,667</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481,399</w:t>
            </w:r>
          </w:p>
        </w:tc>
        <w:tc>
          <w:tcPr>
            <w:tcW w:w="1284" w:type="dxa"/>
            <w:tcBorders>
              <w:top w:val="single" w:sz="2" w:space="0" w:color="000000"/>
            </w:tcBorders>
            <w:shd w:fill="auto"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97,085</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126,066</w:t>
            </w:r>
          </w:p>
        </w:tc>
        <w:tc>
          <w:tcPr>
            <w:tcW w:w="128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Property and equipment, net</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116,281</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108,131</w:t>
            </w:r>
          </w:p>
        </w:tc>
        <w:tc>
          <w:tcPr>
            <w:tcW w:w="12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Restricted cash, non-current</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2,156</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4,337</w:t>
            </w:r>
          </w:p>
        </w:tc>
        <w:tc>
          <w:tcPr>
            <w:tcW w:w="128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Goodwill</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428,508</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374,663</w:t>
            </w:r>
          </w:p>
        </w:tc>
        <w:tc>
          <w:tcPr>
            <w:tcW w:w="12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Intangible assets, net</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61,872</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45,185</w:t>
            </w:r>
          </w:p>
        </w:tc>
        <w:tc>
          <w:tcPr>
            <w:tcW w:w="128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Non-current consumer loans, net</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69,991</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61,997</w:t>
            </w:r>
          </w:p>
        </w:tc>
        <w:tc>
          <w:tcPr>
            <w:tcW w:w="12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13,625</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pPr>
            <w:r>
              <w:rPr/>
              <w:t>—</w:t>
            </w:r>
          </w:p>
        </w:tc>
        <w:tc>
          <w:tcPr>
            <w:tcW w:w="128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assets, net</w:t>
            </w:r>
          </w:p>
        </w:tc>
        <w:tc>
          <w:tcPr>
            <w:tcW w:w="12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24,105</w:t>
            </w:r>
          </w:p>
        </w:tc>
        <w:tc>
          <w:tcPr>
            <w:tcW w:w="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16,229</w:t>
            </w:r>
          </w:p>
        </w:tc>
        <w:tc>
          <w:tcPr>
            <w:tcW w:w="1284"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b/>
                <w:sz w:val="13"/>
              </w:rPr>
            </w:pPr>
            <w:r>
              <w:rPr>
                <w:rFonts w:ascii="inherit" w:hAnsi="inherit"/>
                <w:b/>
                <w:sz w:val="13"/>
              </w:rPr>
              <w:t>Total assets</w:t>
            </w:r>
          </w:p>
        </w:tc>
        <w:tc>
          <w:tcPr>
            <w:tcW w:w="1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2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1,345,290</w:t>
            </w:r>
          </w:p>
        </w:tc>
        <w:tc>
          <w:tcPr>
            <w:tcW w:w="9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2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1,218,007</w:t>
            </w:r>
          </w:p>
        </w:tc>
        <w:tc>
          <w:tcPr>
            <w:tcW w:w="12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Liabilities and stockholders’ equity:</w:t>
            </w:r>
          </w:p>
        </w:tc>
        <w:tc>
          <w:tcPr>
            <w:tcW w:w="1379"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569" w:type="dxa"/>
            <w:gridSpan w:val="3"/>
            <w:tcBorders/>
            <w:shd w:fill="auto" w:val="clear"/>
            <w:vAlign w:val="center"/>
          </w:tcPr>
          <w:p>
            <w:pPr>
              <w:pStyle w:val="TableContents"/>
              <w:spacing w:before="0" w:after="0"/>
              <w:ind w:left="0" w:right="0" w:firstLine="420"/>
              <w:rPr/>
            </w:pPr>
            <w:r>
              <w:rPr/>
              <w:t> </w:t>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liabilities:</w:t>
            </w:r>
          </w:p>
        </w:tc>
        <w:tc>
          <w:tcPr>
            <w:tcW w:w="1379"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569" w:type="dxa"/>
            <w:gridSpan w:val="3"/>
            <w:tcBorders/>
            <w:shd w:fill="CCEEFF" w:val="clear"/>
            <w:vAlign w:val="center"/>
          </w:tcPr>
          <w:p>
            <w:pPr>
              <w:pStyle w:val="TableContents"/>
              <w:spacing w:before="0" w:after="0"/>
              <w:ind w:left="0" w:right="0" w:firstLine="780"/>
              <w:rPr/>
            </w:pPr>
            <w:r>
              <w:rPr/>
              <w:t> </w:t>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maturities of long-term debt</w:t>
            </w:r>
          </w:p>
        </w:tc>
        <w:tc>
          <w:tcPr>
            <w:tcW w:w="15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30,436</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21,085</w:t>
            </w:r>
          </w:p>
        </w:tc>
        <w:tc>
          <w:tcPr>
            <w:tcW w:w="128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capital lease obligations</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533</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594</w:t>
            </w:r>
          </w:p>
        </w:tc>
        <w:tc>
          <w:tcPr>
            <w:tcW w:w="128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other accrued expenses</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79,967</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64,104</w:t>
            </w:r>
          </w:p>
        </w:tc>
        <w:tc>
          <w:tcPr>
            <w:tcW w:w="128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current liabilities</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22,337</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14,821</w:t>
            </w:r>
          </w:p>
        </w:tc>
        <w:tc>
          <w:tcPr>
            <w:tcW w:w="128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2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8,628</w:t>
            </w:r>
          </w:p>
        </w:tc>
        <w:tc>
          <w:tcPr>
            <w:tcW w:w="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7,238</w:t>
            </w:r>
          </w:p>
        </w:tc>
        <w:tc>
          <w:tcPr>
            <w:tcW w:w="1284"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liabilities</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141,901</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107,842</w:t>
            </w:r>
          </w:p>
        </w:tc>
        <w:tc>
          <w:tcPr>
            <w:tcW w:w="128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less current maturities</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215,939</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198,836</w:t>
            </w:r>
          </w:p>
        </w:tc>
        <w:tc>
          <w:tcPr>
            <w:tcW w:w="12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Long-term capital lease obligations</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391</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995</w:t>
            </w:r>
          </w:p>
        </w:tc>
        <w:tc>
          <w:tcPr>
            <w:tcW w:w="128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liability</w:t>
            </w:r>
          </w:p>
        </w:tc>
        <w:tc>
          <w:tcPr>
            <w:tcW w:w="1285"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7,922</w:t>
            </w:r>
          </w:p>
        </w:tc>
        <w:tc>
          <w:tcPr>
            <w:tcW w:w="12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17,140</w:t>
            </w:r>
          </w:p>
        </w:tc>
        <w:tc>
          <w:tcPr>
            <w:tcW w:w="9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13,903</w:t>
            </w:r>
          </w:p>
        </w:tc>
        <w:tc>
          <w:tcPr>
            <w:tcW w:w="1284"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Total liabilities</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375,371</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329,498</w:t>
            </w:r>
          </w:p>
        </w:tc>
        <w:tc>
          <w:tcPr>
            <w:tcW w:w="12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Temporary equity:</w:t>
            </w:r>
          </w:p>
        </w:tc>
        <w:tc>
          <w:tcPr>
            <w:tcW w:w="1379"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569" w:type="dxa"/>
            <w:gridSpan w:val="3"/>
            <w:tcBorders/>
            <w:shd w:fill="CCEEFF" w:val="clear"/>
            <w:vAlign w:val="center"/>
          </w:tcPr>
          <w:p>
            <w:pPr>
              <w:pStyle w:val="TableContents"/>
              <w:spacing w:before="0" w:after="0"/>
              <w:ind w:left="0" w:right="0" w:firstLine="780"/>
              <w:rPr/>
            </w:pPr>
            <w:r>
              <w:rPr/>
              <w:t> </w:t>
            </w:r>
          </w:p>
        </w:tc>
      </w:tr>
      <w:tr>
        <w:trPr/>
        <w:tc>
          <w:tcPr>
            <w:tcW w:w="61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Redeemable noncontrolling interest</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55,393</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28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53,681</w:t>
            </w:r>
          </w:p>
        </w:tc>
        <w:tc>
          <w:tcPr>
            <w:tcW w:w="12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EZCORP, Inc. stockholders’ equity</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914,526</w:t>
            </w:r>
          </w:p>
        </w:tc>
        <w:tc>
          <w:tcPr>
            <w:tcW w:w="9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2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834,828</w:t>
            </w:r>
          </w:p>
        </w:tc>
        <w:tc>
          <w:tcPr>
            <w:tcW w:w="1284"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106"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Total liabilities and stockholders’ equity</w:t>
            </w:r>
          </w:p>
        </w:tc>
        <w:tc>
          <w:tcPr>
            <w:tcW w:w="1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1,345,290</w:t>
            </w:r>
          </w:p>
        </w:tc>
        <w:tc>
          <w:tcPr>
            <w:tcW w:w="9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2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1,218,007</w:t>
            </w:r>
          </w:p>
        </w:tc>
        <w:tc>
          <w:tcPr>
            <w:tcW w:w="128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r>
    </w:p>
    <w:p>
      <w:pPr>
        <w:pStyle w:val="TextBody"/>
        <w:spacing w:before="0" w:after="0"/>
        <w:rPr/>
      </w:pPr>
      <w:r>
        <w:rPr/>
      </w:r>
    </w:p>
    <w:p>
      <w:pPr>
        <w:pStyle w:val="TextBody"/>
        <w:spacing w:lineRule="auto" w:line="288" w:before="0" w:after="0"/>
        <w:jc w:val="center"/>
        <w:rPr>
          <w:sz w:val="17"/>
        </w:rPr>
      </w:pPr>
      <w:r>
        <w:rPr>
          <w:rFonts w:ascii="inherit" w:hAnsi="inherit"/>
          <w:sz w:val="17"/>
        </w:rPr>
        <w:t>7</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28" w:name="s7DC73E90219A8043997E83E2838AEAE7"/>
      <w:bookmarkStart w:id="29" w:name="s7DC73E90219A8043997E83E2838AEAE7"/>
      <w:bookmarkEnd w:id="29"/>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 xml:space="preserve">(in thousands) </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3523"/>
        <w:gridCol w:w="165"/>
        <w:gridCol w:w="1100"/>
        <w:gridCol w:w="151"/>
        <w:gridCol w:w="133"/>
        <w:gridCol w:w="165"/>
        <w:gridCol w:w="1100"/>
        <w:gridCol w:w="151"/>
        <w:gridCol w:w="133"/>
        <w:gridCol w:w="178"/>
        <w:gridCol w:w="1227"/>
        <w:gridCol w:w="165"/>
        <w:gridCol w:w="133"/>
        <w:gridCol w:w="165"/>
        <w:gridCol w:w="1155"/>
        <w:gridCol w:w="561"/>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23" w:type="dxa"/>
            <w:tcBorders/>
            <w:shd w:fill="auto" w:val="clear"/>
            <w:vAlign w:val="center"/>
          </w:tcPr>
          <w:p>
            <w:pPr>
              <w:pStyle w:val="TableContents"/>
              <w:spacing w:before="0" w:after="0"/>
              <w:ind w:left="0" w:right="0" w:firstLine="30"/>
              <w:rPr/>
            </w:pPr>
            <w:r>
              <w:rPr/>
              <w:t> </w:t>
            </w:r>
          </w:p>
        </w:tc>
        <w:tc>
          <w:tcPr>
            <w:tcW w:w="6682"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 2013</w:t>
            </w:r>
          </w:p>
        </w:tc>
      </w:tr>
      <w:tr>
        <w:trPr/>
        <w:tc>
          <w:tcPr>
            <w:tcW w:w="3523" w:type="dxa"/>
            <w:tcBorders/>
            <w:shd w:fill="auto" w:val="clear"/>
            <w:vAlign w:val="center"/>
          </w:tcPr>
          <w:p>
            <w:pPr>
              <w:pStyle w:val="TableContents"/>
              <w:spacing w:before="0" w:after="0"/>
              <w:ind w:left="0" w:right="0" w:firstLine="30"/>
              <w:rPr/>
            </w:pPr>
            <w:r>
              <w:rPr/>
              <w:t> </w:t>
            </w:r>
          </w:p>
        </w:tc>
        <w:tc>
          <w:tcPr>
            <w:tcW w:w="14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3" w:type="dxa"/>
            <w:tcBorders/>
            <w:shd w:fill="auto" w:val="clear"/>
            <w:vAlign w:val="center"/>
          </w:tcPr>
          <w:p>
            <w:pPr>
              <w:pStyle w:val="TableContents"/>
              <w:spacing w:before="0" w:after="0"/>
              <w:ind w:left="0" w:right="0" w:firstLine="30"/>
              <w:rPr/>
            </w:pPr>
            <w:r>
              <w:rPr/>
              <w:t> </w:t>
            </w:r>
          </w:p>
        </w:tc>
        <w:tc>
          <w:tcPr>
            <w:tcW w:w="14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3" w:type="dxa"/>
            <w:tcBorders/>
            <w:shd w:fill="auto" w:val="clear"/>
            <w:vAlign w:val="center"/>
          </w:tcPr>
          <w:p>
            <w:pPr>
              <w:pStyle w:val="TableContents"/>
              <w:spacing w:before="0" w:after="0"/>
              <w:ind w:left="0" w:right="0" w:firstLine="30"/>
              <w:rPr/>
            </w:pPr>
            <w:r>
              <w:rPr/>
              <w:t> </w:t>
            </w:r>
          </w:p>
        </w:tc>
        <w:tc>
          <w:tcPr>
            <w:tcW w:w="15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3" w:type="dxa"/>
            <w:tcBorders/>
            <w:shd w:fill="auto" w:val="clear"/>
            <w:vAlign w:val="center"/>
          </w:tcPr>
          <w:p>
            <w:pPr>
              <w:pStyle w:val="TableContents"/>
              <w:spacing w:before="0" w:after="0"/>
              <w:ind w:left="0" w:right="0" w:firstLine="30"/>
              <w:rPr/>
            </w:pPr>
            <w:r>
              <w:rPr/>
              <w:t> </w:t>
            </w:r>
          </w:p>
        </w:tc>
        <w:tc>
          <w:tcPr>
            <w:tcW w:w="18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881" w:type="dxa"/>
            <w:gridSpan w:val="3"/>
            <w:tcBorders/>
            <w:shd w:fill="CCEEFF" w:val="clear"/>
            <w:vAlign w:val="center"/>
          </w:tcPr>
          <w:p>
            <w:pPr>
              <w:pStyle w:val="TableContents"/>
              <w:spacing w:before="0" w:after="0"/>
              <w:ind w:left="0" w:right="0" w:firstLine="300"/>
              <w:rPr/>
            </w:pPr>
            <w:r>
              <w:rPr/>
              <w:t> </w:t>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shd w:fill="auto" w:val="clear"/>
            <w:vAlign w:val="center"/>
          </w:tcPr>
          <w:p>
            <w:pPr>
              <w:pStyle w:val="TableContents"/>
              <w:spacing w:before="0" w:after="0"/>
              <w:jc w:val="right"/>
              <w:rPr>
                <w:rFonts w:ascii="inherit" w:hAnsi="inherit"/>
                <w:sz w:val="17"/>
              </w:rPr>
            </w:pPr>
            <w:r>
              <w:rPr>
                <w:rFonts w:ascii="inherit" w:hAnsi="inherit"/>
                <w:sz w:val="17"/>
              </w:rPr>
              <w:t>72,944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shd w:fill="auto" w:val="clear"/>
            <w:vAlign w:val="center"/>
          </w:tcPr>
          <w:p>
            <w:pPr>
              <w:pStyle w:val="TableContents"/>
              <w:spacing w:before="0" w:after="0"/>
              <w:jc w:val="right"/>
              <w:rPr>
                <w:rFonts w:ascii="inherit" w:hAnsi="inherit"/>
                <w:sz w:val="17"/>
              </w:rPr>
            </w:pPr>
            <w:r>
              <w:rPr>
                <w:rFonts w:ascii="inherit" w:hAnsi="inherit"/>
                <w:sz w:val="17"/>
              </w:rPr>
              <w:t>14,560</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7" w:type="dxa"/>
            <w:tcBorders/>
            <w:shd w:fill="auto" w:val="clear"/>
            <w:vAlign w:val="center"/>
          </w:tcPr>
          <w:p>
            <w:pPr>
              <w:pStyle w:val="TableContents"/>
              <w:spacing w:before="0" w:after="0"/>
              <w:jc w:val="right"/>
              <w:rPr/>
            </w:pPr>
            <w:r>
              <w:rPr/>
              <w:t>—</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5" w:type="dxa"/>
            <w:tcBorders/>
            <w:shd w:fill="auto" w:val="clear"/>
            <w:vAlign w:val="center"/>
          </w:tcPr>
          <w:p>
            <w:pPr>
              <w:pStyle w:val="TableContents"/>
              <w:spacing w:before="0" w:after="0"/>
              <w:jc w:val="right"/>
              <w:rPr>
                <w:rFonts w:ascii="inherit" w:hAnsi="inherit"/>
                <w:sz w:val="17"/>
              </w:rPr>
            </w:pPr>
            <w:r>
              <w:rPr>
                <w:rFonts w:ascii="inherit" w:hAnsi="inherit"/>
                <w:sz w:val="17"/>
              </w:rPr>
              <w:t>87,504</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14,385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18,123</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56,573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6,969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05" w:type="dxa"/>
            <w:gridSpan w:val="2"/>
            <w:tcBorders/>
            <w:shd w:fill="auto" w:val="clear"/>
            <w:vAlign w:val="center"/>
          </w:tcPr>
          <w:p>
            <w:pPr>
              <w:pStyle w:val="TableContents"/>
              <w:spacing w:before="0" w:after="0"/>
              <w:jc w:val="right"/>
              <w:rPr/>
            </w:pPr>
            <w:r>
              <w:rPr/>
              <w:t>—</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63,542</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47,853</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13,878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3,454</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65,185</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(356</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2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317</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191,399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39,462</w:t>
            </w:r>
          </w:p>
        </w:tc>
        <w:tc>
          <w:tcPr>
            <w:tcW w:w="1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3,505</w:t>
            </w:r>
          </w:p>
        </w:tc>
        <w:tc>
          <w:tcPr>
            <w:tcW w:w="16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234,366</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44,211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9,695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05" w:type="dxa"/>
            <w:gridSpan w:val="2"/>
            <w:tcBorders/>
            <w:shd w:fill="auto" w:val="clear"/>
            <w:vAlign w:val="center"/>
          </w:tcPr>
          <w:p>
            <w:pPr>
              <w:pStyle w:val="TableContents"/>
              <w:spacing w:before="0" w:after="0"/>
              <w:jc w:val="right"/>
              <w:rPr/>
            </w:pPr>
            <w:r>
              <w:rPr/>
              <w:t>—</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53,906</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11,715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15,140</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15,732</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911</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3,734</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20,377</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119,741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25,431</w:t>
            </w:r>
          </w:p>
        </w:tc>
        <w:tc>
          <w:tcPr>
            <w:tcW w:w="1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(229</w:t>
            </w:r>
          </w:p>
        </w:tc>
        <w:tc>
          <w:tcPr>
            <w:tcW w:w="16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144,943</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0"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pPr>
            <w:r>
              <w:rPr/>
              <w:t>—</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84,828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16,013</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104,879</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4,567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1,866</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6,558</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(income), net</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3,074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3,082</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loss of unconsolidated affiliates</w:t>
            </w:r>
          </w:p>
        </w:tc>
        <w:tc>
          <w:tcPr>
            <w:tcW w:w="1265"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1,613</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1,613</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Impairment of investments</w:t>
            </w:r>
          </w:p>
        </w:tc>
        <w:tc>
          <w:tcPr>
            <w:tcW w:w="1265"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44,598</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44,598</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26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6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0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222</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244</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 (loss)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shd w:fill="auto" w:val="clear"/>
            <w:vAlign w:val="center"/>
          </w:tcPr>
          <w:p>
            <w:pPr>
              <w:pStyle w:val="TableContents"/>
              <w:spacing w:before="0" w:after="0"/>
              <w:jc w:val="right"/>
              <w:rPr>
                <w:rFonts w:ascii="inherit" w:hAnsi="inherit"/>
                <w:sz w:val="17"/>
              </w:rPr>
            </w:pPr>
            <w:r>
              <w:rPr>
                <w:rFonts w:ascii="inherit" w:hAnsi="inherit"/>
                <w:sz w:val="17"/>
              </w:rPr>
              <w:t>30,253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4,459</w:t>
            </w:r>
          </w:p>
        </w:tc>
        <w:tc>
          <w:tcPr>
            <w:tcW w:w="15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78"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2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(50,824</w:t>
            </w:r>
          </w:p>
        </w:tc>
        <w:tc>
          <w:tcPr>
            <w:tcW w:w="16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5" w:type="dxa"/>
            <w:tcBorders/>
            <w:shd w:fill="auto" w:val="clear"/>
            <w:vAlign w:val="center"/>
          </w:tcPr>
          <w:p>
            <w:pPr>
              <w:pStyle w:val="TableContents"/>
              <w:spacing w:before="0" w:after="0"/>
              <w:jc w:val="right"/>
              <w:rPr>
                <w:rFonts w:ascii="inherit" w:hAnsi="inherit"/>
                <w:sz w:val="17"/>
              </w:rPr>
            </w:pPr>
            <w:r>
              <w:rPr>
                <w:rFonts w:ascii="inherit" w:hAnsi="inherit"/>
                <w:sz w:val="17"/>
              </w:rPr>
              <w:t>(16,112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881" w:type="dxa"/>
            <w:gridSpan w:val="3"/>
            <w:tcBorders/>
            <w:shd w:fill="CCEEFF" w:val="clear"/>
            <w:vAlign w:val="center"/>
          </w:tcPr>
          <w:p>
            <w:pPr>
              <w:pStyle w:val="TableContents"/>
              <w:spacing w:before="0" w:after="0"/>
              <w:ind w:left="0" w:right="0" w:firstLine="300"/>
              <w:rPr/>
            </w:pPr>
            <w:r>
              <w:rPr/>
              <w:t> </w:t>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0"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17,556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2,373</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0"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1,133</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1,057</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0"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(449</w:t>
            </w:r>
          </w:p>
        </w:tc>
        <w:tc>
          <w:tcPr>
            <w:tcW w:w="56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continuing operations before income taxes</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(37,782</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0"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(12,509</w:t>
            </w:r>
          </w:p>
        </w:tc>
        <w:tc>
          <w:tcPr>
            <w:tcW w:w="56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continuing operations, net of tax</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(25,273</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discontinued operations, net of tax</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0"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1,503</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loss</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(23,770</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939"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33"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0"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970</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loss attributable to EZCORP, Inc.</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16"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(24,740</w:t>
            </w:r>
          </w:p>
        </w:tc>
        <w:tc>
          <w:tcPr>
            <w:tcW w:w="5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8</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30" w:name="s7DC73E90219A8043997E83E2838AEAE71"/>
      <w:bookmarkStart w:id="31" w:name="s7DC73E90219A8043997E83E2838AEAE71"/>
      <w:bookmarkEnd w:id="31"/>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3547"/>
        <w:gridCol w:w="165"/>
        <w:gridCol w:w="1106"/>
        <w:gridCol w:w="151"/>
        <w:gridCol w:w="133"/>
        <w:gridCol w:w="165"/>
        <w:gridCol w:w="1106"/>
        <w:gridCol w:w="151"/>
        <w:gridCol w:w="133"/>
        <w:gridCol w:w="208"/>
        <w:gridCol w:w="1179"/>
        <w:gridCol w:w="191"/>
        <w:gridCol w:w="133"/>
        <w:gridCol w:w="165"/>
        <w:gridCol w:w="1106"/>
        <w:gridCol w:w="56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4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7" w:type="dxa"/>
            <w:tcBorders/>
            <w:shd w:fill="auto" w:val="clear"/>
            <w:vAlign w:val="center"/>
          </w:tcPr>
          <w:p>
            <w:pPr>
              <w:pStyle w:val="TableContents"/>
              <w:spacing w:before="0" w:after="0"/>
              <w:ind w:left="0" w:right="0" w:firstLine="30"/>
              <w:rPr/>
            </w:pPr>
            <w:r>
              <w:rPr/>
              <w:t> </w:t>
            </w:r>
          </w:p>
        </w:tc>
        <w:tc>
          <w:tcPr>
            <w:tcW w:w="665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September 30, 2012</w:t>
            </w:r>
          </w:p>
        </w:tc>
      </w:tr>
      <w:tr>
        <w:trPr/>
        <w:tc>
          <w:tcPr>
            <w:tcW w:w="3547" w:type="dxa"/>
            <w:tcBorders/>
            <w:shd w:fill="auto" w:val="clear"/>
            <w:vAlign w:val="center"/>
          </w:tcPr>
          <w:p>
            <w:pPr>
              <w:pStyle w:val="TableContents"/>
              <w:spacing w:before="0" w:after="0"/>
              <w:ind w:left="0" w:right="0" w:firstLine="30"/>
              <w:rPr/>
            </w:pPr>
            <w:r>
              <w:rPr/>
              <w:t> </w:t>
            </w:r>
          </w:p>
        </w:tc>
        <w:tc>
          <w:tcPr>
            <w:tcW w:w="14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3" w:type="dxa"/>
            <w:tcBorders/>
            <w:shd w:fill="auto" w:val="clear"/>
            <w:vAlign w:val="center"/>
          </w:tcPr>
          <w:p>
            <w:pPr>
              <w:pStyle w:val="TableContents"/>
              <w:spacing w:before="0" w:after="0"/>
              <w:ind w:left="0" w:right="0" w:firstLine="30"/>
              <w:rPr/>
            </w:pPr>
            <w:r>
              <w:rPr/>
              <w:t> </w:t>
            </w:r>
          </w:p>
        </w:tc>
        <w:tc>
          <w:tcPr>
            <w:tcW w:w="14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3" w:type="dxa"/>
            <w:tcBorders/>
            <w:shd w:fill="auto" w:val="clear"/>
            <w:vAlign w:val="center"/>
          </w:tcPr>
          <w:p>
            <w:pPr>
              <w:pStyle w:val="TableContents"/>
              <w:spacing w:before="0" w:after="0"/>
              <w:ind w:left="0" w:right="0" w:firstLine="30"/>
              <w:rPr/>
            </w:pPr>
            <w:r>
              <w:rPr/>
              <w:t> </w:t>
            </w:r>
          </w:p>
        </w:tc>
        <w:tc>
          <w:tcPr>
            <w:tcW w:w="15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3" w:type="dxa"/>
            <w:tcBorders/>
            <w:shd w:fill="auto" w:val="clear"/>
            <w:vAlign w:val="center"/>
          </w:tcPr>
          <w:p>
            <w:pPr>
              <w:pStyle w:val="TableContents"/>
              <w:spacing w:before="0" w:after="0"/>
              <w:ind w:left="0" w:right="0" w:firstLine="30"/>
              <w:rPr/>
            </w:pPr>
            <w:r>
              <w:rPr/>
              <w:t> </w:t>
            </w:r>
          </w:p>
        </w:tc>
        <w:tc>
          <w:tcPr>
            <w:tcW w:w="18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8"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837" w:type="dxa"/>
            <w:gridSpan w:val="3"/>
            <w:tcBorders/>
            <w:shd w:fill="CCEEFF" w:val="clear"/>
            <w:vAlign w:val="center"/>
          </w:tcPr>
          <w:p>
            <w:pPr>
              <w:pStyle w:val="TableContents"/>
              <w:spacing w:before="0" w:after="0"/>
              <w:ind w:left="0" w:right="0" w:firstLine="300"/>
              <w:rPr/>
            </w:pPr>
            <w:r>
              <w:rPr/>
              <w:t> </w:t>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shd w:fill="auto" w:val="clear"/>
            <w:vAlign w:val="center"/>
          </w:tcPr>
          <w:p>
            <w:pPr>
              <w:pStyle w:val="TableContents"/>
              <w:spacing w:before="0" w:after="0"/>
              <w:jc w:val="right"/>
              <w:rPr>
                <w:rFonts w:ascii="inherit" w:hAnsi="inherit"/>
                <w:sz w:val="17"/>
              </w:rPr>
            </w:pPr>
            <w:r>
              <w:rPr>
                <w:rFonts w:ascii="inherit" w:hAnsi="inherit"/>
                <w:sz w:val="17"/>
              </w:rPr>
              <w:t>64,990</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shd w:fill="auto" w:val="clear"/>
            <w:vAlign w:val="center"/>
          </w:tcPr>
          <w:p>
            <w:pPr>
              <w:pStyle w:val="TableContents"/>
              <w:spacing w:before="0" w:after="0"/>
              <w:jc w:val="right"/>
              <w:rPr>
                <w:rFonts w:ascii="inherit" w:hAnsi="inherit"/>
                <w:sz w:val="17"/>
              </w:rPr>
            </w:pPr>
            <w:r>
              <w:rPr>
                <w:rFonts w:ascii="inherit" w:hAnsi="inherit"/>
                <w:sz w:val="17"/>
              </w:rPr>
              <w:t>11,803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20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shd w:fill="auto" w:val="clear"/>
            <w:vAlign w:val="center"/>
          </w:tcPr>
          <w:p>
            <w:pPr>
              <w:pStyle w:val="TableContents"/>
              <w:spacing w:before="0" w:after="0"/>
              <w:jc w:val="right"/>
              <w:rPr>
                <w:rFonts w:ascii="inherit" w:hAnsi="inherit"/>
                <w:sz w:val="17"/>
              </w:rPr>
            </w:pPr>
            <w:r>
              <w:rPr>
                <w:rFonts w:ascii="inherit" w:hAnsi="inherit"/>
                <w:sz w:val="17"/>
              </w:rPr>
              <w:t>76,793</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52,653</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2,762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55,415</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55,778</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6,880</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62,658</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42,152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9,137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5,798</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57,087</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1,329</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529</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2,008</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216,902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31,111</w:t>
            </w:r>
          </w:p>
        </w:tc>
        <w:tc>
          <w:tcPr>
            <w:tcW w:w="1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5,948</w:t>
            </w:r>
          </w:p>
        </w:tc>
        <w:tc>
          <w:tcPr>
            <w:tcW w:w="19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253,961</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36,451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6,565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43,016</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35,756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37,908</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10,735</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(831</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2,197</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12,101</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133,960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23,225</w:t>
            </w:r>
          </w:p>
        </w:tc>
        <w:tc>
          <w:tcPr>
            <w:tcW w:w="1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3,751</w:t>
            </w:r>
          </w:p>
        </w:tc>
        <w:tc>
          <w:tcPr>
            <w:tcW w:w="19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160,936</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pPr>
            <w:r>
              <w:rPr/>
              <w:t>—</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75,718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9,478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3,138</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88,334</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3,717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(218</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3,592</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net</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(6,262</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(6,285</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271"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(4,465</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(4,465</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(993</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w:t>
            </w:r>
          </w:p>
        </w:tc>
        <w:tc>
          <w:tcPr>
            <w:tcW w:w="19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(1,054</w:t>
            </w:r>
          </w:p>
        </w:tc>
        <w:tc>
          <w:tcPr>
            <w:tcW w:w="5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shd w:fill="CCEEFF" w:val="clear"/>
            <w:vAlign w:val="center"/>
          </w:tcPr>
          <w:p>
            <w:pPr>
              <w:pStyle w:val="TableContents"/>
              <w:spacing w:before="0" w:after="0"/>
              <w:jc w:val="right"/>
              <w:rPr>
                <w:rFonts w:ascii="inherit" w:hAnsi="inherit"/>
                <w:sz w:val="17"/>
              </w:rPr>
            </w:pPr>
            <w:r>
              <w:rPr>
                <w:rFonts w:ascii="inherit" w:hAnsi="inherit"/>
                <w:sz w:val="17"/>
              </w:rPr>
              <w:t>55,689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20,220</w:t>
            </w:r>
          </w:p>
        </w:tc>
        <w:tc>
          <w:tcPr>
            <w:tcW w:w="1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20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5,039</w:t>
            </w:r>
          </w:p>
        </w:tc>
        <w:tc>
          <w:tcPr>
            <w:tcW w:w="19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shd w:fill="CCEEFF" w:val="clear"/>
            <w:vAlign w:val="center"/>
          </w:tcPr>
          <w:p>
            <w:pPr>
              <w:pStyle w:val="TableContents"/>
              <w:spacing w:before="0" w:after="0"/>
              <w:jc w:val="right"/>
              <w:rPr>
                <w:rFonts w:ascii="inherit" w:hAnsi="inherit"/>
                <w:sz w:val="17"/>
              </w:rPr>
            </w:pPr>
            <w:r>
              <w:rPr>
                <w:rFonts w:ascii="inherit" w:hAnsi="inherit"/>
                <w:sz w:val="17"/>
              </w:rPr>
              <w:t>80,948</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837" w:type="dxa"/>
            <w:gridSpan w:val="3"/>
            <w:tcBorders/>
            <w:shd w:fill="auto" w:val="clear"/>
            <w:vAlign w:val="center"/>
          </w:tcPr>
          <w:p>
            <w:pPr>
              <w:pStyle w:val="TableContents"/>
              <w:spacing w:before="0" w:after="0"/>
              <w:ind w:left="0" w:right="0" w:firstLine="300"/>
              <w:rPr/>
            </w:pPr>
            <w:r>
              <w:rPr/>
              <w:t> </w:t>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8"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14,403</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1,410</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8"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1,041</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8"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64,095</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18,588</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8"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45,507</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(1,366</w:t>
            </w:r>
          </w:p>
        </w:tc>
        <w:tc>
          <w:tcPr>
            <w:tcW w:w="5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8"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2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44,141</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69"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33" w:type="dxa"/>
            <w:tcBorders/>
            <w:shd w:fill="auto" w:val="clear"/>
            <w:vAlign w:val="center"/>
          </w:tcPr>
          <w:p>
            <w:pPr>
              <w:pStyle w:val="TableContents"/>
              <w:spacing w:before="0" w:after="0"/>
              <w:ind w:left="0" w:right="0" w:firstLine="30"/>
              <w:rPr/>
            </w:pPr>
            <w:r>
              <w:rPr/>
              <w:t> </w:t>
            </w:r>
          </w:p>
        </w:tc>
        <w:tc>
          <w:tcPr>
            <w:tcW w:w="142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7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2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5,569</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422"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578" w:type="dxa"/>
            <w:gridSpan w:val="3"/>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38,572</w:t>
            </w:r>
          </w:p>
        </w:tc>
        <w:tc>
          <w:tcPr>
            <w:tcW w:w="56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9</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32" w:name="s392F31D012863F1B85FF83E281B4FA72"/>
      <w:bookmarkStart w:id="33" w:name="s392F31D012863F1B85FF83E281B4FA72"/>
      <w:bookmarkEnd w:id="33"/>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(in thousands)</w:t>
      </w:r>
    </w:p>
    <w:p>
      <w:pPr>
        <w:pStyle w:val="TextBody"/>
        <w:spacing w:lineRule="auto" w:line="288" w:before="0" w:after="0"/>
        <w:rPr/>
      </w:pPr>
      <w:r>
        <w:rPr/>
        <w:t xml:space="preserve">  </w:t>
      </w:r>
    </w:p>
    <w:tbl>
      <w:tblPr>
        <w:tblW w:w="10205" w:type="dxa"/>
        <w:jc w:val="center"/>
        <w:tblInd w:w="0" w:type="dxa"/>
        <w:tblCellMar>
          <w:top w:w="0" w:type="dxa"/>
          <w:left w:w="0" w:type="dxa"/>
          <w:bottom w:w="0" w:type="dxa"/>
          <w:right w:w="0" w:type="dxa"/>
        </w:tblCellMar>
      </w:tblPr>
      <w:tblGrid>
        <w:gridCol w:w="3451"/>
        <w:gridCol w:w="163"/>
        <w:gridCol w:w="1178"/>
        <w:gridCol w:w="149"/>
        <w:gridCol w:w="131"/>
        <w:gridCol w:w="163"/>
        <w:gridCol w:w="1082"/>
        <w:gridCol w:w="149"/>
        <w:gridCol w:w="131"/>
        <w:gridCol w:w="177"/>
        <w:gridCol w:w="1210"/>
        <w:gridCol w:w="163"/>
        <w:gridCol w:w="131"/>
        <w:gridCol w:w="166"/>
        <w:gridCol w:w="1198"/>
        <w:gridCol w:w="56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51" w:type="dxa"/>
            <w:tcBorders/>
            <w:shd w:fill="auto" w:val="clear"/>
            <w:vAlign w:val="center"/>
          </w:tcPr>
          <w:p>
            <w:pPr>
              <w:pStyle w:val="TableContents"/>
              <w:spacing w:before="0" w:after="0"/>
              <w:ind w:left="0" w:right="0" w:firstLine="30"/>
              <w:rPr/>
            </w:pPr>
            <w:r>
              <w:rPr/>
              <w:t> </w:t>
            </w:r>
          </w:p>
        </w:tc>
        <w:tc>
          <w:tcPr>
            <w:tcW w:w="675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 2013</w:t>
            </w:r>
          </w:p>
        </w:tc>
      </w:tr>
      <w:tr>
        <w:trPr/>
        <w:tc>
          <w:tcPr>
            <w:tcW w:w="3451" w:type="dxa"/>
            <w:tcBorders/>
            <w:shd w:fill="auto" w:val="clear"/>
            <w:vAlign w:val="center"/>
          </w:tcPr>
          <w:p>
            <w:pPr>
              <w:pStyle w:val="TableContents"/>
              <w:spacing w:before="0" w:after="0"/>
              <w:ind w:left="0" w:right="0" w:firstLine="30"/>
              <w:rPr/>
            </w:pPr>
            <w:r>
              <w:rPr/>
              <w:t> </w:t>
            </w:r>
          </w:p>
        </w:tc>
        <w:tc>
          <w:tcPr>
            <w:tcW w:w="14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1" w:type="dxa"/>
            <w:tcBorders/>
            <w:shd w:fill="auto" w:val="clear"/>
            <w:vAlign w:val="center"/>
          </w:tcPr>
          <w:p>
            <w:pPr>
              <w:pStyle w:val="TableContents"/>
              <w:spacing w:before="0" w:after="0"/>
              <w:ind w:left="0" w:right="0" w:firstLine="30"/>
              <w:rPr/>
            </w:pPr>
            <w:r>
              <w:rPr/>
              <w:t> </w:t>
            </w:r>
          </w:p>
        </w:tc>
        <w:tc>
          <w:tcPr>
            <w:tcW w:w="15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1" w:type="dxa"/>
            <w:tcBorders/>
            <w:shd w:fill="auto" w:val="clear"/>
            <w:vAlign w:val="center"/>
          </w:tcPr>
          <w:p>
            <w:pPr>
              <w:pStyle w:val="TableContents"/>
              <w:spacing w:before="0" w:after="0"/>
              <w:ind w:left="0" w:right="0" w:firstLine="30"/>
              <w:rPr/>
            </w:pPr>
            <w:r>
              <w:rPr/>
              <w:t> </w:t>
            </w:r>
          </w:p>
        </w:tc>
        <w:tc>
          <w:tcPr>
            <w:tcW w:w="19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9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927" w:type="dxa"/>
            <w:gridSpan w:val="3"/>
            <w:tcBorders/>
            <w:shd w:fill="CCEEFF" w:val="clear"/>
            <w:vAlign w:val="center"/>
          </w:tcPr>
          <w:p>
            <w:pPr>
              <w:pStyle w:val="TableContents"/>
              <w:spacing w:before="0" w:after="0"/>
              <w:ind w:left="0" w:right="0" w:firstLine="300"/>
              <w:rPr/>
            </w:pPr>
            <w:r>
              <w:rPr/>
              <w:t> </w:t>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78" w:type="dxa"/>
            <w:tcBorders/>
            <w:shd w:fill="auto" w:val="clear"/>
            <w:vAlign w:val="center"/>
          </w:tcPr>
          <w:p>
            <w:pPr>
              <w:pStyle w:val="TableContents"/>
              <w:spacing w:before="0" w:after="0"/>
              <w:jc w:val="right"/>
              <w:rPr>
                <w:rFonts w:ascii="inherit" w:hAnsi="inherit"/>
                <w:sz w:val="17"/>
              </w:rPr>
            </w:pPr>
            <w:r>
              <w:rPr>
                <w:rFonts w:ascii="inherit" w:hAnsi="inherit"/>
                <w:sz w:val="17"/>
              </w:rPr>
              <w:t>310,521</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82" w:type="dxa"/>
            <w:tcBorders/>
            <w:shd w:fill="auto" w:val="clear"/>
            <w:vAlign w:val="center"/>
          </w:tcPr>
          <w:p>
            <w:pPr>
              <w:pStyle w:val="TableContents"/>
              <w:spacing w:before="0" w:after="0"/>
              <w:jc w:val="right"/>
              <w:rPr>
                <w:rFonts w:ascii="inherit" w:hAnsi="inherit"/>
                <w:sz w:val="17"/>
              </w:rPr>
            </w:pPr>
            <w:r>
              <w:rPr>
                <w:rFonts w:ascii="inherit" w:hAnsi="inherit"/>
                <w:sz w:val="17"/>
              </w:rPr>
              <w:t>58,245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0" w:type="dxa"/>
            <w:tcBorders/>
            <w:shd w:fill="auto" w:val="clear"/>
            <w:vAlign w:val="center"/>
          </w:tcPr>
          <w:p>
            <w:pPr>
              <w:pStyle w:val="TableContents"/>
              <w:spacing w:before="0" w:after="0"/>
              <w:jc w:val="right"/>
              <w:rPr/>
            </w:pPr>
            <w:r>
              <w:rPr/>
              <w:t>—</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8" w:type="dxa"/>
            <w:tcBorders/>
            <w:shd w:fill="auto" w:val="clear"/>
            <w:vAlign w:val="center"/>
          </w:tcPr>
          <w:p>
            <w:pPr>
              <w:pStyle w:val="TableContents"/>
              <w:spacing w:before="0" w:after="0"/>
              <w:jc w:val="right"/>
              <w:rPr>
                <w:rFonts w:ascii="inherit" w:hAnsi="inherit"/>
                <w:sz w:val="17"/>
              </w:rPr>
            </w:pPr>
            <w:r>
              <w:rPr>
                <w:rFonts w:ascii="inherit" w:hAnsi="inherit"/>
                <w:sz w:val="17"/>
              </w:rPr>
              <w:t>368,766</w:t>
            </w:r>
          </w:p>
        </w:tc>
        <w:tc>
          <w:tcPr>
            <w:tcW w:w="5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3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123,162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8,540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pPr>
            <w:r>
              <w:rPr/>
              <w:t>—</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131,702</w:t>
            </w:r>
          </w:p>
        </w:tc>
        <w:tc>
          <w:tcPr>
            <w:tcW w:w="5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221,775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29,579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pPr>
            <w:r>
              <w:rPr/>
              <w:t>—</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251,354</w:t>
            </w:r>
          </w:p>
        </w:tc>
        <w:tc>
          <w:tcPr>
            <w:tcW w:w="5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3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174,726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50,461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23,117</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248,304</w:t>
            </w:r>
          </w:p>
        </w:tc>
        <w:tc>
          <w:tcPr>
            <w:tcW w:w="5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3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5,113</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3,197</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1,871</w:t>
            </w:r>
          </w:p>
        </w:tc>
        <w:tc>
          <w:tcPr>
            <w:tcW w:w="1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10,181</w:t>
            </w:r>
          </w:p>
        </w:tc>
        <w:tc>
          <w:tcPr>
            <w:tcW w:w="563"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3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835,297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150,022</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24,988</w:t>
            </w:r>
          </w:p>
        </w:tc>
        <w:tc>
          <w:tcPr>
            <w:tcW w:w="16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1,010,307</w:t>
            </w:r>
          </w:p>
        </w:tc>
        <w:tc>
          <w:tcPr>
            <w:tcW w:w="56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3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183,147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35,470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pPr>
            <w:r>
              <w:rPr/>
              <w:t>—</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218,617</w:t>
            </w:r>
          </w:p>
        </w:tc>
        <w:tc>
          <w:tcPr>
            <w:tcW w:w="5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3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88,637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7,496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pPr>
            <w:r>
              <w:rPr/>
              <w:t>—</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96,133</w:t>
            </w:r>
          </w:p>
        </w:tc>
        <w:tc>
          <w:tcPr>
            <w:tcW w:w="5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3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43,095</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11,891</w:t>
            </w:r>
          </w:p>
        </w:tc>
        <w:tc>
          <w:tcPr>
            <w:tcW w:w="1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54,873</w:t>
            </w:r>
          </w:p>
        </w:tc>
        <w:tc>
          <w:tcPr>
            <w:tcW w:w="563"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520,418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107,169</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13,097</w:t>
            </w:r>
          </w:p>
        </w:tc>
        <w:tc>
          <w:tcPr>
            <w:tcW w:w="16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640,684</w:t>
            </w:r>
          </w:p>
        </w:tc>
        <w:tc>
          <w:tcPr>
            <w:tcW w:w="56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49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927" w:type="dxa"/>
            <w:gridSpan w:val="3"/>
            <w:tcBorders/>
            <w:shd w:fill="auto" w:val="clear"/>
            <w:vAlign w:val="center"/>
          </w:tcPr>
          <w:p>
            <w:pPr>
              <w:pStyle w:val="TableContents"/>
              <w:spacing w:before="0" w:after="0"/>
              <w:ind w:left="0" w:right="0" w:firstLine="300"/>
              <w:rPr/>
            </w:pPr>
            <w:r>
              <w:rPr/>
              <w:t> </w:t>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3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336,421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62,496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15,308</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414,225</w:t>
            </w:r>
          </w:p>
        </w:tc>
        <w:tc>
          <w:tcPr>
            <w:tcW w:w="5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3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17,962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6,933</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462</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25,357</w:t>
            </w:r>
          </w:p>
        </w:tc>
        <w:tc>
          <w:tcPr>
            <w:tcW w:w="5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3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pPr>
            <w:r>
              <w:rPr/>
              <w:t>—</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301</w:t>
            </w:r>
          </w:p>
        </w:tc>
        <w:tc>
          <w:tcPr>
            <w:tcW w:w="5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(income), net</w:t>
            </w:r>
          </w:p>
        </w:tc>
        <w:tc>
          <w:tcPr>
            <w:tcW w:w="13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11,279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11,293</w:t>
            </w:r>
          </w:p>
        </w:tc>
        <w:tc>
          <w:tcPr>
            <w:tcW w:w="5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341"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(11,878</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(11,878</w:t>
            </w:r>
          </w:p>
        </w:tc>
        <w:tc>
          <w:tcPr>
            <w:tcW w:w="5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Impairment of investments</w:t>
            </w:r>
          </w:p>
        </w:tc>
        <w:tc>
          <w:tcPr>
            <w:tcW w:w="1341"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44,598</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44,598</w:t>
            </w:r>
          </w:p>
        </w:tc>
        <w:tc>
          <w:tcPr>
            <w:tcW w:w="5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3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(218</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3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153</w:t>
            </w:r>
          </w:p>
        </w:tc>
        <w:tc>
          <w:tcPr>
            <w:tcW w:w="16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w:t>
            </w:r>
          </w:p>
        </w:tc>
        <w:tc>
          <w:tcPr>
            <w:tcW w:w="56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78" w:type="dxa"/>
            <w:tcBorders/>
            <w:shd w:fill="auto" w:val="clear"/>
            <w:vAlign w:val="center"/>
          </w:tcPr>
          <w:p>
            <w:pPr>
              <w:pStyle w:val="TableContents"/>
              <w:spacing w:before="0" w:after="0"/>
              <w:jc w:val="right"/>
              <w:rPr>
                <w:rFonts w:ascii="inherit" w:hAnsi="inherit"/>
                <w:sz w:val="17"/>
              </w:rPr>
            </w:pPr>
            <w:r>
              <w:rPr>
                <w:rFonts w:ascii="inherit" w:hAnsi="inherit"/>
                <w:sz w:val="17"/>
              </w:rPr>
              <w:t>165,738</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3"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8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26,662</w:t>
            </w:r>
          </w:p>
        </w:tc>
        <w:tc>
          <w:tcPr>
            <w:tcW w:w="14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7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21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(35,544</w:t>
            </w:r>
          </w:p>
        </w:tc>
        <w:tc>
          <w:tcPr>
            <w:tcW w:w="16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98"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156,856</w:t>
            </w:r>
          </w:p>
        </w:tc>
        <w:tc>
          <w:tcPr>
            <w:tcW w:w="56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49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927" w:type="dxa"/>
            <w:gridSpan w:val="3"/>
            <w:tcBorders/>
            <w:shd w:fill="CCEEFF" w:val="clear"/>
            <w:vAlign w:val="center"/>
          </w:tcPr>
          <w:p>
            <w:pPr>
              <w:pStyle w:val="TableContents"/>
              <w:spacing w:before="0" w:after="0"/>
              <w:ind w:left="0" w:right="0" w:firstLine="300"/>
              <w:rPr/>
            </w:pPr>
            <w:r>
              <w:rPr/>
              <w:t> </w:t>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9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52,474</w:t>
            </w:r>
          </w:p>
        </w:tc>
        <w:tc>
          <w:tcPr>
            <w:tcW w:w="5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9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8,203</w:t>
            </w:r>
          </w:p>
        </w:tc>
        <w:tc>
          <w:tcPr>
            <w:tcW w:w="5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49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1,133</w:t>
            </w:r>
          </w:p>
        </w:tc>
        <w:tc>
          <w:tcPr>
            <w:tcW w:w="5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9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3,873</w:t>
            </w:r>
          </w:p>
        </w:tc>
        <w:tc>
          <w:tcPr>
            <w:tcW w:w="5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49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(137</w:t>
            </w:r>
          </w:p>
        </w:tc>
        <w:tc>
          <w:tcPr>
            <w:tcW w:w="56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49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91,310</w:t>
            </w:r>
          </w:p>
        </w:tc>
        <w:tc>
          <w:tcPr>
            <w:tcW w:w="5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49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29,575</w:t>
            </w:r>
          </w:p>
        </w:tc>
        <w:tc>
          <w:tcPr>
            <w:tcW w:w="5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49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61,735</w:t>
            </w:r>
          </w:p>
        </w:tc>
        <w:tc>
          <w:tcPr>
            <w:tcW w:w="5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49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(23,310</w:t>
            </w:r>
          </w:p>
        </w:tc>
        <w:tc>
          <w:tcPr>
            <w:tcW w:w="56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9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38,425</w:t>
            </w:r>
          </w:p>
        </w:tc>
        <w:tc>
          <w:tcPr>
            <w:tcW w:w="5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1"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31" w:type="dxa"/>
            <w:tcBorders/>
            <w:shd w:fill="auto" w:val="clear"/>
            <w:vAlign w:val="center"/>
          </w:tcPr>
          <w:p>
            <w:pPr>
              <w:pStyle w:val="TableContents"/>
              <w:spacing w:before="0" w:after="0"/>
              <w:ind w:left="0" w:right="0" w:firstLine="30"/>
              <w:rPr/>
            </w:pPr>
            <w:r>
              <w:rPr/>
              <w:t> </w:t>
            </w:r>
          </w:p>
        </w:tc>
        <w:tc>
          <w:tcPr>
            <w:tcW w:w="13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0"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4,348</w:t>
            </w:r>
          </w:p>
        </w:tc>
        <w:tc>
          <w:tcPr>
            <w:tcW w:w="5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49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0"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34,077</w:t>
            </w:r>
          </w:p>
        </w:tc>
        <w:tc>
          <w:tcPr>
            <w:tcW w:w="56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10</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34" w:name="s392F31D012863F1B85FF83E281B4FA721"/>
      <w:bookmarkStart w:id="35" w:name="s392F31D012863F1B85FF83E281B4FA721"/>
      <w:bookmarkEnd w:id="35"/>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Operating Segment Results (Unaudited)</w:t>
      </w:r>
    </w:p>
    <w:p>
      <w:pPr>
        <w:pStyle w:val="TextBody"/>
        <w:spacing w:lineRule="auto" w:line="288" w:before="0" w:after="0"/>
        <w:jc w:val="center"/>
        <w:rPr>
          <w:rFonts w:ascii="inherit" w:hAnsi="inherit"/>
          <w:i/>
          <w:sz w:val="17"/>
        </w:rPr>
      </w:pPr>
      <w:r>
        <w:rPr>
          <w:rFonts w:ascii="inherit" w:hAnsi="inherit"/>
          <w:i/>
          <w:sz w:val="17"/>
        </w:rPr>
        <w:t>(in thousands)</w:t>
      </w:r>
    </w:p>
    <w:tbl>
      <w:tblPr>
        <w:tblW w:w="10205" w:type="dxa"/>
        <w:jc w:val="center"/>
        <w:tblInd w:w="0" w:type="dxa"/>
        <w:tblCellMar>
          <w:top w:w="0" w:type="dxa"/>
          <w:left w:w="0" w:type="dxa"/>
          <w:bottom w:w="0" w:type="dxa"/>
          <w:right w:w="0" w:type="dxa"/>
        </w:tblCellMar>
      </w:tblPr>
      <w:tblGrid>
        <w:gridCol w:w="3462"/>
        <w:gridCol w:w="163"/>
        <w:gridCol w:w="1180"/>
        <w:gridCol w:w="149"/>
        <w:gridCol w:w="131"/>
        <w:gridCol w:w="163"/>
        <w:gridCol w:w="1085"/>
        <w:gridCol w:w="149"/>
        <w:gridCol w:w="131"/>
        <w:gridCol w:w="186"/>
        <w:gridCol w:w="1195"/>
        <w:gridCol w:w="171"/>
        <w:gridCol w:w="131"/>
        <w:gridCol w:w="163"/>
        <w:gridCol w:w="1180"/>
        <w:gridCol w:w="56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6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62" w:type="dxa"/>
            <w:tcBorders/>
            <w:shd w:fill="auto" w:val="clear"/>
            <w:vAlign w:val="center"/>
          </w:tcPr>
          <w:p>
            <w:pPr>
              <w:pStyle w:val="TableContents"/>
              <w:spacing w:before="0" w:after="0"/>
              <w:ind w:left="0" w:right="0" w:firstLine="30"/>
              <w:rPr/>
            </w:pPr>
            <w:r>
              <w:rPr/>
              <w:t> </w:t>
            </w:r>
          </w:p>
        </w:tc>
        <w:tc>
          <w:tcPr>
            <w:tcW w:w="6743"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 2012</w:t>
            </w:r>
          </w:p>
        </w:tc>
      </w:tr>
      <w:tr>
        <w:trPr/>
        <w:tc>
          <w:tcPr>
            <w:tcW w:w="3462" w:type="dxa"/>
            <w:tcBorders/>
            <w:shd w:fill="auto" w:val="clear"/>
            <w:vAlign w:val="center"/>
          </w:tcPr>
          <w:p>
            <w:pPr>
              <w:pStyle w:val="TableContents"/>
              <w:spacing w:before="0" w:after="0"/>
              <w:ind w:left="0" w:right="0" w:firstLine="30"/>
              <w:rPr/>
            </w:pPr>
            <w:r>
              <w:rPr/>
              <w:t> </w:t>
            </w:r>
          </w:p>
        </w:tc>
        <w:tc>
          <w:tcPr>
            <w:tcW w:w="14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1" w:type="dxa"/>
            <w:tcBorders/>
            <w:shd w:fill="auto" w:val="clear"/>
            <w:vAlign w:val="center"/>
          </w:tcPr>
          <w:p>
            <w:pPr>
              <w:pStyle w:val="TableContents"/>
              <w:spacing w:before="0" w:after="0"/>
              <w:ind w:left="0" w:right="0" w:firstLine="30"/>
              <w:rPr/>
            </w:pPr>
            <w:r>
              <w:rPr/>
              <w:t> </w:t>
            </w:r>
          </w:p>
        </w:tc>
        <w:tc>
          <w:tcPr>
            <w:tcW w:w="13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1" w:type="dxa"/>
            <w:tcBorders/>
            <w:shd w:fill="auto" w:val="clear"/>
            <w:vAlign w:val="center"/>
          </w:tcPr>
          <w:p>
            <w:pPr>
              <w:pStyle w:val="TableContents"/>
              <w:spacing w:before="0" w:after="0"/>
              <w:ind w:left="0" w:right="0" w:firstLine="30"/>
              <w:rPr/>
            </w:pPr>
            <w:r>
              <w:rPr/>
              <w:t> </w:t>
            </w:r>
          </w:p>
        </w:tc>
        <w:tc>
          <w:tcPr>
            <w:tcW w:w="15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1" w:type="dxa"/>
            <w:tcBorders/>
            <w:shd w:fill="auto" w:val="clear"/>
            <w:vAlign w:val="center"/>
          </w:tcPr>
          <w:p>
            <w:pPr>
              <w:pStyle w:val="TableContents"/>
              <w:spacing w:before="0" w:after="0"/>
              <w:ind w:left="0" w:right="0" w:firstLine="30"/>
              <w:rPr/>
            </w:pPr>
            <w:r>
              <w:rPr/>
              <w:t> </w:t>
            </w:r>
          </w:p>
        </w:tc>
        <w:tc>
          <w:tcPr>
            <w:tcW w:w="19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9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0"/>
              <w:rPr/>
            </w:pPr>
            <w:r>
              <w:rPr/>
              <w:t> </w:t>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291,497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shd w:fill="auto" w:val="clear"/>
            <w:vAlign w:val="center"/>
          </w:tcPr>
          <w:p>
            <w:pPr>
              <w:pStyle w:val="TableContents"/>
              <w:spacing w:before="0" w:after="0"/>
              <w:jc w:val="right"/>
              <w:rPr>
                <w:rFonts w:ascii="inherit" w:hAnsi="inherit"/>
                <w:sz w:val="17"/>
              </w:rPr>
            </w:pPr>
            <w:r>
              <w:rPr>
                <w:rFonts w:ascii="inherit" w:hAnsi="inherit"/>
                <w:sz w:val="17"/>
              </w:rPr>
              <w:t>41,567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8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auto" w:val="clear"/>
            <w:vAlign w:val="center"/>
          </w:tcPr>
          <w:p>
            <w:pPr>
              <w:pStyle w:val="TableContents"/>
              <w:spacing w:before="0" w:after="0"/>
              <w:jc w:val="right"/>
              <w:rPr/>
            </w:pPr>
            <w:r>
              <w:rPr/>
              <w:t>—</w:t>
            </w:r>
          </w:p>
        </w:tc>
        <w:tc>
          <w:tcPr>
            <w:tcW w:w="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333,064</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191,905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10,576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pPr>
            <w:r>
              <w:rPr/>
              <w:t>—</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202,481</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210,601</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22,937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pPr>
            <w:r>
              <w:rPr/>
              <w:t>—</w:t>
            </w:r>
          </w:p>
        </w:tc>
        <w:tc>
          <w:tcPr>
            <w:tcW w:w="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233,538</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163,896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26,901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9,884</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200,681</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3,759</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1,292</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308</w:t>
            </w:r>
          </w:p>
        </w:tc>
        <w:tc>
          <w:tcPr>
            <w:tcW w:w="1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5,359</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861,658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103,273</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10,192</w:t>
            </w:r>
          </w:p>
        </w:tc>
        <w:tc>
          <w:tcPr>
            <w:tcW w:w="1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975,123</w:t>
            </w:r>
          </w:p>
        </w:tc>
        <w:tc>
          <w:tcPr>
            <w:tcW w:w="5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168,133</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22,504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pPr>
            <w:r>
              <w:rPr/>
              <w:t>—</w:t>
            </w:r>
          </w:p>
        </w:tc>
        <w:tc>
          <w:tcPr>
            <w:tcW w:w="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190,637</w:t>
            </w:r>
          </w:p>
        </w:tc>
        <w:tc>
          <w:tcPr>
            <w:tcW w:w="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122,604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8,111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pPr>
            <w:r>
              <w:rPr/>
              <w:t>—</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130,715</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35,398</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309</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3,663</w:t>
            </w:r>
          </w:p>
        </w:tc>
        <w:tc>
          <w:tcPr>
            <w:tcW w:w="1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39,370</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535,523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72,349</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6,529</w:t>
            </w:r>
          </w:p>
        </w:tc>
        <w:tc>
          <w:tcPr>
            <w:tcW w:w="1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614,401</w:t>
            </w:r>
          </w:p>
        </w:tc>
        <w:tc>
          <w:tcPr>
            <w:tcW w:w="5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items:</w:t>
            </w:r>
          </w:p>
        </w:tc>
        <w:tc>
          <w:tcPr>
            <w:tcW w:w="149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909" w:type="dxa"/>
            <w:gridSpan w:val="3"/>
            <w:tcBorders/>
            <w:shd w:fill="auto" w:val="clear"/>
            <w:vAlign w:val="center"/>
          </w:tcPr>
          <w:p>
            <w:pPr>
              <w:pStyle w:val="TableContents"/>
              <w:spacing w:before="0" w:after="0"/>
              <w:ind w:left="0" w:right="0" w:firstLine="300"/>
              <w:rPr/>
            </w:pPr>
            <w:r>
              <w:rPr/>
              <w:t> </w:t>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292,371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37,259</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6,718</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336,348</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13,579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4,689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223</w:t>
            </w:r>
          </w:p>
        </w:tc>
        <w:tc>
          <w:tcPr>
            <w:tcW w:w="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18,491</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net</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(4,507</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(4,511</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343"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(17,400</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(17,400</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(647</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(559</w:t>
            </w:r>
          </w:p>
        </w:tc>
        <w:tc>
          <w:tcPr>
            <w:tcW w:w="17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(1,211</w:t>
            </w:r>
          </w:p>
        </w:tc>
        <w:tc>
          <w:tcPr>
            <w:tcW w:w="5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CCEEFF" w:val="clear"/>
            <w:vAlign w:val="center"/>
          </w:tcPr>
          <w:p>
            <w:pPr>
              <w:pStyle w:val="TableContents"/>
              <w:spacing w:before="0" w:after="0"/>
              <w:jc w:val="right"/>
              <w:rPr>
                <w:rFonts w:ascii="inherit" w:hAnsi="inherit"/>
                <w:sz w:val="17"/>
              </w:rPr>
            </w:pPr>
            <w:r>
              <w:rPr>
                <w:rFonts w:ascii="inherit" w:hAnsi="inherit"/>
                <w:sz w:val="17"/>
              </w:rPr>
              <w:t>230,484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shd w:fill="CCEEFF" w:val="clear"/>
            <w:vAlign w:val="center"/>
          </w:tcPr>
          <w:p>
            <w:pPr>
              <w:pStyle w:val="TableContents"/>
              <w:spacing w:before="0" w:after="0"/>
              <w:jc w:val="right"/>
              <w:rPr>
                <w:rFonts w:ascii="inherit" w:hAnsi="inherit"/>
                <w:sz w:val="17"/>
              </w:rPr>
            </w:pPr>
            <w:r>
              <w:rPr>
                <w:rFonts w:ascii="inherit" w:hAnsi="inherit"/>
                <w:sz w:val="17"/>
              </w:rPr>
              <w:t>34,901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8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CCEEFF" w:val="clear"/>
            <w:vAlign w:val="center"/>
          </w:tcPr>
          <w:p>
            <w:pPr>
              <w:pStyle w:val="TableContents"/>
              <w:spacing w:before="0" w:after="0"/>
              <w:jc w:val="right"/>
              <w:rPr>
                <w:rFonts w:ascii="inherit" w:hAnsi="inherit"/>
                <w:sz w:val="17"/>
              </w:rPr>
            </w:pPr>
            <w:r>
              <w:rPr>
                <w:rFonts w:ascii="inherit" w:hAnsi="inherit"/>
                <w:sz w:val="17"/>
              </w:rPr>
              <w:t>17,325</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CCEEFF" w:val="clear"/>
            <w:vAlign w:val="center"/>
          </w:tcPr>
          <w:p>
            <w:pPr>
              <w:pStyle w:val="TableContents"/>
              <w:spacing w:before="0" w:after="0"/>
              <w:jc w:val="right"/>
              <w:rPr>
                <w:rFonts w:ascii="inherit" w:hAnsi="inherit"/>
                <w:sz w:val="17"/>
              </w:rPr>
            </w:pPr>
            <w:r>
              <w:rPr>
                <w:rFonts w:ascii="inherit" w:hAnsi="inherit"/>
                <w:sz w:val="17"/>
              </w:rPr>
              <w:t>282,710</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49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909" w:type="dxa"/>
            <w:gridSpan w:val="3"/>
            <w:tcBorders/>
            <w:shd w:fill="auto" w:val="clear"/>
            <w:vAlign w:val="center"/>
          </w:tcPr>
          <w:p>
            <w:pPr>
              <w:pStyle w:val="TableContents"/>
              <w:spacing w:before="0" w:after="0"/>
              <w:ind w:left="0" w:right="0" w:firstLine="300"/>
              <w:rPr/>
            </w:pPr>
            <w:r>
              <w:rPr/>
              <w:t> </w:t>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9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47,912</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9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5,476</w:t>
            </w:r>
          </w:p>
        </w:tc>
        <w:tc>
          <w:tcPr>
            <w:tcW w:w="56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49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56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9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2,961</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49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226,362</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49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49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155,110</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49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9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5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9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150,577</w:t>
            </w:r>
          </w:p>
        </w:tc>
        <w:tc>
          <w:tcPr>
            <w:tcW w:w="5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4"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31" w:type="dxa"/>
            <w:tcBorders/>
            <w:shd w:fill="auto" w:val="clear"/>
            <w:vAlign w:val="center"/>
          </w:tcPr>
          <w:p>
            <w:pPr>
              <w:pStyle w:val="TableContents"/>
              <w:spacing w:before="0" w:after="0"/>
              <w:ind w:left="0" w:right="0" w:firstLine="30"/>
              <w:rPr/>
            </w:pPr>
            <w:r>
              <w:rPr/>
              <w:t> </w:t>
            </w:r>
          </w:p>
        </w:tc>
        <w:tc>
          <w:tcPr>
            <w:tcW w:w="139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52"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6,869</w:t>
            </w:r>
          </w:p>
        </w:tc>
        <w:tc>
          <w:tcPr>
            <w:tcW w:w="5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attributable to EZCORP, Inc. </w:t>
            </w:r>
          </w:p>
        </w:tc>
        <w:tc>
          <w:tcPr>
            <w:tcW w:w="149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9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552"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56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11</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36" w:name="sA163E2B0EFC82C5ACF3C83E286443448"/>
      <w:bookmarkStart w:id="37" w:name="sA163E2B0EFC82C5ACF3C83E286443448"/>
      <w:bookmarkEnd w:id="37"/>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Store Count Activity</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2376"/>
        <w:gridCol w:w="1317"/>
        <w:gridCol w:w="225"/>
        <w:gridCol w:w="125"/>
        <w:gridCol w:w="1233"/>
        <w:gridCol w:w="281"/>
        <w:gridCol w:w="125"/>
        <w:gridCol w:w="1335"/>
        <w:gridCol w:w="137"/>
        <w:gridCol w:w="125"/>
        <w:gridCol w:w="1260"/>
        <w:gridCol w:w="212"/>
        <w:gridCol w:w="125"/>
        <w:gridCol w:w="767"/>
        <w:gridCol w:w="562"/>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376"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76" w:type="dxa"/>
            <w:tcBorders/>
            <w:shd w:fill="CCEEFF" w:val="clear"/>
            <w:vAlign w:val="center"/>
          </w:tcPr>
          <w:p>
            <w:pPr>
              <w:pStyle w:val="TableContents"/>
              <w:spacing w:before="0" w:after="0"/>
              <w:ind w:left="0" w:right="0" w:firstLine="30"/>
              <w:jc w:val="left"/>
              <w:rPr/>
            </w:pPr>
            <w:r>
              <w:rPr/>
              <w:t> </w:t>
            </w:r>
          </w:p>
        </w:tc>
        <w:tc>
          <w:tcPr>
            <w:tcW w:w="7829" w:type="dxa"/>
            <w:gridSpan w:val="14"/>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Fiscal Year Ended September 30, 2013</w:t>
            </w:r>
          </w:p>
        </w:tc>
      </w:tr>
      <w:tr>
        <w:trPr/>
        <w:tc>
          <w:tcPr>
            <w:tcW w:w="2376" w:type="dxa"/>
            <w:tcBorders/>
            <w:shd w:fill="auto" w:val="clear"/>
            <w:vAlign w:val="center"/>
          </w:tcPr>
          <w:p>
            <w:pPr>
              <w:pStyle w:val="TableContents"/>
              <w:spacing w:before="0" w:after="0"/>
              <w:ind w:left="0" w:right="0" w:firstLine="30"/>
              <w:jc w:val="left"/>
              <w:rPr/>
            </w:pPr>
            <w:r>
              <w:rPr/>
              <w:t> </w:t>
            </w:r>
          </w:p>
        </w:tc>
        <w:tc>
          <w:tcPr>
            <w:tcW w:w="637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Company-owned Stores</w:t>
            </w:r>
          </w:p>
        </w:tc>
        <w:tc>
          <w:tcPr>
            <w:tcW w:w="125" w:type="dxa"/>
            <w:tcBorders/>
            <w:shd w:fill="auto" w:val="clear"/>
            <w:vAlign w:val="center"/>
          </w:tcPr>
          <w:p>
            <w:pPr>
              <w:pStyle w:val="TableContents"/>
              <w:spacing w:before="0" w:after="0"/>
              <w:ind w:left="0" w:right="0" w:firstLine="30"/>
              <w:rPr/>
            </w:pPr>
            <w:r>
              <w:rPr/>
              <w:t> </w:t>
            </w:r>
          </w:p>
        </w:tc>
        <w:tc>
          <w:tcPr>
            <w:tcW w:w="132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Franchises</w:t>
            </w:r>
          </w:p>
        </w:tc>
      </w:tr>
      <w:tr>
        <w:trPr/>
        <w:tc>
          <w:tcPr>
            <w:tcW w:w="2376" w:type="dxa"/>
            <w:tcBorders/>
            <w:shd w:fill="CCEEFF" w:val="clear"/>
            <w:vAlign w:val="center"/>
          </w:tcPr>
          <w:p>
            <w:pPr>
              <w:pStyle w:val="TableContents"/>
              <w:spacing w:before="0" w:after="0"/>
              <w:ind w:left="0" w:right="0" w:firstLine="30"/>
              <w:jc w:val="left"/>
              <w:rPr/>
            </w:pPr>
            <w:r>
              <w:rPr/>
              <w:t> </w:t>
            </w:r>
          </w:p>
        </w:tc>
        <w:tc>
          <w:tcPr>
            <w:tcW w:w="1542" w:type="dxa"/>
            <w:gridSpan w:val="2"/>
            <w:tcBorders>
              <w:bottom w:val="single" w:sz="2" w:space="0" w:color="000000"/>
            </w:tcBorders>
            <w:shd w:fill="CCEEFF"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U.S. &amp; Canada</w:t>
            </w:r>
          </w:p>
        </w:tc>
        <w:tc>
          <w:tcPr>
            <w:tcW w:w="125" w:type="dxa"/>
            <w:tcBorders/>
            <w:shd w:fill="CCEEFF" w:val="clear"/>
            <w:vAlign w:val="center"/>
          </w:tcPr>
          <w:p>
            <w:pPr>
              <w:pStyle w:val="TableContents"/>
              <w:spacing w:before="0" w:after="0"/>
              <w:ind w:left="0" w:right="0" w:firstLine="30"/>
              <w:rPr/>
            </w:pPr>
            <w:r>
              <w:rPr/>
              <w:t> </w:t>
            </w:r>
          </w:p>
        </w:tc>
        <w:tc>
          <w:tcPr>
            <w:tcW w:w="1514" w:type="dxa"/>
            <w:gridSpan w:val="2"/>
            <w:tcBorders>
              <w:bottom w:val="single" w:sz="2" w:space="0" w:color="000000"/>
            </w:tcBorders>
            <w:shd w:fill="CCEEFF"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Latin America</w:t>
            </w:r>
          </w:p>
        </w:tc>
        <w:tc>
          <w:tcPr>
            <w:tcW w:w="125" w:type="dxa"/>
            <w:tcBorders/>
            <w:shd w:fill="CCEEFF" w:val="clear"/>
            <w:vAlign w:val="center"/>
          </w:tcPr>
          <w:p>
            <w:pPr>
              <w:pStyle w:val="TableContents"/>
              <w:spacing w:before="0" w:after="0"/>
              <w:ind w:left="0" w:right="0" w:firstLine="30"/>
              <w:rPr/>
            </w:pPr>
            <w:r>
              <w:rPr/>
              <w:t> </w:t>
            </w:r>
          </w:p>
        </w:tc>
        <w:tc>
          <w:tcPr>
            <w:tcW w:w="1472" w:type="dxa"/>
            <w:gridSpan w:val="2"/>
            <w:tcBorders>
              <w:top w:val="single" w:sz="2" w:space="0" w:color="000000"/>
            </w:tcBorders>
            <w:shd w:fill="CCEEFF" w:val="clear"/>
            <w:tcMar>
              <w:top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25" w:type="dxa"/>
            <w:tcBorders/>
            <w:shd w:fill="CCEEFF" w:val="clear"/>
            <w:vAlign w:val="center"/>
          </w:tcPr>
          <w:p>
            <w:pPr>
              <w:pStyle w:val="TableContents"/>
              <w:spacing w:before="0" w:after="0"/>
              <w:ind w:left="0" w:right="0" w:firstLine="30"/>
              <w:rPr/>
            </w:pPr>
            <w:r>
              <w:rPr/>
              <w:t> </w:t>
            </w:r>
          </w:p>
        </w:tc>
        <w:tc>
          <w:tcPr>
            <w:tcW w:w="1472" w:type="dxa"/>
            <w:gridSpan w:val="2"/>
            <w:tcBorders>
              <w:bottom w:val="single" w:sz="2" w:space="0" w:color="000000"/>
            </w:tcBorders>
            <w:shd w:fill="CCEEFF"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c>
          <w:tcPr>
            <w:tcW w:w="125" w:type="dxa"/>
            <w:tcBorders/>
            <w:shd w:fill="CCEEFF" w:val="clear"/>
            <w:vAlign w:val="center"/>
          </w:tcPr>
          <w:p>
            <w:pPr>
              <w:pStyle w:val="TableContents"/>
              <w:spacing w:before="0" w:after="0"/>
              <w:ind w:left="0" w:right="0" w:firstLine="30"/>
              <w:rPr/>
            </w:pPr>
            <w:r>
              <w:rPr/>
              <w:t> </w:t>
            </w:r>
          </w:p>
        </w:tc>
        <w:tc>
          <w:tcPr>
            <w:tcW w:w="1329" w:type="dxa"/>
            <w:gridSpan w:val="2"/>
            <w:tcBorders/>
            <w:shd w:fill="CCEEFF" w:val="clear"/>
            <w:vAlign w:val="center"/>
          </w:tcPr>
          <w:p>
            <w:pPr>
              <w:pStyle w:val="TableContents"/>
              <w:spacing w:before="0" w:after="0"/>
              <w:ind w:left="0" w:right="0" w:firstLine="30"/>
              <w:jc w:val="left"/>
              <w:rPr/>
            </w:pPr>
            <w:r>
              <w:rPr/>
              <w:t> </w:t>
            </w:r>
          </w:p>
        </w:tc>
      </w:tr>
      <w:tr>
        <w:trPr/>
        <w:tc>
          <w:tcPr>
            <w:tcW w:w="2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31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987</w:t>
            </w:r>
          </w:p>
        </w:tc>
        <w:tc>
          <w:tcPr>
            <w:tcW w:w="22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3"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275</w:t>
            </w:r>
          </w:p>
        </w:tc>
        <w:tc>
          <w:tcPr>
            <w:tcW w:w="28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35" w:type="dxa"/>
            <w:tcBorders>
              <w:top w:val="single" w:sz="2" w:space="0" w:color="000000"/>
            </w:tcBorders>
            <w:shd w:fill="auto" w:val="clear"/>
            <w:tcMar>
              <w:top w:w="30" w:type="dxa"/>
            </w:tcMar>
            <w:vAlign w:val="center"/>
          </w:tcPr>
          <w:p>
            <w:pPr>
              <w:pStyle w:val="TableContents"/>
              <w:spacing w:before="0" w:after="0"/>
              <w:jc w:val="right"/>
              <w:rPr/>
            </w:pPr>
            <w:r>
              <w:rPr/>
              <w:t>—</w:t>
            </w:r>
          </w:p>
        </w:tc>
        <w:tc>
          <w:tcPr>
            <w:tcW w:w="13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1,262</w:t>
            </w:r>
          </w:p>
        </w:tc>
        <w:tc>
          <w:tcPr>
            <w:tcW w:w="21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76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w:t>
            </w:r>
          </w:p>
        </w:tc>
        <w:tc>
          <w:tcPr>
            <w:tcW w:w="562" w:type="dxa"/>
            <w:tcBorders>
              <w:top w:val="single" w:sz="2" w:space="0" w:color="000000"/>
            </w:tcBorders>
            <w:shd w:fill="auto"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2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3" w:type="dxa"/>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35" w:type="dxa"/>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0" w:type="dxa"/>
            <w:tcBorders/>
            <w:shd w:fill="CCEEFF" w:val="clear"/>
            <w:vAlign w:val="center"/>
          </w:tcPr>
          <w:p>
            <w:pPr>
              <w:pStyle w:val="TableContents"/>
              <w:spacing w:before="0" w:after="0"/>
              <w:jc w:val="right"/>
              <w:rPr>
                <w:rFonts w:ascii="inherit" w:hAnsi="inherit"/>
                <w:sz w:val="17"/>
              </w:rPr>
            </w:pPr>
            <w:r>
              <w:rPr>
                <w:rFonts w:ascii="inherit" w:hAnsi="inherit"/>
                <w:sz w:val="17"/>
              </w:rPr>
              <w:t>157</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767" w:type="dxa"/>
            <w:tcBorders/>
            <w:shd w:fill="CCEEFF" w:val="clear"/>
            <w:vAlign w:val="center"/>
          </w:tcPr>
          <w:p>
            <w:pPr>
              <w:pStyle w:val="TableContents"/>
              <w:spacing w:before="0" w:after="0"/>
              <w:jc w:val="right"/>
              <w:rPr/>
            </w:pPr>
            <w:r>
              <w:rPr/>
              <w:t>—</w:t>
            </w:r>
          </w:p>
        </w:tc>
        <w:tc>
          <w:tcPr>
            <w:tcW w:w="56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2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3"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0" w:type="dxa"/>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767" w:type="dxa"/>
            <w:tcBorders/>
            <w:shd w:fill="auto" w:val="clear"/>
            <w:vAlign w:val="center"/>
          </w:tcPr>
          <w:p>
            <w:pPr>
              <w:pStyle w:val="TableContents"/>
              <w:spacing w:before="0" w:after="0"/>
              <w:jc w:val="right"/>
              <w:rPr/>
            </w:pPr>
            <w:r>
              <w:rPr/>
              <w:t>—</w:t>
            </w:r>
          </w:p>
        </w:tc>
        <w:tc>
          <w:tcPr>
            <w:tcW w:w="56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2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233" w:type="dxa"/>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335" w:type="dxa"/>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0"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767"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56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31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2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3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28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335"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21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767"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5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1,030</w:t>
            </w:r>
          </w:p>
        </w:tc>
        <w:tc>
          <w:tcPr>
            <w:tcW w:w="2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2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35"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1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1,342</w:t>
            </w:r>
          </w:p>
        </w:tc>
        <w:tc>
          <w:tcPr>
            <w:tcW w:w="21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76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56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6" w:type="dxa"/>
            <w:tcBorders/>
            <w:shd w:fill="auto" w:val="clear"/>
            <w:vAlign w:val="center"/>
          </w:tcPr>
          <w:p>
            <w:pPr>
              <w:pStyle w:val="TableContents"/>
              <w:spacing w:before="0" w:after="0"/>
              <w:ind w:left="0" w:right="0" w:firstLine="30"/>
              <w:rPr/>
            </w:pPr>
            <w:r>
              <w:rPr/>
              <w:t> </w:t>
            </w:r>
          </w:p>
        </w:tc>
        <w:tc>
          <w:tcPr>
            <w:tcW w:w="1542"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14"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72"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72"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29"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r>
      <w:tr>
        <w:trPr/>
        <w:tc>
          <w:tcPr>
            <w:tcW w:w="2376" w:type="dxa"/>
            <w:tcBorders/>
            <w:shd w:fill="CCEEFF" w:val="clear"/>
            <w:vAlign w:val="center"/>
          </w:tcPr>
          <w:p>
            <w:pPr>
              <w:pStyle w:val="TableContents"/>
              <w:spacing w:before="0" w:after="0"/>
              <w:ind w:left="0" w:right="0" w:firstLine="30"/>
              <w:jc w:val="left"/>
              <w:rPr/>
            </w:pPr>
            <w:r>
              <w:rPr/>
              <w:t> </w:t>
            </w:r>
          </w:p>
        </w:tc>
        <w:tc>
          <w:tcPr>
            <w:tcW w:w="7829" w:type="dxa"/>
            <w:gridSpan w:val="14"/>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Fiscal Year Ended September 30, 2012</w:t>
            </w:r>
          </w:p>
        </w:tc>
      </w:tr>
      <w:tr>
        <w:trPr/>
        <w:tc>
          <w:tcPr>
            <w:tcW w:w="2376" w:type="dxa"/>
            <w:tcBorders/>
            <w:shd w:fill="auto" w:val="clear"/>
            <w:vAlign w:val="center"/>
          </w:tcPr>
          <w:p>
            <w:pPr>
              <w:pStyle w:val="TableContents"/>
              <w:spacing w:before="0" w:after="0"/>
              <w:ind w:left="0" w:right="0" w:firstLine="30"/>
              <w:jc w:val="left"/>
              <w:rPr/>
            </w:pPr>
            <w:r>
              <w:rPr/>
              <w:t> </w:t>
            </w:r>
          </w:p>
        </w:tc>
        <w:tc>
          <w:tcPr>
            <w:tcW w:w="637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Company-owned Stores</w:t>
            </w:r>
          </w:p>
        </w:tc>
        <w:tc>
          <w:tcPr>
            <w:tcW w:w="125" w:type="dxa"/>
            <w:tcBorders/>
            <w:shd w:fill="auto" w:val="clear"/>
            <w:vAlign w:val="center"/>
          </w:tcPr>
          <w:p>
            <w:pPr>
              <w:pStyle w:val="TableContents"/>
              <w:spacing w:before="0" w:after="0"/>
              <w:ind w:left="0" w:right="0" w:firstLine="30"/>
              <w:rPr/>
            </w:pPr>
            <w:r>
              <w:rPr/>
              <w:t> </w:t>
            </w:r>
          </w:p>
        </w:tc>
        <w:tc>
          <w:tcPr>
            <w:tcW w:w="132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Franchises</w:t>
            </w:r>
          </w:p>
        </w:tc>
      </w:tr>
      <w:tr>
        <w:trPr/>
        <w:tc>
          <w:tcPr>
            <w:tcW w:w="2376" w:type="dxa"/>
            <w:tcBorders/>
            <w:shd w:fill="CCEEFF" w:val="clear"/>
            <w:vAlign w:val="center"/>
          </w:tcPr>
          <w:p>
            <w:pPr>
              <w:pStyle w:val="TableContents"/>
              <w:spacing w:before="0" w:after="0"/>
              <w:ind w:left="0" w:right="0" w:firstLine="30"/>
              <w:jc w:val="left"/>
              <w:rPr/>
            </w:pPr>
            <w:r>
              <w:rPr/>
              <w:t> </w:t>
            </w:r>
          </w:p>
        </w:tc>
        <w:tc>
          <w:tcPr>
            <w:tcW w:w="1542" w:type="dxa"/>
            <w:gridSpan w:val="2"/>
            <w:tcBorders>
              <w:bottom w:val="single" w:sz="2" w:space="0" w:color="000000"/>
            </w:tcBorders>
            <w:shd w:fill="CCEEFF"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U.S. &amp; Canada</w:t>
            </w:r>
          </w:p>
        </w:tc>
        <w:tc>
          <w:tcPr>
            <w:tcW w:w="125" w:type="dxa"/>
            <w:tcBorders/>
            <w:shd w:fill="CCEEFF" w:val="clear"/>
            <w:vAlign w:val="center"/>
          </w:tcPr>
          <w:p>
            <w:pPr>
              <w:pStyle w:val="TableContents"/>
              <w:spacing w:before="0" w:after="0"/>
              <w:ind w:left="0" w:right="0" w:firstLine="30"/>
              <w:rPr/>
            </w:pPr>
            <w:r>
              <w:rPr/>
              <w:t> </w:t>
            </w:r>
          </w:p>
        </w:tc>
        <w:tc>
          <w:tcPr>
            <w:tcW w:w="1514" w:type="dxa"/>
            <w:gridSpan w:val="2"/>
            <w:tcBorders>
              <w:bottom w:val="single" w:sz="2" w:space="0" w:color="000000"/>
            </w:tcBorders>
            <w:shd w:fill="CCEEFF"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Latin America</w:t>
            </w:r>
          </w:p>
        </w:tc>
        <w:tc>
          <w:tcPr>
            <w:tcW w:w="125" w:type="dxa"/>
            <w:tcBorders/>
            <w:shd w:fill="CCEEFF" w:val="clear"/>
            <w:vAlign w:val="center"/>
          </w:tcPr>
          <w:p>
            <w:pPr>
              <w:pStyle w:val="TableContents"/>
              <w:spacing w:before="0" w:after="0"/>
              <w:ind w:left="0" w:right="0" w:firstLine="30"/>
              <w:rPr/>
            </w:pPr>
            <w:r>
              <w:rPr/>
              <w:t> </w:t>
            </w:r>
          </w:p>
        </w:tc>
        <w:tc>
          <w:tcPr>
            <w:tcW w:w="147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25" w:type="dxa"/>
            <w:tcBorders/>
            <w:shd w:fill="CCEEFF" w:val="clear"/>
            <w:vAlign w:val="center"/>
          </w:tcPr>
          <w:p>
            <w:pPr>
              <w:pStyle w:val="TableContents"/>
              <w:spacing w:before="0" w:after="0"/>
              <w:ind w:left="0" w:right="0" w:firstLine="30"/>
              <w:rPr/>
            </w:pPr>
            <w:r>
              <w:rPr/>
              <w:t> </w:t>
            </w:r>
          </w:p>
        </w:tc>
        <w:tc>
          <w:tcPr>
            <w:tcW w:w="147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c>
          <w:tcPr>
            <w:tcW w:w="125" w:type="dxa"/>
            <w:tcBorders/>
            <w:shd w:fill="CCEEFF" w:val="clear"/>
            <w:vAlign w:val="center"/>
          </w:tcPr>
          <w:p>
            <w:pPr>
              <w:pStyle w:val="TableContents"/>
              <w:spacing w:before="0" w:after="0"/>
              <w:ind w:left="0" w:right="0" w:firstLine="30"/>
              <w:rPr/>
            </w:pPr>
            <w:r>
              <w:rPr/>
              <w:t> </w:t>
            </w:r>
          </w:p>
        </w:tc>
        <w:tc>
          <w:tcPr>
            <w:tcW w:w="1329" w:type="dxa"/>
            <w:gridSpan w:val="2"/>
            <w:tcBorders/>
            <w:shd w:fill="CCEEFF" w:val="clear"/>
            <w:vAlign w:val="center"/>
          </w:tcPr>
          <w:p>
            <w:pPr>
              <w:pStyle w:val="TableContents"/>
              <w:spacing w:before="0" w:after="0"/>
              <w:ind w:left="0" w:right="0" w:firstLine="30"/>
              <w:jc w:val="left"/>
              <w:rPr/>
            </w:pPr>
            <w:r>
              <w:rPr/>
              <w:t> </w:t>
            </w:r>
          </w:p>
        </w:tc>
      </w:tr>
      <w:tr>
        <w:trPr/>
        <w:tc>
          <w:tcPr>
            <w:tcW w:w="2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31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933</w:t>
            </w:r>
          </w:p>
        </w:tc>
        <w:tc>
          <w:tcPr>
            <w:tcW w:w="22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3"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178</w:t>
            </w:r>
          </w:p>
        </w:tc>
        <w:tc>
          <w:tcPr>
            <w:tcW w:w="28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35" w:type="dxa"/>
            <w:tcBorders>
              <w:top w:val="single" w:sz="2" w:space="0" w:color="000000"/>
            </w:tcBorders>
            <w:shd w:fill="auto" w:val="clear"/>
            <w:tcMar>
              <w:top w:w="30" w:type="dxa"/>
            </w:tcMar>
            <w:vAlign w:val="center"/>
          </w:tcPr>
          <w:p>
            <w:pPr>
              <w:pStyle w:val="TableContents"/>
              <w:spacing w:before="0" w:after="0"/>
              <w:jc w:val="right"/>
              <w:rPr/>
            </w:pPr>
            <w:r>
              <w:rPr/>
              <w:t>—</w:t>
            </w:r>
          </w:p>
        </w:tc>
        <w:tc>
          <w:tcPr>
            <w:tcW w:w="13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1,111</w:t>
            </w:r>
          </w:p>
        </w:tc>
        <w:tc>
          <w:tcPr>
            <w:tcW w:w="21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76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13</w:t>
            </w:r>
          </w:p>
        </w:tc>
        <w:tc>
          <w:tcPr>
            <w:tcW w:w="562" w:type="dxa"/>
            <w:tcBorders>
              <w:top w:val="single" w:sz="2" w:space="0" w:color="000000"/>
            </w:tcBorders>
            <w:shd w:fill="auto"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2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3" w:type="dxa"/>
            <w:tcBorders/>
            <w:shd w:fill="CCEEFF" w:val="clear"/>
            <w:vAlign w:val="center"/>
          </w:tcPr>
          <w:p>
            <w:pPr>
              <w:pStyle w:val="TableContents"/>
              <w:spacing w:before="0" w:after="0"/>
              <w:jc w:val="right"/>
              <w:rPr>
                <w:rFonts w:ascii="inherit" w:hAnsi="inherit"/>
                <w:sz w:val="17"/>
              </w:rPr>
            </w:pPr>
            <w:r>
              <w:rPr>
                <w:rFonts w:ascii="inherit" w:hAnsi="inherit"/>
                <w:sz w:val="17"/>
              </w:rPr>
              <w:t>54</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35" w:type="dxa"/>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0" w:type="dxa"/>
            <w:tcBorders/>
            <w:shd w:fill="CCEEFF" w:val="clear"/>
            <w:vAlign w:val="center"/>
          </w:tcPr>
          <w:p>
            <w:pPr>
              <w:pStyle w:val="TableContents"/>
              <w:spacing w:before="0" w:after="0"/>
              <w:jc w:val="right"/>
              <w:rPr>
                <w:rFonts w:ascii="inherit" w:hAnsi="inherit"/>
                <w:sz w:val="17"/>
              </w:rPr>
            </w:pPr>
            <w:r>
              <w:rPr>
                <w:rFonts w:ascii="inherit" w:hAnsi="inherit"/>
                <w:sz w:val="17"/>
              </w:rPr>
              <w:t>71</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767" w:type="dxa"/>
            <w:tcBorders/>
            <w:shd w:fill="CCEEFF" w:val="clear"/>
            <w:vAlign w:val="center"/>
          </w:tcPr>
          <w:p>
            <w:pPr>
              <w:pStyle w:val="TableContents"/>
              <w:spacing w:before="0" w:after="0"/>
              <w:jc w:val="right"/>
              <w:rPr/>
            </w:pPr>
            <w:r>
              <w:rPr/>
              <w:t>—</w:t>
            </w:r>
          </w:p>
        </w:tc>
        <w:tc>
          <w:tcPr>
            <w:tcW w:w="56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2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3"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0" w:type="dxa"/>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767" w:type="dxa"/>
            <w:tcBorders/>
            <w:shd w:fill="auto" w:val="clear"/>
            <w:vAlign w:val="center"/>
          </w:tcPr>
          <w:p>
            <w:pPr>
              <w:pStyle w:val="TableContents"/>
              <w:spacing w:before="0" w:after="0"/>
              <w:jc w:val="right"/>
              <w:rPr/>
            </w:pPr>
            <w:r>
              <w:rPr/>
              <w:t>—</w:t>
            </w:r>
          </w:p>
        </w:tc>
        <w:tc>
          <w:tcPr>
            <w:tcW w:w="56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31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2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23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8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33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6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21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76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5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31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987</w:t>
            </w:r>
          </w:p>
        </w:tc>
        <w:tc>
          <w:tcPr>
            <w:tcW w:w="22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275</w:t>
            </w:r>
          </w:p>
        </w:tc>
        <w:tc>
          <w:tcPr>
            <w:tcW w:w="28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3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6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1,262</w:t>
            </w:r>
          </w:p>
        </w:tc>
        <w:tc>
          <w:tcPr>
            <w:tcW w:w="21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7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5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17"/>
        </w:rPr>
      </w:pPr>
      <w:r>
        <w:rPr>
          <w:rFonts w:ascii="inherit" w:hAnsi="inherit"/>
          <w:sz w:val="17"/>
        </w:rPr>
        <w:t>12</w:t>
      </w:r>
      <w:r>
        <w:rPr>
          <w:sz w:val="17"/>
        </w:rPr>
        <w:t xml:space="preserve"> </w:t>
      </w:r>
      <w:r>
        <w:rPr>
          <w:rFonts w:ascii="inherit" w:hAnsi="inherit"/>
          <w:sz w:val="17"/>
        </w:rPr>
        <w:t>of 12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3889</Words>
  <CharactersWithSpaces>25255</CharactersWithSpaces>
  <Paragraphs>2116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