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8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8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2625725</wp:posOffset>
            </wp:positionH>
            <wp:positionV relativeFrom="paragraph">
              <wp:posOffset>121285</wp:posOffset>
            </wp:positionV>
            <wp:extent cx="196723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7230" cy="5715"/>
                    </a:xfrm>
                    <a:prstGeom prst="rect">
                      <a:avLst/>
                    </a:prstGeom>
                    <a:noFill/>
                  </pic:spPr>
                </pic:pic>
              </a:graphicData>
            </a:graphic>
          </wp:anchor>
        </w:drawing>
      </w:r>
    </w:p>
    <w:p>
      <w:pPr>
        <w:spacing w:after="0" w:line="30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2625725</wp:posOffset>
            </wp:positionH>
            <wp:positionV relativeFrom="paragraph">
              <wp:posOffset>68580</wp:posOffset>
            </wp:positionV>
            <wp:extent cx="19672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7230" cy="5715"/>
                    </a:xfrm>
                    <a:prstGeom prst="rect">
                      <a:avLst/>
                    </a:prstGeom>
                    <a:noFill/>
                  </pic:spPr>
                </pic:pic>
              </a:graphicData>
            </a:graphic>
          </wp:anchor>
        </w:drawing>
      </w:r>
    </w:p>
    <w:p>
      <w:pPr>
        <w:spacing w:after="0" w:line="273" w:lineRule="exact"/>
        <w:rPr>
          <w:sz w:val="24"/>
          <w:szCs w:val="24"/>
          <w:color w:val="auto"/>
        </w:rPr>
      </w:pPr>
    </w:p>
    <w:p>
      <w:pPr>
        <w:ind w:left="4580" w:right="4480" w:hanging="4570"/>
        <w:spacing w:after="0" w:line="485" w:lineRule="auto"/>
        <w:tabs>
          <w:tab w:leader="none" w:pos="593" w:val="left"/>
        </w:tabs>
        <w:numPr>
          <w:ilvl w:val="0"/>
          <w:numId w:val="1"/>
        </w:numPr>
        <w:rPr>
          <w:rFonts w:ascii="Arial" w:cs="Arial" w:eastAsia="Arial" w:hAnsi="Arial"/>
          <w:sz w:val="13"/>
          <w:szCs w:val="13"/>
          <w:color w:val="auto"/>
        </w:rPr>
      </w:pPr>
      <w:r>
        <w:rPr>
          <w:rFonts w:ascii="Arial" w:cs="Arial" w:eastAsia="Arial" w:hAnsi="Arial"/>
          <w:sz w:val="11"/>
          <w:szCs w:val="11"/>
          <w:b w:val="1"/>
          <w:bCs w:val="1"/>
          <w:color w:val="auto"/>
        </w:rPr>
        <w:t>QUARTERLY REPORT PURSUANT TO SECTION 13 OR 15(d) OF THE SECURITIES EXCHANGE ACT OF 1934 For the quarterly period ended June 30, 2017</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or</w:t>
      </w:r>
    </w:p>
    <w:p>
      <w:pPr>
        <w:ind w:left="580" w:hanging="570"/>
        <w:spacing w:after="0"/>
        <w:tabs>
          <w:tab w:leader="none" w:pos="580" w:val="left"/>
        </w:tabs>
        <w:numPr>
          <w:ilvl w:val="0"/>
          <w:numId w:val="2"/>
        </w:numPr>
        <w:rPr>
          <w:rFonts w:ascii="MS PGothic" w:cs="MS PGothic" w:eastAsia="MS PGothic" w:hAnsi="MS PGothic"/>
          <w:sz w:val="29"/>
          <w:szCs w:val="29"/>
          <w:color w:val="auto"/>
          <w:vertAlign w:val="subscript"/>
        </w:rPr>
      </w:pPr>
      <w:r>
        <w:rPr>
          <w:rFonts w:ascii="Arial" w:cs="Arial" w:eastAsia="Arial" w:hAnsi="Arial"/>
          <w:sz w:val="12"/>
          <w:szCs w:val="12"/>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1280" w:type="dxa"/>
        <w:tblCellMar>
          <w:top w:w="0" w:type="dxa"/>
          <w:left w:w="0" w:type="dxa"/>
          <w:bottom w:w="0" w:type="dxa"/>
          <w:right w:w="0" w:type="dxa"/>
        </w:tblCellMar>
      </w:tblPr>
      <w:tr>
        <w:trPr>
          <w:trHeight w:val="138"/>
        </w:trPr>
        <w:tc>
          <w:tcPr>
            <w:tcW w:w="4500" w:type="dxa"/>
            <w:vAlign w:val="bottom"/>
          </w:tcPr>
          <w:p>
            <w:pPr>
              <w:ind w:left="2920"/>
              <w:spacing w:after="0"/>
              <w:rPr>
                <w:sz w:val="20"/>
                <w:szCs w:val="20"/>
                <w:color w:val="auto"/>
              </w:rPr>
            </w:pPr>
            <w:r>
              <w:rPr>
                <w:rFonts w:ascii="Arial" w:cs="Arial" w:eastAsia="Arial" w:hAnsi="Arial"/>
                <w:sz w:val="12"/>
                <w:szCs w:val="12"/>
                <w:b w:val="1"/>
                <w:bCs w:val="1"/>
                <w:color w:val="auto"/>
                <w:w w:val="92"/>
              </w:rPr>
              <w:t>For the transition period from</w:t>
            </w:r>
          </w:p>
        </w:tc>
        <w:tc>
          <w:tcPr>
            <w:tcW w:w="600" w:type="dxa"/>
            <w:vAlign w:val="bottom"/>
            <w:tcBorders>
              <w:bottom w:val="single" w:sz="8" w:color="auto"/>
            </w:tcBorders>
          </w:tcPr>
          <w:p>
            <w:pPr>
              <w:spacing w:after="0"/>
              <w:rPr>
                <w:sz w:val="12"/>
                <w:szCs w:val="12"/>
                <w:color w:val="auto"/>
              </w:rPr>
            </w:pPr>
          </w:p>
        </w:tc>
        <w:tc>
          <w:tcPr>
            <w:tcW w:w="160" w:type="dxa"/>
            <w:vAlign w:val="bottom"/>
          </w:tcPr>
          <w:p>
            <w:pPr>
              <w:ind w:left="40"/>
              <w:spacing w:after="0"/>
              <w:rPr>
                <w:sz w:val="20"/>
                <w:szCs w:val="20"/>
                <w:color w:val="auto"/>
              </w:rPr>
            </w:pPr>
            <w:r>
              <w:rPr>
                <w:rFonts w:ascii="Arial" w:cs="Arial" w:eastAsia="Arial" w:hAnsi="Arial"/>
                <w:sz w:val="12"/>
                <w:szCs w:val="12"/>
                <w:b w:val="1"/>
                <w:bCs w:val="1"/>
                <w:color w:val="auto"/>
                <w:w w:val="87"/>
              </w:rPr>
              <w:t>to</w:t>
            </w:r>
          </w:p>
        </w:tc>
        <w:tc>
          <w:tcPr>
            <w:tcW w:w="720" w:type="dxa"/>
            <w:vAlign w:val="bottom"/>
            <w:tcBorders>
              <w:bottom w:val="single" w:sz="8" w:color="auto"/>
            </w:tcBorders>
          </w:tcPr>
          <w:p>
            <w:pPr>
              <w:spacing w:after="0"/>
              <w:rPr>
                <w:sz w:val="12"/>
                <w:szCs w:val="12"/>
                <w:color w:val="auto"/>
              </w:rPr>
            </w:pPr>
          </w:p>
        </w:tc>
        <w:tc>
          <w:tcPr>
            <w:tcW w:w="2040" w:type="dxa"/>
            <w:vAlign w:val="bottom"/>
          </w:tcPr>
          <w:p>
            <w:pPr>
              <w:spacing w:after="0"/>
              <w:rPr>
                <w:sz w:val="12"/>
                <w:szCs w:val="12"/>
                <w:color w:val="auto"/>
              </w:rPr>
            </w:pPr>
          </w:p>
        </w:tc>
      </w:tr>
      <w:tr>
        <w:trPr>
          <w:trHeight w:val="223"/>
        </w:trPr>
        <w:tc>
          <w:tcPr>
            <w:tcW w:w="8020" w:type="dxa"/>
            <w:vAlign w:val="bottom"/>
            <w:gridSpan w:val="5"/>
          </w:tcPr>
          <w:p>
            <w:pPr>
              <w:jc w:val="center"/>
              <w:ind w:left="821"/>
              <w:spacing w:after="0"/>
              <w:rPr>
                <w:sz w:val="20"/>
                <w:szCs w:val="20"/>
                <w:color w:val="auto"/>
              </w:rPr>
            </w:pPr>
            <w:r>
              <w:rPr>
                <w:rFonts w:ascii="Arial" w:cs="Arial" w:eastAsia="Arial" w:hAnsi="Arial"/>
                <w:sz w:val="12"/>
                <w:szCs w:val="12"/>
                <w:b w:val="1"/>
                <w:bCs w:val="1"/>
                <w:color w:val="auto"/>
                <w:w w:val="90"/>
              </w:rPr>
              <w:t>Commission File No. 0-19424</w:t>
            </w:r>
          </w:p>
        </w:tc>
      </w:tr>
      <w:tr>
        <w:trPr>
          <w:trHeight w:val="655"/>
        </w:trPr>
        <w:tc>
          <w:tcPr>
            <w:tcW w:w="5100" w:type="dxa"/>
            <w:vAlign w:val="bottom"/>
            <w:gridSpan w:val="2"/>
          </w:tcPr>
          <w:p>
            <w:pPr>
              <w:jc w:val="center"/>
              <w:ind w:left="3761"/>
              <w:spacing w:after="0"/>
              <w:rPr>
                <w:sz w:val="20"/>
                <w:szCs w:val="20"/>
                <w:color w:val="auto"/>
              </w:rPr>
            </w:pPr>
            <w:r>
              <w:rPr>
                <w:rFonts w:ascii="Arial" w:cs="Arial" w:eastAsia="Arial" w:hAnsi="Arial"/>
                <w:sz w:val="14"/>
                <w:szCs w:val="14"/>
                <w:b w:val="1"/>
                <w:bCs w:val="1"/>
                <w:color w:val="auto"/>
              </w:rPr>
              <w:t>EZCORP, INC.</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0"/>
        </w:trPr>
        <w:tc>
          <w:tcPr>
            <w:tcW w:w="8020" w:type="dxa"/>
            <w:vAlign w:val="bottom"/>
            <w:gridSpan w:val="5"/>
          </w:tcPr>
          <w:p>
            <w:pPr>
              <w:jc w:val="center"/>
              <w:ind w:left="841"/>
              <w:spacing w:after="0"/>
              <w:rPr>
                <w:sz w:val="20"/>
                <w:szCs w:val="20"/>
                <w:color w:val="auto"/>
              </w:rPr>
            </w:pPr>
            <w:r>
              <w:rPr>
                <w:rFonts w:ascii="Arial" w:cs="Arial" w:eastAsia="Arial" w:hAnsi="Arial"/>
                <w:sz w:val="12"/>
                <w:szCs w:val="12"/>
                <w:color w:val="auto"/>
                <w:w w:val="90"/>
              </w:rPr>
              <w:t>(Exact name of registrant as specified in its charter)</w:t>
            </w:r>
          </w:p>
        </w:tc>
      </w:tr>
      <w:tr>
        <w:trPr>
          <w:trHeight w:val="252"/>
        </w:trPr>
        <w:tc>
          <w:tcPr>
            <w:tcW w:w="5100" w:type="dxa"/>
            <w:vAlign w:val="bottom"/>
            <w:gridSpan w:val="2"/>
          </w:tcPr>
          <w:p>
            <w:pPr>
              <w:jc w:val="center"/>
              <w:ind w:right="1940"/>
              <w:spacing w:after="0"/>
              <w:rPr>
                <w:sz w:val="20"/>
                <w:szCs w:val="20"/>
                <w:color w:val="auto"/>
              </w:rPr>
            </w:pPr>
            <w:r>
              <w:rPr>
                <w:rFonts w:ascii="Arial" w:cs="Arial" w:eastAsia="Arial" w:hAnsi="Arial"/>
                <w:sz w:val="12"/>
                <w:szCs w:val="12"/>
                <w:b w:val="1"/>
                <w:bCs w:val="1"/>
                <w:color w:val="auto"/>
                <w:w w:val="91"/>
              </w:rPr>
              <w:t>Delaware</w:t>
            </w:r>
          </w:p>
        </w:tc>
        <w:tc>
          <w:tcPr>
            <w:tcW w:w="2920" w:type="dxa"/>
            <w:vAlign w:val="bottom"/>
            <w:gridSpan w:val="3"/>
          </w:tcPr>
          <w:p>
            <w:pPr>
              <w:jc w:val="right"/>
              <w:ind w:right="352"/>
              <w:spacing w:after="0"/>
              <w:rPr>
                <w:sz w:val="20"/>
                <w:szCs w:val="20"/>
                <w:color w:val="auto"/>
              </w:rPr>
            </w:pPr>
            <w:r>
              <w:rPr>
                <w:rFonts w:ascii="Arial" w:cs="Arial" w:eastAsia="Arial" w:hAnsi="Arial"/>
                <w:sz w:val="12"/>
                <w:szCs w:val="12"/>
                <w:b w:val="1"/>
                <w:bCs w:val="1"/>
                <w:color w:val="auto"/>
              </w:rPr>
              <w:t>74-2540145</w:t>
            </w:r>
          </w:p>
        </w:tc>
      </w:tr>
      <w:tr>
        <w:trPr>
          <w:trHeight w:val="145"/>
        </w:trPr>
        <w:tc>
          <w:tcPr>
            <w:tcW w:w="5100" w:type="dxa"/>
            <w:vAlign w:val="bottom"/>
            <w:gridSpan w:val="2"/>
          </w:tcPr>
          <w:p>
            <w:pPr>
              <w:jc w:val="center"/>
              <w:ind w:right="1920"/>
              <w:spacing w:after="0"/>
              <w:rPr>
                <w:sz w:val="20"/>
                <w:szCs w:val="20"/>
                <w:color w:val="auto"/>
              </w:rPr>
            </w:pPr>
            <w:r>
              <w:rPr>
                <w:rFonts w:ascii="Arial" w:cs="Arial" w:eastAsia="Arial" w:hAnsi="Arial"/>
                <w:sz w:val="10"/>
                <w:szCs w:val="10"/>
                <w:color w:val="auto"/>
                <w:w w:val="89"/>
              </w:rPr>
              <w:t>(State or other jurisdiction of incorporation or organization)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40" w:type="dxa"/>
            <w:vAlign w:val="bottom"/>
          </w:tcPr>
          <w:p>
            <w:pPr>
              <w:jc w:val="center"/>
              <w:ind w:left="612"/>
              <w:spacing w:after="0"/>
              <w:rPr>
                <w:sz w:val="20"/>
                <w:szCs w:val="20"/>
                <w:color w:val="auto"/>
              </w:rPr>
            </w:pPr>
            <w:r>
              <w:rPr>
                <w:rFonts w:ascii="Arial" w:cs="Arial" w:eastAsia="Arial" w:hAnsi="Arial"/>
                <w:sz w:val="10"/>
                <w:szCs w:val="10"/>
                <w:color w:val="auto"/>
                <w:w w:val="89"/>
              </w:rPr>
              <w:t>(I.R.S. Employer Identification No.)</w:t>
            </w:r>
          </w:p>
        </w:tc>
      </w:tr>
      <w:tr>
        <w:trPr>
          <w:trHeight w:val="251"/>
        </w:trPr>
        <w:tc>
          <w:tcPr>
            <w:tcW w:w="5100" w:type="dxa"/>
            <w:vAlign w:val="bottom"/>
            <w:gridSpan w:val="2"/>
          </w:tcPr>
          <w:p>
            <w:pPr>
              <w:jc w:val="center"/>
              <w:ind w:right="1920"/>
              <w:spacing w:after="0"/>
              <w:rPr>
                <w:sz w:val="20"/>
                <w:szCs w:val="20"/>
                <w:color w:val="auto"/>
              </w:rPr>
            </w:pPr>
            <w:r>
              <w:rPr>
                <w:rFonts w:ascii="Arial" w:cs="Arial" w:eastAsia="Arial" w:hAnsi="Arial"/>
                <w:sz w:val="12"/>
                <w:szCs w:val="12"/>
                <w:b w:val="1"/>
                <w:bCs w:val="1"/>
                <w:color w:val="auto"/>
                <w:w w:val="89"/>
              </w:rPr>
              <w:t>2500 Bee Cave Road, Bldg One, Suite 200, Rollingwood, Texas</w:t>
            </w:r>
          </w:p>
        </w:tc>
        <w:tc>
          <w:tcPr>
            <w:tcW w:w="2920" w:type="dxa"/>
            <w:vAlign w:val="bottom"/>
            <w:gridSpan w:val="3"/>
          </w:tcPr>
          <w:p>
            <w:pPr>
              <w:jc w:val="right"/>
              <w:ind w:right="492"/>
              <w:spacing w:after="0"/>
              <w:rPr>
                <w:sz w:val="20"/>
                <w:szCs w:val="20"/>
                <w:color w:val="auto"/>
              </w:rPr>
            </w:pPr>
            <w:r>
              <w:rPr>
                <w:rFonts w:ascii="Arial" w:cs="Arial" w:eastAsia="Arial" w:hAnsi="Arial"/>
                <w:sz w:val="12"/>
                <w:szCs w:val="12"/>
                <w:b w:val="1"/>
                <w:bCs w:val="1"/>
                <w:color w:val="auto"/>
              </w:rPr>
              <w:t>78746</w:t>
            </w:r>
          </w:p>
        </w:tc>
      </w:tr>
      <w:tr>
        <w:trPr>
          <w:trHeight w:val="145"/>
        </w:trPr>
        <w:tc>
          <w:tcPr>
            <w:tcW w:w="5100" w:type="dxa"/>
            <w:vAlign w:val="bottom"/>
            <w:gridSpan w:val="2"/>
          </w:tcPr>
          <w:p>
            <w:pPr>
              <w:jc w:val="center"/>
              <w:ind w:right="1940"/>
              <w:spacing w:after="0"/>
              <w:rPr>
                <w:sz w:val="20"/>
                <w:szCs w:val="20"/>
                <w:color w:val="auto"/>
              </w:rPr>
            </w:pPr>
            <w:r>
              <w:rPr>
                <w:rFonts w:ascii="Arial" w:cs="Arial" w:eastAsia="Arial" w:hAnsi="Arial"/>
                <w:sz w:val="10"/>
                <w:szCs w:val="10"/>
                <w:color w:val="auto"/>
                <w:w w:val="88"/>
              </w:rPr>
              <w:t>(Address of principal executive offices)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40" w:type="dxa"/>
            <w:vAlign w:val="bottom"/>
          </w:tcPr>
          <w:p>
            <w:pPr>
              <w:jc w:val="center"/>
              <w:ind w:left="612"/>
              <w:spacing w:after="0"/>
              <w:rPr>
                <w:sz w:val="20"/>
                <w:szCs w:val="20"/>
                <w:color w:val="auto"/>
              </w:rPr>
            </w:pPr>
            <w:r>
              <w:rPr>
                <w:rFonts w:ascii="Arial" w:cs="Arial" w:eastAsia="Arial" w:hAnsi="Arial"/>
                <w:sz w:val="10"/>
                <w:szCs w:val="10"/>
                <w:color w:val="auto"/>
                <w:w w:val="8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2974975</wp:posOffset>
            </wp:positionH>
            <wp:positionV relativeFrom="paragraph">
              <wp:posOffset>-1029335</wp:posOffset>
            </wp:positionV>
            <wp:extent cx="1338580" cy="234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8580" cy="234315"/>
                    </a:xfrm>
                    <a:prstGeom prst="rect">
                      <a:avLst/>
                    </a:prstGeom>
                    <a:noFill/>
                  </pic:spPr>
                </pic:pic>
              </a:graphicData>
            </a:graphic>
          </wp:anchor>
        </w:drawing>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2"/>
          <w:szCs w:val="12"/>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2402840</wp:posOffset>
            </wp:positionH>
            <wp:positionV relativeFrom="paragraph">
              <wp:posOffset>74930</wp:posOffset>
            </wp:positionV>
            <wp:extent cx="24079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7920" cy="5715"/>
                    </a:xfrm>
                    <a:prstGeom prst="rect">
                      <a:avLst/>
                    </a:prstGeom>
                    <a:noFill/>
                  </pic:spPr>
                </pic:pic>
              </a:graphicData>
            </a:graphic>
          </wp:anchor>
        </w:drawing>
      </w:r>
    </w:p>
    <w:p>
      <w:pPr>
        <w:spacing w:after="0" w:line="399" w:lineRule="exact"/>
        <w:rPr>
          <w:sz w:val="24"/>
          <w:szCs w:val="24"/>
          <w:color w:val="auto"/>
        </w:rPr>
      </w:pPr>
    </w:p>
    <w:p>
      <w:pPr>
        <w:spacing w:after="0" w:line="13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122" w:lineRule="exact"/>
        <w:rPr>
          <w:sz w:val="24"/>
          <w:szCs w:val="24"/>
          <w:color w:val="auto"/>
        </w:rPr>
      </w:pPr>
    </w:p>
    <w:p>
      <w:pPr>
        <w:ind w:right="140"/>
        <w:spacing w:after="0" w:line="138"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1"/>
          <w:szCs w:val="11"/>
          <w:color w:val="auto"/>
        </w:rPr>
        <w:t>☐</w:t>
      </w:r>
    </w:p>
    <w:p>
      <w:pPr>
        <w:spacing w:after="0" w:line="86" w:lineRule="exact"/>
        <w:rPr>
          <w:sz w:val="24"/>
          <w:szCs w:val="24"/>
          <w:color w:val="auto"/>
        </w:rPr>
      </w:pPr>
    </w:p>
    <w:p>
      <w:pPr>
        <w:ind w:right="220"/>
        <w:spacing w:after="0" w:line="25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1880" w:type="dxa"/>
        <w:tblCellMar>
          <w:top w:w="0" w:type="dxa"/>
          <w:left w:w="0" w:type="dxa"/>
          <w:bottom w:w="0" w:type="dxa"/>
          <w:right w:w="0" w:type="dxa"/>
        </w:tblCellMar>
      </w:tblPr>
      <w:tr>
        <w:trPr>
          <w:trHeight w:val="168"/>
        </w:trPr>
        <w:tc>
          <w:tcPr>
            <w:tcW w:w="18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1120" w:type="dxa"/>
            <w:vAlign w:val="bottom"/>
          </w:tcPr>
          <w:p>
            <w:pPr>
              <w:ind w:left="840"/>
              <w:spacing w:after="0" w:line="111" w:lineRule="exact"/>
              <w:rPr>
                <w:sz w:val="20"/>
                <w:szCs w:val="20"/>
                <w:color w:val="auto"/>
              </w:rPr>
            </w:pPr>
            <w:r>
              <w:rPr>
                <w:rFonts w:ascii="MS PGothic" w:cs="MS PGothic" w:eastAsia="MS PGothic" w:hAnsi="MS PGothic"/>
                <w:sz w:val="11"/>
                <w:szCs w:val="11"/>
                <w:color w:val="auto"/>
              </w:rPr>
              <w:t>☐</w:t>
            </w:r>
          </w:p>
        </w:tc>
        <w:tc>
          <w:tcPr>
            <w:tcW w:w="3280" w:type="dxa"/>
            <w:vAlign w:val="bottom"/>
          </w:tcPr>
          <w:p>
            <w:pPr>
              <w:ind w:left="200"/>
              <w:spacing w:after="0"/>
              <w:rPr>
                <w:sz w:val="20"/>
                <w:szCs w:val="20"/>
                <w:color w:val="auto"/>
              </w:rPr>
            </w:pPr>
            <w:r>
              <w:rPr>
                <w:rFonts w:ascii="Arial" w:cs="Arial" w:eastAsia="Arial" w:hAnsi="Arial"/>
                <w:sz w:val="11"/>
                <w:szCs w:val="11"/>
                <w:color w:val="auto"/>
              </w:rPr>
              <w:t>Accelerated filer</w:t>
            </w:r>
          </w:p>
        </w:tc>
        <w:tc>
          <w:tcPr>
            <w:tcW w:w="1180" w:type="dxa"/>
            <w:vAlign w:val="bottom"/>
          </w:tcPr>
          <w:p>
            <w:pPr>
              <w:ind w:left="1080"/>
              <w:spacing w:after="0"/>
              <w:rPr>
                <w:sz w:val="20"/>
                <w:szCs w:val="20"/>
                <w:color w:val="auto"/>
              </w:rPr>
            </w:pPr>
            <w:r>
              <w:rPr>
                <w:rFonts w:ascii="Arial" w:cs="Arial" w:eastAsia="Arial" w:hAnsi="Arial"/>
                <w:sz w:val="11"/>
                <w:szCs w:val="11"/>
                <w:color w:val="auto"/>
              </w:rPr>
              <w:t>x</w:t>
            </w:r>
          </w:p>
        </w:tc>
      </w:tr>
      <w:tr>
        <w:trPr>
          <w:trHeight w:val="180"/>
        </w:trPr>
        <w:tc>
          <w:tcPr>
            <w:tcW w:w="1800" w:type="dxa"/>
            <w:vAlign w:val="bottom"/>
          </w:tcPr>
          <w:p>
            <w:pPr>
              <w:spacing w:after="0"/>
              <w:rPr>
                <w:sz w:val="20"/>
                <w:szCs w:val="20"/>
                <w:color w:val="auto"/>
              </w:rPr>
            </w:pPr>
            <w:r>
              <w:rPr>
                <w:rFonts w:ascii="Arial" w:cs="Arial" w:eastAsia="Arial" w:hAnsi="Arial"/>
                <w:sz w:val="11"/>
                <w:szCs w:val="11"/>
                <w:color w:val="auto"/>
              </w:rPr>
              <w:t>Non-accelerated filer</w:t>
            </w:r>
          </w:p>
        </w:tc>
        <w:tc>
          <w:tcPr>
            <w:tcW w:w="1120" w:type="dxa"/>
            <w:vAlign w:val="bottom"/>
          </w:tcPr>
          <w:p>
            <w:pPr>
              <w:ind w:left="840"/>
              <w:spacing w:after="0" w:line="111" w:lineRule="exact"/>
              <w:rPr>
                <w:sz w:val="20"/>
                <w:szCs w:val="20"/>
                <w:color w:val="auto"/>
              </w:rPr>
            </w:pPr>
            <w:r>
              <w:rPr>
                <w:rFonts w:ascii="MS PGothic" w:cs="MS PGothic" w:eastAsia="MS PGothic" w:hAnsi="MS PGothic"/>
                <w:sz w:val="11"/>
                <w:szCs w:val="11"/>
                <w:color w:val="auto"/>
              </w:rPr>
              <w:t>☐</w:t>
            </w:r>
          </w:p>
        </w:tc>
        <w:tc>
          <w:tcPr>
            <w:tcW w:w="3280" w:type="dxa"/>
            <w:vAlign w:val="bottom"/>
          </w:tcPr>
          <w:p>
            <w:pPr>
              <w:ind w:left="200"/>
              <w:spacing w:after="0"/>
              <w:rPr>
                <w:sz w:val="20"/>
                <w:szCs w:val="20"/>
                <w:color w:val="auto"/>
              </w:rPr>
            </w:pPr>
            <w:r>
              <w:rPr>
                <w:rFonts w:ascii="Arial" w:cs="Arial" w:eastAsia="Arial" w:hAnsi="Arial"/>
                <w:sz w:val="11"/>
                <w:szCs w:val="11"/>
                <w:color w:val="auto"/>
              </w:rPr>
              <w:t>(Do not check if a smaller reporting company)</w:t>
            </w:r>
          </w:p>
        </w:tc>
        <w:tc>
          <w:tcPr>
            <w:tcW w:w="1180" w:type="dxa"/>
            <w:vAlign w:val="bottom"/>
          </w:tcPr>
          <w:p>
            <w:pPr>
              <w:spacing w:after="0"/>
              <w:rPr>
                <w:sz w:val="15"/>
                <w:szCs w:val="15"/>
                <w:color w:val="auto"/>
              </w:rPr>
            </w:pPr>
          </w:p>
        </w:tc>
      </w:tr>
      <w:tr>
        <w:trPr>
          <w:trHeight w:val="180"/>
        </w:trPr>
        <w:tc>
          <w:tcPr>
            <w:tcW w:w="1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80" w:type="dxa"/>
            <w:vAlign w:val="bottom"/>
          </w:tcPr>
          <w:p>
            <w:pPr>
              <w:ind w:left="200"/>
              <w:spacing w:after="0"/>
              <w:rPr>
                <w:sz w:val="20"/>
                <w:szCs w:val="20"/>
                <w:color w:val="auto"/>
              </w:rPr>
            </w:pPr>
            <w:r>
              <w:rPr>
                <w:rFonts w:ascii="Arial" w:cs="Arial" w:eastAsia="Arial" w:hAnsi="Arial"/>
                <w:sz w:val="11"/>
                <w:szCs w:val="11"/>
                <w:color w:val="auto"/>
              </w:rPr>
              <w:t>Smaller reporting company</w:t>
            </w:r>
          </w:p>
        </w:tc>
        <w:tc>
          <w:tcPr>
            <w:tcW w:w="1180" w:type="dxa"/>
            <w:vAlign w:val="bottom"/>
          </w:tcPr>
          <w:p>
            <w:pPr>
              <w:ind w:left="10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80" w:type="dxa"/>
            <w:vAlign w:val="bottom"/>
          </w:tcPr>
          <w:p>
            <w:pPr>
              <w:ind w:left="200"/>
              <w:spacing w:after="0"/>
              <w:rPr>
                <w:sz w:val="20"/>
                <w:szCs w:val="20"/>
                <w:color w:val="auto"/>
              </w:rPr>
            </w:pPr>
            <w:r>
              <w:rPr>
                <w:rFonts w:ascii="Arial" w:cs="Arial" w:eastAsia="Arial" w:hAnsi="Arial"/>
                <w:sz w:val="11"/>
                <w:szCs w:val="11"/>
                <w:color w:val="auto"/>
              </w:rPr>
              <w:t>Emerging growth company</w:t>
            </w:r>
          </w:p>
        </w:tc>
        <w:tc>
          <w:tcPr>
            <w:tcW w:w="1180" w:type="dxa"/>
            <w:vAlign w:val="bottom"/>
          </w:tcPr>
          <w:p>
            <w:pPr>
              <w:ind w:left="10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93" w:lineRule="exact"/>
        <w:rPr>
          <w:sz w:val="24"/>
          <w:szCs w:val="24"/>
          <w:color w:val="auto"/>
        </w:rPr>
      </w:pPr>
    </w:p>
    <w:p>
      <w:pPr>
        <w:ind w:right="260"/>
        <w:spacing w:after="0" w:line="20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0"/>
          <w:szCs w:val="10"/>
          <w:color w:val="auto"/>
        </w:rPr>
        <w:t>APPLICABLE ONLY TO CORPORATE ISSUERS:</w:t>
      </w:r>
    </w:p>
    <w:p>
      <w:pPr>
        <w:spacing w:after="0" w:line="65" w:lineRule="exact"/>
        <w:rPr>
          <w:sz w:val="24"/>
          <w:szCs w:val="24"/>
          <w:color w:val="auto"/>
        </w:rPr>
      </w:pPr>
    </w:p>
    <w:p>
      <w:pPr>
        <w:spacing w:after="0"/>
        <w:rPr>
          <w:sz w:val="20"/>
          <w:szCs w:val="20"/>
          <w:color w:val="auto"/>
        </w:rPr>
      </w:pPr>
      <w:r>
        <w:rPr>
          <w:rFonts w:ascii="Arial" w:cs="Arial" w:eastAsia="Arial" w:hAnsi="Arial"/>
          <w:sz w:val="10"/>
          <w:szCs w:val="10"/>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37" w:lineRule="exact"/>
        <w:rPr>
          <w:sz w:val="24"/>
          <w:szCs w:val="24"/>
          <w:color w:val="auto"/>
        </w:rPr>
      </w:pPr>
    </w:p>
    <w:p>
      <w:pPr>
        <w:spacing w:after="0"/>
        <w:rPr>
          <w:sz w:val="20"/>
          <w:szCs w:val="20"/>
          <w:color w:val="auto"/>
        </w:rPr>
      </w:pPr>
      <w:r>
        <w:rPr>
          <w:rFonts w:ascii="Arial" w:cs="Arial" w:eastAsia="Arial" w:hAnsi="Arial"/>
          <w:sz w:val="8"/>
          <w:szCs w:val="8"/>
          <w:color w:val="auto"/>
        </w:rPr>
        <w:t>As of July 26, 2017, 51,326,582 shares of the registrant’s Class A Non-voting Common Stock ("Class A Common Stock"), par value $.01 per share, and 2,970,171 shares of the registrant’s Class B Voting Common Stock, par value $.01 per share, were outstanding.</w:t>
      </w:r>
    </w:p>
    <w:p>
      <w:pPr>
        <w:sectPr>
          <w:pgSz w:w="11900" w:h="16838" w:orient="portrait"/>
          <w:cols w:equalWidth="0" w:num="1">
            <w:col w:w="11380"/>
          </w:cols>
          <w:pgMar w:left="220" w:top="19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15"/>
        </w:trPr>
        <w:tc>
          <w:tcPr>
            <w:tcW w:w="9420" w:type="dxa"/>
            <w:vAlign w:val="bottom"/>
            <w:gridSpan w:val="19"/>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04"/>
        </w:trPr>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00" w:type="dxa"/>
            <w:vAlign w:val="bottom"/>
            <w:gridSpan w:val="5"/>
          </w:tcPr>
          <w:p>
            <w:pPr>
              <w:jc w:val="center"/>
              <w:ind w:right="2880"/>
              <w:spacing w:after="0"/>
              <w:rPr>
                <w:sz w:val="20"/>
                <w:szCs w:val="20"/>
                <w:color w:val="auto"/>
              </w:rPr>
            </w:pPr>
            <w:r>
              <w:rPr>
                <w:rFonts w:ascii="Arial" w:cs="Arial" w:eastAsia="Arial" w:hAnsi="Arial"/>
                <w:sz w:val="12"/>
                <w:szCs w:val="12"/>
                <w:b w:val="1"/>
                <w:bCs w:val="1"/>
                <w:color w:val="auto"/>
                <w:w w:val="95"/>
              </w:rPr>
              <w:t>EZCORP, Inc.</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00" w:type="dxa"/>
            <w:vAlign w:val="bottom"/>
            <w:gridSpan w:val="5"/>
          </w:tcPr>
          <w:p>
            <w:pPr>
              <w:jc w:val="center"/>
              <w:ind w:right="2880"/>
              <w:spacing w:after="0"/>
              <w:rPr>
                <w:sz w:val="20"/>
                <w:szCs w:val="20"/>
                <w:color w:val="auto"/>
              </w:rPr>
            </w:pPr>
            <w:r>
              <w:rPr>
                <w:rFonts w:ascii="Arial" w:cs="Arial" w:eastAsia="Arial" w:hAnsi="Arial"/>
                <w:sz w:val="12"/>
                <w:szCs w:val="12"/>
                <w:b w:val="1"/>
                <w:bCs w:val="1"/>
                <w:color w:val="auto"/>
              </w:rPr>
              <w:t>INDEX TO FORM 10-Q</w:t>
            </w: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2040" w:type="dxa"/>
            <w:vAlign w:val="bottom"/>
            <w:tcBorders>
              <w:bottom w:val="single" w:sz="8" w:color="0000EE"/>
            </w:tcBorders>
            <w:gridSpan w:val="10"/>
          </w:tcPr>
          <w:p>
            <w:pPr>
              <w:spacing w:after="0"/>
              <w:rPr>
                <w:rFonts w:ascii="Arial" w:cs="Arial" w:eastAsia="Arial" w:hAnsi="Arial"/>
                <w:sz w:val="12"/>
                <w:szCs w:val="12"/>
                <w:color w:val="0000EE"/>
                <w:w w:val="97"/>
              </w:rPr>
            </w:pPr>
            <w:hyperlink w:anchor="page3">
              <w:r>
                <w:rPr>
                  <w:rFonts w:ascii="Arial" w:cs="Arial" w:eastAsia="Arial" w:hAnsi="Arial"/>
                  <w:sz w:val="12"/>
                  <w:szCs w:val="12"/>
                  <w:color w:val="0000EE"/>
                  <w:w w:val="97"/>
                </w:rPr>
                <w:t>PART I — FINANCIAL INFORMATION</w:t>
              </w:r>
            </w:hyperlink>
          </w:p>
        </w:tc>
        <w:tc>
          <w:tcPr>
            <w:tcW w:w="7360" w:type="dxa"/>
            <w:vAlign w:val="bottom"/>
            <w:gridSpan w:val="8"/>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180" w:type="dxa"/>
            <w:vAlign w:val="bottom"/>
            <w:gridSpan w:val="17"/>
          </w:tcPr>
          <w:p>
            <w:pPr>
              <w:spacing w:after="0"/>
              <w:rPr>
                <w:rFonts w:ascii="Arial" w:cs="Arial" w:eastAsia="Arial" w:hAnsi="Arial"/>
                <w:sz w:val="12"/>
                <w:szCs w:val="12"/>
                <w:i w:val="1"/>
                <w:iCs w:val="1"/>
                <w:color w:val="0000EE"/>
              </w:rPr>
            </w:pPr>
            <w:hyperlink w:anchor="page3">
              <w:r>
                <w:rPr>
                  <w:rFonts w:ascii="Arial" w:cs="Arial" w:eastAsia="Arial" w:hAnsi="Arial"/>
                  <w:sz w:val="12"/>
                  <w:szCs w:val="12"/>
                  <w:i w:val="1"/>
                  <w:iCs w:val="1"/>
                  <w:color w:val="0000EE"/>
                </w:rPr>
                <w:t>Item 1. Financial Statements</w:t>
              </w:r>
            </w:hyperlink>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80" w:type="dxa"/>
            <w:vAlign w:val="bottom"/>
            <w:tcBorders>
              <w:bottom w:val="single" w:sz="8" w:color="0000EE"/>
            </w:tcBorders>
            <w:gridSpan w:val="12"/>
          </w:tcPr>
          <w:p>
            <w:pPr>
              <w:spacing w:after="0"/>
              <w:rPr>
                <w:rFonts w:ascii="Arial" w:cs="Arial" w:eastAsia="Arial" w:hAnsi="Arial"/>
                <w:sz w:val="12"/>
                <w:szCs w:val="12"/>
                <w:color w:val="0000EE"/>
                <w:w w:val="88"/>
              </w:rPr>
            </w:pPr>
            <w:hyperlink w:anchor="page3">
              <w:r>
                <w:rPr>
                  <w:rFonts w:ascii="Arial" w:cs="Arial" w:eastAsia="Arial" w:hAnsi="Arial"/>
                  <w:sz w:val="12"/>
                  <w:szCs w:val="12"/>
                  <w:color w:val="0000EE"/>
                  <w:w w:val="88"/>
                </w:rPr>
                <w:t>Condensed Consolidated Balance Sheets as of June 30, 2017 and 2016 (Unaudited) and September 30, 2016</w:t>
              </w:r>
            </w:hyperlink>
          </w:p>
        </w:tc>
        <w:tc>
          <w:tcPr>
            <w:tcW w:w="3760" w:type="dxa"/>
            <w:vAlign w:val="bottom"/>
            <w:gridSpan w:val="4"/>
          </w:tcPr>
          <w:p>
            <w:pPr>
              <w:spacing w:after="0"/>
              <w:rPr>
                <w:sz w:val="20"/>
                <w:szCs w:val="20"/>
                <w:color w:val="auto"/>
              </w:rPr>
            </w:pPr>
          </w:p>
        </w:tc>
        <w:tc>
          <w:tcPr>
            <w:tcW w:w="2040" w:type="dxa"/>
            <w:vAlign w:val="bottom"/>
            <w:gridSpan w:val="2"/>
          </w:tcPr>
          <w:p>
            <w:pPr>
              <w:jc w:val="right"/>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1</w:t>
              </w:r>
            </w:hyperlink>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940" w:type="dxa"/>
            <w:vAlign w:val="bottom"/>
            <w:gridSpan w:val="16"/>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Condensed Consolidated Statements of Operations for the Three and Nine Months Ended June 30, 2017 and 2016 (Unaudited)</w:t>
              </w:r>
            </w:hyperlink>
          </w:p>
        </w:tc>
        <w:tc>
          <w:tcPr>
            <w:tcW w:w="2040" w:type="dxa"/>
            <w:vAlign w:val="bottom"/>
            <w:gridSpan w:val="2"/>
          </w:tcPr>
          <w:p>
            <w:pPr>
              <w:jc w:val="right"/>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2</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tcBorders>
              <w:bottom w:val="single" w:sz="8" w:color="0000EE"/>
            </w:tcBorders>
            <w:gridSpan w:val="15"/>
          </w:tcPr>
          <w:p>
            <w:pPr>
              <w:spacing w:after="0"/>
              <w:rPr>
                <w:rFonts w:ascii="Arial" w:cs="Arial" w:eastAsia="Arial" w:hAnsi="Arial"/>
                <w:sz w:val="12"/>
                <w:szCs w:val="12"/>
                <w:color w:val="0000EE"/>
                <w:w w:val="89"/>
              </w:rPr>
            </w:pPr>
            <w:hyperlink w:anchor="page5">
              <w:r>
                <w:rPr>
                  <w:rFonts w:ascii="Arial" w:cs="Arial" w:eastAsia="Arial" w:hAnsi="Arial"/>
                  <w:sz w:val="12"/>
                  <w:szCs w:val="12"/>
                  <w:color w:val="0000EE"/>
                  <w:w w:val="89"/>
                </w:rPr>
                <w:t>Condensed Consolidated Statements of Comprehensive Income (Loss) for the Three and Nine Months Ended June 30, 2017 and 2016 (Unaudited)</w:t>
              </w:r>
            </w:hyperlink>
          </w:p>
        </w:tc>
        <w:tc>
          <w:tcPr>
            <w:tcW w:w="1920" w:type="dxa"/>
            <w:vAlign w:val="bottom"/>
          </w:tcPr>
          <w:p>
            <w:pPr>
              <w:spacing w:after="0"/>
              <w:rPr>
                <w:sz w:val="20"/>
                <w:szCs w:val="20"/>
                <w:color w:val="auto"/>
              </w:rPr>
            </w:pPr>
          </w:p>
        </w:tc>
        <w:tc>
          <w:tcPr>
            <w:tcW w:w="2040" w:type="dxa"/>
            <w:vAlign w:val="bottom"/>
            <w:gridSpan w:val="2"/>
          </w:tcPr>
          <w:p>
            <w:pPr>
              <w:jc w:val="right"/>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3</w:t>
              </w:r>
            </w:hyperlink>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60" w:type="dxa"/>
            <w:vAlign w:val="bottom"/>
            <w:tcBorders>
              <w:bottom w:val="single" w:sz="8" w:color="0000EE"/>
            </w:tcBorders>
            <w:gridSpan w:val="14"/>
          </w:tcPr>
          <w:p>
            <w:pPr>
              <w:spacing w:after="0"/>
              <w:rPr>
                <w:rFonts w:ascii="Arial" w:cs="Arial" w:eastAsia="Arial" w:hAnsi="Arial"/>
                <w:sz w:val="12"/>
                <w:szCs w:val="12"/>
                <w:color w:val="0000EE"/>
                <w:w w:val="89"/>
              </w:rPr>
            </w:pPr>
            <w:hyperlink w:anchor="page5">
              <w:r>
                <w:rPr>
                  <w:rFonts w:ascii="Arial" w:cs="Arial" w:eastAsia="Arial" w:hAnsi="Arial"/>
                  <w:sz w:val="12"/>
                  <w:szCs w:val="12"/>
                  <w:color w:val="0000EE"/>
                  <w:w w:val="89"/>
                </w:rPr>
                <w:t>Condensed Consolidated Statements of Stockholders’ Equity for the Nine Months Ended June 30, 2017 and 2016 (Unaudited)</w:t>
              </w:r>
            </w:hyperlink>
          </w:p>
        </w:tc>
        <w:tc>
          <w:tcPr>
            <w:tcW w:w="2880" w:type="dxa"/>
            <w:vAlign w:val="bottom"/>
            <w:gridSpan w:val="2"/>
          </w:tcPr>
          <w:p>
            <w:pPr>
              <w:spacing w:after="0"/>
              <w:rPr>
                <w:sz w:val="20"/>
                <w:szCs w:val="20"/>
                <w:color w:val="auto"/>
              </w:rPr>
            </w:pPr>
          </w:p>
        </w:tc>
        <w:tc>
          <w:tcPr>
            <w:tcW w:w="2040" w:type="dxa"/>
            <w:vAlign w:val="bottom"/>
            <w:gridSpan w:val="2"/>
          </w:tcPr>
          <w:p>
            <w:pPr>
              <w:jc w:val="right"/>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3</w:t>
              </w:r>
            </w:hyperlink>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940" w:type="dxa"/>
            <w:vAlign w:val="bottom"/>
            <w:gridSpan w:val="16"/>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Condensed Consolidated Statements of Cash Flows for the Nine Months Ended June 30, 2017 and 2016 (Unaudited)</w:t>
              </w:r>
            </w:hyperlink>
          </w:p>
        </w:tc>
        <w:tc>
          <w:tcPr>
            <w:tcW w:w="2040" w:type="dxa"/>
            <w:vAlign w:val="bottom"/>
            <w:gridSpan w:val="2"/>
          </w:tcPr>
          <w:p>
            <w:pPr>
              <w:jc w:val="right"/>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5</w:t>
              </w:r>
            </w:hyperlink>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80" w:type="dxa"/>
            <w:vAlign w:val="bottom"/>
            <w:tcBorders>
              <w:top w:val="single" w:sz="8" w:color="0000EE"/>
            </w:tcBorders>
            <w:gridSpan w:val="13"/>
          </w:tcPr>
          <w:p>
            <w:pPr>
              <w:spacing w:after="0"/>
              <w:rPr>
                <w:rFonts w:ascii="Arial" w:cs="Arial" w:eastAsia="Arial" w:hAnsi="Arial"/>
                <w:sz w:val="12"/>
                <w:szCs w:val="12"/>
                <w:color w:val="0000EE"/>
              </w:rPr>
            </w:pPr>
            <w:hyperlink w:anchor="page8">
              <w:r>
                <w:rPr>
                  <w:rFonts w:ascii="Arial" w:cs="Arial" w:eastAsia="Arial" w:hAnsi="Arial"/>
                  <w:sz w:val="12"/>
                  <w:szCs w:val="12"/>
                  <w:color w:val="0000EE"/>
                </w:rPr>
                <w:t>Notes to Interim Condensed Consolidated Financial Statements (Unaudited)</w:t>
              </w:r>
            </w:hyperlink>
          </w:p>
        </w:tc>
        <w:tc>
          <w:tcPr>
            <w:tcW w:w="3360" w:type="dxa"/>
            <w:vAlign w:val="bottom"/>
            <w:gridSpan w:val="3"/>
          </w:tcPr>
          <w:p>
            <w:pPr>
              <w:spacing w:after="0"/>
              <w:rPr>
                <w:sz w:val="20"/>
                <w:szCs w:val="20"/>
                <w:color w:val="auto"/>
              </w:rPr>
            </w:pPr>
          </w:p>
        </w:tc>
        <w:tc>
          <w:tcPr>
            <w:tcW w:w="2040" w:type="dxa"/>
            <w:vAlign w:val="bottom"/>
            <w:gridSpan w:val="2"/>
          </w:tcPr>
          <w:p>
            <w:pPr>
              <w:jc w:val="right"/>
              <w:spacing w:after="0"/>
              <w:rPr>
                <w:rFonts w:ascii="Arial" w:cs="Arial" w:eastAsia="Arial" w:hAnsi="Arial"/>
                <w:sz w:val="12"/>
                <w:szCs w:val="12"/>
                <w:u w:val="single" w:color="auto"/>
                <w:color w:val="0000EE"/>
              </w:rPr>
            </w:pPr>
            <w:hyperlink w:anchor="page8">
              <w:r>
                <w:rPr>
                  <w:rFonts w:ascii="Arial" w:cs="Arial" w:eastAsia="Arial" w:hAnsi="Arial"/>
                  <w:sz w:val="12"/>
                  <w:szCs w:val="12"/>
                  <w:u w:val="single" w:color="auto"/>
                  <w:color w:val="0000EE"/>
                </w:rPr>
                <w:t>6</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180" w:type="dxa"/>
            <w:vAlign w:val="bottom"/>
            <w:gridSpan w:val="17"/>
          </w:tcPr>
          <w:p>
            <w:pPr>
              <w:spacing w:after="0"/>
              <w:rPr>
                <w:rFonts w:ascii="Arial" w:cs="Arial" w:eastAsia="Arial" w:hAnsi="Arial"/>
                <w:sz w:val="12"/>
                <w:szCs w:val="12"/>
                <w:i w:val="1"/>
                <w:iCs w:val="1"/>
                <w:color w:val="0000EE"/>
              </w:rPr>
            </w:pPr>
            <w:hyperlink w:anchor="page27">
              <w:r>
                <w:rPr>
                  <w:rFonts w:ascii="Arial" w:cs="Arial" w:eastAsia="Arial" w:hAnsi="Arial"/>
                  <w:sz w:val="12"/>
                  <w:szCs w:val="12"/>
                  <w:i w:val="1"/>
                  <w:iCs w:val="1"/>
                  <w:color w:val="0000EE"/>
                </w:rPr>
                <w:t>Item 2. Management’s Discussion and Analysis of Financial Condition and Results of Operations</w:t>
              </w:r>
            </w:hyperlink>
          </w:p>
        </w:tc>
        <w:tc>
          <w:tcPr>
            <w:tcW w:w="2040" w:type="dxa"/>
            <w:vAlign w:val="bottom"/>
            <w:gridSpan w:val="2"/>
          </w:tcPr>
          <w:p>
            <w:pPr>
              <w:jc w:val="right"/>
              <w:spacing w:after="0"/>
              <w:rPr>
                <w:rFonts w:ascii="Arial" w:cs="Arial" w:eastAsia="Arial" w:hAnsi="Arial"/>
                <w:sz w:val="12"/>
                <w:szCs w:val="12"/>
                <w:color w:val="0000EE"/>
              </w:rPr>
            </w:pPr>
            <w:hyperlink w:anchor="page27">
              <w:r>
                <w:rPr>
                  <w:rFonts w:ascii="Arial" w:cs="Arial" w:eastAsia="Arial" w:hAnsi="Arial"/>
                  <w:sz w:val="12"/>
                  <w:szCs w:val="12"/>
                  <w:color w:val="0000EE"/>
                </w:rPr>
                <w:t>25</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10"/>
          </w:tcPr>
          <w:p>
            <w:pPr>
              <w:spacing w:after="0"/>
              <w:rPr>
                <w:rFonts w:ascii="Arial" w:cs="Arial" w:eastAsia="Arial" w:hAnsi="Arial"/>
                <w:sz w:val="12"/>
                <w:szCs w:val="12"/>
                <w:i w:val="1"/>
                <w:iCs w:val="1"/>
                <w:color w:val="0000EE"/>
                <w:w w:val="91"/>
              </w:rPr>
            </w:pPr>
            <w:hyperlink w:anchor="page45">
              <w:r>
                <w:rPr>
                  <w:rFonts w:ascii="Arial" w:cs="Arial" w:eastAsia="Arial" w:hAnsi="Arial"/>
                  <w:sz w:val="12"/>
                  <w:szCs w:val="12"/>
                  <w:i w:val="1"/>
                  <w:iCs w:val="1"/>
                  <w:color w:val="0000EE"/>
                  <w:w w:val="91"/>
                </w:rPr>
                <w:t>Item 3. Quantitative and Qualitative Disclosures about Market Risk</w:t>
              </w:r>
            </w:hyperlink>
          </w:p>
        </w:tc>
        <w:tc>
          <w:tcPr>
            <w:tcW w:w="1420" w:type="dxa"/>
            <w:vAlign w:val="bottom"/>
            <w:gridSpan w:val="2"/>
          </w:tcPr>
          <w:p>
            <w:pPr>
              <w:spacing w:after="0"/>
              <w:rPr>
                <w:sz w:val="20"/>
                <w:szCs w:val="20"/>
                <w:color w:val="auto"/>
              </w:rPr>
            </w:pPr>
          </w:p>
        </w:tc>
        <w:tc>
          <w:tcPr>
            <w:tcW w:w="4500" w:type="dxa"/>
            <w:vAlign w:val="bottom"/>
            <w:gridSpan w:val="5"/>
          </w:tcPr>
          <w:p>
            <w:pPr>
              <w:spacing w:after="0"/>
              <w:rPr>
                <w:sz w:val="20"/>
                <w:szCs w:val="20"/>
                <w:color w:val="auto"/>
              </w:rPr>
            </w:pPr>
          </w:p>
        </w:tc>
        <w:tc>
          <w:tcPr>
            <w:tcW w:w="2040" w:type="dxa"/>
            <w:vAlign w:val="bottom"/>
            <w:gridSpan w:val="2"/>
          </w:tcPr>
          <w:p>
            <w:pPr>
              <w:jc w:val="right"/>
              <w:spacing w:after="0"/>
              <w:rPr>
                <w:rFonts w:ascii="Arial" w:cs="Arial" w:eastAsia="Arial" w:hAnsi="Arial"/>
                <w:sz w:val="12"/>
                <w:szCs w:val="12"/>
                <w:color w:val="0000EE"/>
              </w:rPr>
            </w:pPr>
            <w:hyperlink w:anchor="page45">
              <w:r>
                <w:rPr>
                  <w:rFonts w:ascii="Arial" w:cs="Arial" w:eastAsia="Arial" w:hAnsi="Arial"/>
                  <w:sz w:val="12"/>
                  <w:szCs w:val="12"/>
                  <w:color w:val="0000EE"/>
                </w:rPr>
                <w:t>43</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10"/>
          </w:tcPr>
          <w:p>
            <w:pPr>
              <w:spacing w:after="0"/>
              <w:rPr>
                <w:rFonts w:ascii="Arial" w:cs="Arial" w:eastAsia="Arial" w:hAnsi="Arial"/>
                <w:sz w:val="12"/>
                <w:szCs w:val="12"/>
                <w:i w:val="1"/>
                <w:iCs w:val="1"/>
                <w:color w:val="0000EE"/>
              </w:rPr>
            </w:pPr>
            <w:hyperlink w:anchor="page45">
              <w:r>
                <w:rPr>
                  <w:rFonts w:ascii="Arial" w:cs="Arial" w:eastAsia="Arial" w:hAnsi="Arial"/>
                  <w:sz w:val="12"/>
                  <w:szCs w:val="12"/>
                  <w:i w:val="1"/>
                  <w:iCs w:val="1"/>
                  <w:color w:val="0000EE"/>
                </w:rPr>
                <w:t>Item 4. Controls and Procedures</w:t>
              </w:r>
            </w:hyperlink>
          </w:p>
        </w:tc>
        <w:tc>
          <w:tcPr>
            <w:tcW w:w="5920" w:type="dxa"/>
            <w:vAlign w:val="bottom"/>
            <w:gridSpan w:val="7"/>
          </w:tcPr>
          <w:p>
            <w:pPr>
              <w:spacing w:after="0"/>
              <w:rPr>
                <w:sz w:val="20"/>
                <w:szCs w:val="20"/>
                <w:color w:val="auto"/>
              </w:rPr>
            </w:pPr>
          </w:p>
        </w:tc>
        <w:tc>
          <w:tcPr>
            <w:tcW w:w="2040" w:type="dxa"/>
            <w:vAlign w:val="bottom"/>
            <w:gridSpan w:val="2"/>
          </w:tcPr>
          <w:p>
            <w:pPr>
              <w:jc w:val="right"/>
              <w:spacing w:after="0"/>
              <w:rPr>
                <w:rFonts w:ascii="Arial" w:cs="Arial" w:eastAsia="Arial" w:hAnsi="Arial"/>
                <w:sz w:val="12"/>
                <w:szCs w:val="12"/>
                <w:color w:val="0000EE"/>
              </w:rPr>
            </w:pPr>
            <w:hyperlink w:anchor="page45">
              <w:r>
                <w:rPr>
                  <w:rFonts w:ascii="Arial" w:cs="Arial" w:eastAsia="Arial" w:hAnsi="Arial"/>
                  <w:sz w:val="12"/>
                  <w:szCs w:val="12"/>
                  <w:color w:val="0000EE"/>
                </w:rPr>
                <w:t>43</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580" w:type="dxa"/>
            <w:vAlign w:val="bottom"/>
            <w:gridSpan w:val="9"/>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9400" w:type="dxa"/>
            <w:vAlign w:val="bottom"/>
            <w:gridSpan w:val="18"/>
          </w:tcPr>
          <w:p>
            <w:pPr>
              <w:spacing w:after="0"/>
              <w:rPr>
                <w:rFonts w:ascii="Arial" w:cs="Arial" w:eastAsia="Arial" w:hAnsi="Arial"/>
                <w:sz w:val="12"/>
                <w:szCs w:val="12"/>
                <w:color w:val="0000EE"/>
              </w:rPr>
            </w:pPr>
            <w:hyperlink w:anchor="page45">
              <w:r>
                <w:rPr>
                  <w:rFonts w:ascii="Arial" w:cs="Arial" w:eastAsia="Arial" w:hAnsi="Arial"/>
                  <w:sz w:val="12"/>
                  <w:szCs w:val="12"/>
                  <w:color w:val="0000EE"/>
                </w:rPr>
                <w:t>PART II — OTHER INFORMATION</w:t>
              </w:r>
            </w:hyperlink>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260" w:type="dxa"/>
            <w:vAlign w:val="bottom"/>
            <w:tcBorders>
              <w:top w:val="single" w:sz="8" w:color="0000EE"/>
            </w:tcBorders>
            <w:gridSpan w:val="5"/>
          </w:tcPr>
          <w:p>
            <w:pPr>
              <w:spacing w:after="0"/>
              <w:rPr>
                <w:rFonts w:ascii="Arial" w:cs="Arial" w:eastAsia="Arial" w:hAnsi="Arial"/>
                <w:sz w:val="12"/>
                <w:szCs w:val="12"/>
                <w:i w:val="1"/>
                <w:iCs w:val="1"/>
                <w:color w:val="0000EE"/>
                <w:w w:val="87"/>
              </w:rPr>
            </w:pPr>
            <w:hyperlink w:anchor="page45">
              <w:r>
                <w:rPr>
                  <w:rFonts w:ascii="Arial" w:cs="Arial" w:eastAsia="Arial" w:hAnsi="Arial"/>
                  <w:sz w:val="12"/>
                  <w:szCs w:val="12"/>
                  <w:i w:val="1"/>
                  <w:iCs w:val="1"/>
                  <w:color w:val="0000EE"/>
                  <w:w w:val="87"/>
                </w:rPr>
                <w:t>Item 1. Legal Proceedings</w:t>
              </w:r>
            </w:hyperlink>
          </w:p>
        </w:tc>
        <w:tc>
          <w:tcPr>
            <w:tcW w:w="340" w:type="dxa"/>
            <w:vAlign w:val="bottom"/>
            <w:tcBorders>
              <w:top w:val="single" w:sz="8" w:color="0000EE"/>
            </w:tcBorders>
            <w:gridSpan w:val="3"/>
          </w:tcPr>
          <w:p>
            <w:pPr>
              <w:spacing w:after="0"/>
              <w:rPr>
                <w:sz w:val="20"/>
                <w:szCs w:val="20"/>
                <w:color w:val="auto"/>
              </w:rPr>
            </w:pPr>
          </w:p>
        </w:tc>
        <w:tc>
          <w:tcPr>
            <w:tcW w:w="7580" w:type="dxa"/>
            <w:vAlign w:val="bottom"/>
            <w:gridSpan w:val="9"/>
          </w:tcPr>
          <w:p>
            <w:pPr>
              <w:spacing w:after="0"/>
              <w:rPr>
                <w:sz w:val="20"/>
                <w:szCs w:val="20"/>
                <w:color w:val="auto"/>
              </w:rPr>
            </w:pPr>
          </w:p>
        </w:tc>
        <w:tc>
          <w:tcPr>
            <w:tcW w:w="2040" w:type="dxa"/>
            <w:vAlign w:val="bottom"/>
            <w:gridSpan w:val="2"/>
          </w:tcPr>
          <w:p>
            <w:pPr>
              <w:jc w:val="right"/>
              <w:spacing w:after="0"/>
              <w:rPr>
                <w:rFonts w:ascii="Arial" w:cs="Arial" w:eastAsia="Arial" w:hAnsi="Arial"/>
                <w:sz w:val="12"/>
                <w:szCs w:val="12"/>
                <w:color w:val="0000EE"/>
              </w:rPr>
            </w:pPr>
            <w:hyperlink w:anchor="page45">
              <w:r>
                <w:rPr>
                  <w:rFonts w:ascii="Arial" w:cs="Arial" w:eastAsia="Arial" w:hAnsi="Arial"/>
                  <w:sz w:val="12"/>
                  <w:szCs w:val="12"/>
                  <w:color w:val="0000EE"/>
                </w:rPr>
                <w:t>43</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920" w:type="dxa"/>
            <w:vAlign w:val="bottom"/>
            <w:tcBorders>
              <w:left w:val="single" w:sz="8" w:color="0000EE"/>
            </w:tcBorders>
            <w:gridSpan w:val="1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4"/>
          </w:tcPr>
          <w:p>
            <w:pPr>
              <w:spacing w:after="0"/>
              <w:rPr>
                <w:rFonts w:ascii="Arial" w:cs="Arial" w:eastAsia="Arial" w:hAnsi="Arial"/>
                <w:sz w:val="12"/>
                <w:szCs w:val="12"/>
                <w:i w:val="1"/>
                <w:iCs w:val="1"/>
                <w:color w:val="0000EE"/>
                <w:w w:val="90"/>
              </w:rPr>
            </w:pPr>
            <w:hyperlink w:anchor="page46">
              <w:r>
                <w:rPr>
                  <w:rFonts w:ascii="Arial" w:cs="Arial" w:eastAsia="Arial" w:hAnsi="Arial"/>
                  <w:sz w:val="12"/>
                  <w:szCs w:val="12"/>
                  <w:i w:val="1"/>
                  <w:iCs w:val="1"/>
                  <w:color w:val="0000EE"/>
                  <w:w w:val="90"/>
                </w:rPr>
                <w:t>Item 1A. Risk Factors</w:t>
              </w:r>
            </w:hyperlink>
          </w:p>
        </w:tc>
        <w:tc>
          <w:tcPr>
            <w:tcW w:w="200" w:type="dxa"/>
            <w:vAlign w:val="bottom"/>
          </w:tcPr>
          <w:p>
            <w:pPr>
              <w:spacing w:after="0"/>
              <w:rPr>
                <w:sz w:val="20"/>
                <w:szCs w:val="20"/>
                <w:color w:val="auto"/>
              </w:rPr>
            </w:pPr>
          </w:p>
        </w:tc>
        <w:tc>
          <w:tcPr>
            <w:tcW w:w="7920" w:type="dxa"/>
            <w:vAlign w:val="bottom"/>
            <w:gridSpan w:val="12"/>
          </w:tcPr>
          <w:p>
            <w:pPr>
              <w:spacing w:after="0"/>
              <w:rPr>
                <w:sz w:val="20"/>
                <w:szCs w:val="20"/>
                <w:color w:val="auto"/>
              </w:rPr>
            </w:pPr>
          </w:p>
        </w:tc>
        <w:tc>
          <w:tcPr>
            <w:tcW w:w="2040" w:type="dxa"/>
            <w:vAlign w:val="bottom"/>
            <w:gridSpan w:val="2"/>
          </w:tcPr>
          <w:p>
            <w:pPr>
              <w:jc w:val="right"/>
              <w:spacing w:after="0"/>
              <w:rPr>
                <w:rFonts w:ascii="Arial" w:cs="Arial" w:eastAsia="Arial" w:hAnsi="Arial"/>
                <w:sz w:val="12"/>
                <w:szCs w:val="12"/>
                <w:color w:val="0000EE"/>
              </w:rPr>
            </w:pPr>
            <w:hyperlink w:anchor="page46">
              <w:r>
                <w:rPr>
                  <w:rFonts w:ascii="Arial" w:cs="Arial" w:eastAsia="Arial" w:hAnsi="Arial"/>
                  <w:sz w:val="12"/>
                  <w:szCs w:val="12"/>
                  <w:color w:val="0000EE"/>
                </w:rPr>
                <w:t>44</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20" w:type="dxa"/>
            <w:vAlign w:val="bottom"/>
            <w:gridSpan w:val="1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5"/>
          </w:tcPr>
          <w:p>
            <w:pPr>
              <w:spacing w:after="0"/>
              <w:rPr>
                <w:rFonts w:ascii="Arial" w:cs="Arial" w:eastAsia="Arial" w:hAnsi="Arial"/>
                <w:sz w:val="12"/>
                <w:szCs w:val="12"/>
                <w:i w:val="1"/>
                <w:iCs w:val="1"/>
                <w:color w:val="0000EE"/>
                <w:w w:val="91"/>
              </w:rPr>
            </w:pPr>
            <w:hyperlink w:anchor="page46">
              <w:r>
                <w:rPr>
                  <w:rFonts w:ascii="Arial" w:cs="Arial" w:eastAsia="Arial" w:hAnsi="Arial"/>
                  <w:sz w:val="12"/>
                  <w:szCs w:val="12"/>
                  <w:i w:val="1"/>
                  <w:iCs w:val="1"/>
                  <w:color w:val="0000EE"/>
                  <w:w w:val="91"/>
                </w:rPr>
                <w:t>Item 5. Other Information</w:t>
              </w:r>
            </w:hyperlink>
          </w:p>
        </w:tc>
        <w:tc>
          <w:tcPr>
            <w:tcW w:w="7920" w:type="dxa"/>
            <w:vAlign w:val="bottom"/>
            <w:gridSpan w:val="12"/>
          </w:tcPr>
          <w:p>
            <w:pPr>
              <w:spacing w:after="0"/>
              <w:rPr>
                <w:sz w:val="20"/>
                <w:szCs w:val="20"/>
                <w:color w:val="auto"/>
              </w:rPr>
            </w:pPr>
          </w:p>
        </w:tc>
        <w:tc>
          <w:tcPr>
            <w:tcW w:w="2040" w:type="dxa"/>
            <w:vAlign w:val="bottom"/>
            <w:gridSpan w:val="2"/>
          </w:tcPr>
          <w:p>
            <w:pPr>
              <w:jc w:val="right"/>
              <w:spacing w:after="0"/>
              <w:rPr>
                <w:rFonts w:ascii="Arial" w:cs="Arial" w:eastAsia="Arial" w:hAnsi="Arial"/>
                <w:sz w:val="12"/>
                <w:szCs w:val="12"/>
                <w:color w:val="0000EE"/>
              </w:rPr>
            </w:pPr>
            <w:hyperlink w:anchor="page46">
              <w:r>
                <w:rPr>
                  <w:rFonts w:ascii="Arial" w:cs="Arial" w:eastAsia="Arial" w:hAnsi="Arial"/>
                  <w:sz w:val="12"/>
                  <w:szCs w:val="12"/>
                  <w:color w:val="0000EE"/>
                </w:rPr>
                <w:t>44</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920" w:type="dxa"/>
            <w:vAlign w:val="bottom"/>
            <w:gridSpan w:val="1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5"/>
          </w:tcPr>
          <w:p>
            <w:pPr>
              <w:spacing w:after="0"/>
              <w:rPr>
                <w:rFonts w:ascii="Arial" w:cs="Arial" w:eastAsia="Arial" w:hAnsi="Arial"/>
                <w:sz w:val="12"/>
                <w:szCs w:val="12"/>
                <w:i w:val="1"/>
                <w:iCs w:val="1"/>
                <w:color w:val="0000EE"/>
              </w:rPr>
            </w:pPr>
            <w:hyperlink w:anchor="page47">
              <w:r>
                <w:rPr>
                  <w:rFonts w:ascii="Arial" w:cs="Arial" w:eastAsia="Arial" w:hAnsi="Arial"/>
                  <w:sz w:val="12"/>
                  <w:szCs w:val="12"/>
                  <w:i w:val="1"/>
                  <w:iCs w:val="1"/>
                  <w:color w:val="0000EE"/>
                </w:rPr>
                <w:t>Item 6. Exhibits</w:t>
              </w:r>
            </w:hyperlink>
          </w:p>
        </w:tc>
        <w:tc>
          <w:tcPr>
            <w:tcW w:w="7920" w:type="dxa"/>
            <w:vAlign w:val="bottom"/>
            <w:gridSpan w:val="12"/>
          </w:tcPr>
          <w:p>
            <w:pPr>
              <w:spacing w:after="0"/>
              <w:rPr>
                <w:sz w:val="20"/>
                <w:szCs w:val="20"/>
                <w:color w:val="auto"/>
              </w:rPr>
            </w:pPr>
          </w:p>
        </w:tc>
        <w:tc>
          <w:tcPr>
            <w:tcW w:w="2040" w:type="dxa"/>
            <w:vAlign w:val="bottom"/>
            <w:gridSpan w:val="2"/>
          </w:tcPr>
          <w:p>
            <w:pPr>
              <w:jc w:val="right"/>
              <w:spacing w:after="0"/>
              <w:rPr>
                <w:rFonts w:ascii="Arial" w:cs="Arial" w:eastAsia="Arial" w:hAnsi="Arial"/>
                <w:sz w:val="12"/>
                <w:szCs w:val="12"/>
                <w:color w:val="0000EE"/>
              </w:rPr>
            </w:pPr>
            <w:hyperlink w:anchor="page47">
              <w:r>
                <w:rPr>
                  <w:rFonts w:ascii="Arial" w:cs="Arial" w:eastAsia="Arial" w:hAnsi="Arial"/>
                  <w:sz w:val="12"/>
                  <w:szCs w:val="12"/>
                  <w:color w:val="0000EE"/>
                </w:rPr>
                <w:t>45</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20" w:type="dxa"/>
            <w:vAlign w:val="bottom"/>
            <w:gridSpan w:val="1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9400" w:type="dxa"/>
            <w:vAlign w:val="bottom"/>
            <w:gridSpan w:val="18"/>
          </w:tcPr>
          <w:p>
            <w:pPr>
              <w:spacing w:after="0"/>
              <w:rPr>
                <w:rFonts w:ascii="Arial" w:cs="Arial" w:eastAsia="Arial" w:hAnsi="Arial"/>
                <w:sz w:val="12"/>
                <w:szCs w:val="12"/>
                <w:color w:val="0000EE"/>
              </w:rPr>
            </w:pPr>
            <w:hyperlink w:anchor="page48">
              <w:r>
                <w:rPr>
                  <w:rFonts w:ascii="Arial" w:cs="Arial" w:eastAsia="Arial" w:hAnsi="Arial"/>
                  <w:sz w:val="12"/>
                  <w:szCs w:val="12"/>
                  <w:color w:val="0000EE"/>
                </w:rPr>
                <w:t>SIGNATURES</w:t>
              </w:r>
            </w:hyperlink>
          </w:p>
        </w:tc>
        <w:tc>
          <w:tcPr>
            <w:tcW w:w="2040" w:type="dxa"/>
            <w:vAlign w:val="bottom"/>
            <w:gridSpan w:val="2"/>
          </w:tcPr>
          <w:p>
            <w:pPr>
              <w:jc w:val="right"/>
              <w:spacing w:after="0"/>
              <w:rPr>
                <w:rFonts w:ascii="Arial" w:cs="Arial" w:eastAsia="Arial" w:hAnsi="Arial"/>
                <w:sz w:val="12"/>
                <w:szCs w:val="12"/>
                <w:color w:val="0000EE"/>
              </w:rPr>
            </w:pPr>
            <w:hyperlink w:anchor="page48">
              <w:r>
                <w:rPr>
                  <w:rFonts w:ascii="Arial" w:cs="Arial" w:eastAsia="Arial" w:hAnsi="Arial"/>
                  <w:sz w:val="12"/>
                  <w:szCs w:val="12"/>
                  <w:color w:val="0000EE"/>
                </w:rPr>
                <w:t>46</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60"/>
          </w:cols>
          <w:pgMar w:left="220" w:top="115" w:right="219" w:bottom="1440" w:gutter="0" w:footer="0" w:header="0"/>
        </w:sectPr>
      </w:pPr>
    </w:p>
    <w:bookmarkStart w:id="2" w:name="page3"/>
    <w:bookmarkEnd w:id="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 FINANCIAL INFORMATION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EZCORP,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BALANCE SHEETS</w:t>
      </w:r>
    </w:p>
    <w:p>
      <w:pPr>
        <w:jc w:val="center"/>
        <w:spacing w:after="0"/>
        <w:rPr>
          <w:sz w:val="20"/>
          <w:szCs w:val="20"/>
          <w:color w:val="auto"/>
        </w:rPr>
      </w:pPr>
      <w:r>
        <w:rPr>
          <w:rFonts w:ascii="Arial" w:cs="Arial" w:eastAsia="Arial" w:hAnsi="Arial"/>
          <w:sz w:val="11"/>
          <w:szCs w:val="11"/>
          <w:i w:val="1"/>
          <w:iCs w:val="1"/>
          <w:color w:val="auto"/>
        </w:rPr>
        <w:t>(in thousands, except share and per share amounts)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7820" w:type="dxa"/>
            <w:vAlign w:val="bottom"/>
          </w:tcPr>
          <w:p>
            <w:pPr>
              <w:spacing w:after="0"/>
              <w:rPr>
                <w:sz w:val="7"/>
                <w:szCs w:val="7"/>
                <w:color w:val="auto"/>
              </w:rPr>
            </w:pPr>
          </w:p>
        </w:tc>
        <w:tc>
          <w:tcPr>
            <w:tcW w:w="720" w:type="dxa"/>
            <w:vAlign w:val="bottom"/>
          </w:tcPr>
          <w:p>
            <w:pPr>
              <w:jc w:val="right"/>
              <w:spacing w:after="0"/>
              <w:rPr>
                <w:sz w:val="20"/>
                <w:szCs w:val="20"/>
                <w:color w:val="auto"/>
              </w:rPr>
            </w:pPr>
            <w:r>
              <w:rPr>
                <w:rFonts w:ascii="Arial" w:cs="Arial" w:eastAsia="Arial" w:hAnsi="Arial"/>
                <w:sz w:val="8"/>
                <w:szCs w:val="8"/>
                <w:b w:val="1"/>
                <w:bCs w:val="1"/>
                <w:color w:val="auto"/>
              </w:rPr>
              <w:t>June 30,</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rPr>
                <w:sz w:val="20"/>
                <w:szCs w:val="20"/>
                <w:color w:val="auto"/>
              </w:rPr>
            </w:pPr>
            <w:r>
              <w:rPr>
                <w:rFonts w:ascii="Arial" w:cs="Arial" w:eastAsia="Arial" w:hAnsi="Arial"/>
                <w:sz w:val="8"/>
                <w:szCs w:val="8"/>
                <w:b w:val="1"/>
                <w:bCs w:val="1"/>
                <w:color w:val="auto"/>
              </w:rPr>
              <w:t>June 30,</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jc w:val="right"/>
              <w:ind w:right="272"/>
              <w:spacing w:after="0"/>
              <w:rPr>
                <w:sz w:val="20"/>
                <w:szCs w:val="20"/>
                <w:color w:val="auto"/>
              </w:rPr>
            </w:pPr>
            <w:r>
              <w:rPr>
                <w:rFonts w:ascii="Arial" w:cs="Arial" w:eastAsia="Arial" w:hAnsi="Arial"/>
                <w:sz w:val="8"/>
                <w:szCs w:val="8"/>
                <w:b w:val="1"/>
                <w:bCs w:val="1"/>
                <w:color w:val="auto"/>
              </w:rPr>
              <w:t>September 30,</w:t>
            </w:r>
          </w:p>
        </w:tc>
      </w:tr>
      <w:tr>
        <w:trPr>
          <w:trHeight w:val="113"/>
        </w:trPr>
        <w:tc>
          <w:tcPr>
            <w:tcW w:w="7820" w:type="dxa"/>
            <w:vAlign w:val="bottom"/>
          </w:tcPr>
          <w:p>
            <w:pPr>
              <w:spacing w:after="0"/>
              <w:rPr>
                <w:sz w:val="9"/>
                <w:szCs w:val="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8"/>
                <w:szCs w:val="8"/>
                <w:b w:val="1"/>
                <w:bCs w:val="1"/>
                <w:color w:val="auto"/>
              </w:rPr>
              <w:t>2017</w:t>
            </w: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8"/>
                <w:szCs w:val="8"/>
                <w:b w:val="1"/>
                <w:bCs w:val="1"/>
                <w:color w:val="auto"/>
              </w:rPr>
              <w:t>2016</w:t>
            </w: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8"/>
                <w:szCs w:val="8"/>
                <w:b w:val="1"/>
                <w:bCs w:val="1"/>
                <w:color w:val="auto"/>
              </w:rPr>
              <w:t>2016</w:t>
            </w:r>
          </w:p>
        </w:tc>
      </w:tr>
      <w:tr>
        <w:trPr>
          <w:trHeight w:val="250"/>
        </w:trPr>
        <w:tc>
          <w:tcPr>
            <w:tcW w:w="7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gridSpan w:val="3"/>
          </w:tcPr>
          <w:p>
            <w:pPr>
              <w:jc w:val="right"/>
              <w:ind w:right="514"/>
              <w:spacing w:after="0"/>
              <w:rPr>
                <w:sz w:val="20"/>
                <w:szCs w:val="20"/>
                <w:color w:val="auto"/>
              </w:rPr>
            </w:pPr>
            <w:r>
              <w:rPr>
                <w:rFonts w:ascii="Arial" w:cs="Arial" w:eastAsia="Arial" w:hAnsi="Arial"/>
                <w:sz w:val="8"/>
                <w:szCs w:val="8"/>
                <w:b w:val="1"/>
                <w:bCs w:val="1"/>
                <w:color w:val="auto"/>
              </w:rPr>
              <w:t>(Unaudited)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186"/>
        </w:trPr>
        <w:tc>
          <w:tcPr>
            <w:tcW w:w="7820" w:type="dxa"/>
            <w:vAlign w:val="bottom"/>
            <w:shd w:val="clear" w:color="auto" w:fill="CCEEFF"/>
          </w:tcPr>
          <w:p>
            <w:pPr>
              <w:ind w:left="20"/>
              <w:spacing w:after="0"/>
              <w:rPr>
                <w:sz w:val="20"/>
                <w:szCs w:val="20"/>
                <w:color w:val="auto"/>
              </w:rPr>
            </w:pPr>
            <w:r>
              <w:rPr>
                <w:rFonts w:ascii="Arial" w:cs="Arial" w:eastAsia="Arial" w:hAnsi="Arial"/>
                <w:sz w:val="10"/>
                <w:szCs w:val="10"/>
                <w:color w:val="auto"/>
              </w:rPr>
              <w:t>Assets:</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7820" w:type="dxa"/>
            <w:vAlign w:val="bottom"/>
          </w:tcPr>
          <w:p>
            <w:pPr>
              <w:ind w:left="180"/>
              <w:spacing w:after="0"/>
              <w:rPr>
                <w:sz w:val="20"/>
                <w:szCs w:val="20"/>
                <w:color w:val="auto"/>
              </w:rPr>
            </w:pPr>
            <w:r>
              <w:rPr>
                <w:rFonts w:ascii="Arial" w:cs="Arial" w:eastAsia="Arial" w:hAnsi="Arial"/>
                <w:sz w:val="10"/>
                <w:szCs w:val="10"/>
                <w:color w:val="auto"/>
              </w:rPr>
              <w:t>Current assets:</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78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Cash and cash equivalents</w:t>
            </w:r>
          </w:p>
        </w:tc>
        <w:tc>
          <w:tcPr>
            <w:tcW w:w="720" w:type="dxa"/>
            <w:vAlign w:val="bottom"/>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2"/>
              </w:rPr>
              <w:t>113,729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94"/>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7"/>
              </w:rPr>
              <w:t>29,380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65,737</w:t>
            </w:r>
          </w:p>
        </w:tc>
      </w:tr>
      <w:tr>
        <w:trPr>
          <w:trHeight w:val="176"/>
        </w:trPr>
        <w:tc>
          <w:tcPr>
            <w:tcW w:w="7820" w:type="dxa"/>
            <w:vAlign w:val="bottom"/>
          </w:tcPr>
          <w:p>
            <w:pPr>
              <w:ind w:left="320"/>
              <w:spacing w:after="0"/>
              <w:rPr>
                <w:sz w:val="20"/>
                <w:szCs w:val="20"/>
                <w:color w:val="auto"/>
              </w:rPr>
            </w:pPr>
            <w:r>
              <w:rPr>
                <w:rFonts w:ascii="Arial" w:cs="Arial" w:eastAsia="Arial" w:hAnsi="Arial"/>
                <w:sz w:val="10"/>
                <w:szCs w:val="10"/>
                <w:color w:val="auto"/>
              </w:rPr>
              <w:t>Pawn loans</w:t>
            </w: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168,262</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160,269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167,329</w:t>
            </w:r>
          </w:p>
        </w:tc>
      </w:tr>
      <w:tr>
        <w:trPr>
          <w:trHeight w:val="184"/>
        </w:trPr>
        <w:tc>
          <w:tcPr>
            <w:tcW w:w="78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Pawn service charges receivable, net</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7"/>
              </w:rPr>
              <w:t>30,585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7"/>
              </w:rPr>
              <w:t>29,643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31,062</w:t>
            </w:r>
          </w:p>
        </w:tc>
      </w:tr>
      <w:tr>
        <w:trPr>
          <w:trHeight w:val="176"/>
        </w:trPr>
        <w:tc>
          <w:tcPr>
            <w:tcW w:w="7820" w:type="dxa"/>
            <w:vAlign w:val="bottom"/>
          </w:tcPr>
          <w:p>
            <w:pPr>
              <w:ind w:left="320"/>
              <w:spacing w:after="0"/>
              <w:rPr>
                <w:sz w:val="20"/>
                <w:szCs w:val="20"/>
                <w:color w:val="auto"/>
              </w:rPr>
            </w:pPr>
            <w:r>
              <w:rPr>
                <w:rFonts w:ascii="Arial" w:cs="Arial" w:eastAsia="Arial" w:hAnsi="Arial"/>
                <w:sz w:val="10"/>
                <w:szCs w:val="10"/>
                <w:color w:val="auto"/>
              </w:rPr>
              <w:t>Inventory, net</w:t>
            </w: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135,053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130,368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140,224</w:t>
            </w:r>
          </w:p>
        </w:tc>
      </w:tr>
      <w:tr>
        <w:trPr>
          <w:trHeight w:val="184"/>
        </w:trPr>
        <w:tc>
          <w:tcPr>
            <w:tcW w:w="78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Notes receivable, net</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7"/>
              </w:rPr>
              <w:t>22,024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41,946</w:t>
            </w:r>
          </w:p>
        </w:tc>
      </w:tr>
      <w:tr>
        <w:trPr>
          <w:trHeight w:val="176"/>
        </w:trPr>
        <w:tc>
          <w:tcPr>
            <w:tcW w:w="7820" w:type="dxa"/>
            <w:vAlign w:val="bottom"/>
          </w:tcPr>
          <w:p>
            <w:pPr>
              <w:ind w:left="320"/>
              <w:spacing w:after="0"/>
              <w:rPr>
                <w:sz w:val="20"/>
                <w:szCs w:val="20"/>
                <w:color w:val="auto"/>
              </w:rPr>
            </w:pPr>
            <w:r>
              <w:rPr>
                <w:rFonts w:ascii="Arial" w:cs="Arial" w:eastAsia="Arial" w:hAnsi="Arial"/>
                <w:sz w:val="10"/>
                <w:szCs w:val="10"/>
                <w:color w:val="auto"/>
              </w:rPr>
              <w:t>Current assets held for sale</w:t>
            </w:r>
          </w:p>
        </w:tc>
        <w:tc>
          <w:tcPr>
            <w:tcW w:w="72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157,554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0"/>
        </w:trPr>
        <w:tc>
          <w:tcPr>
            <w:tcW w:w="78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Prepaid expenses and other current assets</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97"/>
              </w:rPr>
              <w:t>31,993</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97"/>
              </w:rPr>
              <w:t>26,577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35,845</w:t>
            </w:r>
          </w:p>
        </w:tc>
      </w:tr>
      <w:tr>
        <w:trPr>
          <w:trHeight w:val="160"/>
        </w:trPr>
        <w:tc>
          <w:tcPr>
            <w:tcW w:w="7820" w:type="dxa"/>
            <w:vAlign w:val="bottom"/>
          </w:tcPr>
          <w:p>
            <w:pPr>
              <w:ind w:left="460"/>
              <w:spacing w:after="0"/>
              <w:rPr>
                <w:sz w:val="20"/>
                <w:szCs w:val="20"/>
                <w:color w:val="auto"/>
              </w:rPr>
            </w:pPr>
            <w:r>
              <w:rPr>
                <w:rFonts w:ascii="Arial" w:cs="Arial" w:eastAsia="Arial" w:hAnsi="Arial"/>
                <w:sz w:val="10"/>
                <w:szCs w:val="10"/>
                <w:color w:val="auto"/>
              </w:rPr>
              <w:t>Total current assets</w:t>
            </w:r>
          </w:p>
        </w:tc>
        <w:tc>
          <w:tcPr>
            <w:tcW w:w="720" w:type="dxa"/>
            <w:vAlign w:val="bottom"/>
          </w:tcPr>
          <w:p>
            <w:pPr>
              <w:spacing w:after="0"/>
              <w:rPr>
                <w:sz w:val="13"/>
                <w:szCs w:val="13"/>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501,646</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533,791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482,143</w:t>
            </w:r>
          </w:p>
        </w:tc>
      </w:tr>
      <w:tr>
        <w:trPr>
          <w:trHeight w:val="184"/>
        </w:trPr>
        <w:tc>
          <w:tcPr>
            <w:tcW w:w="78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Investment in unconsolidated affiliate</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7"/>
              </w:rPr>
              <w:t>41,725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7"/>
              </w:rPr>
              <w:t>56,843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37,128</w:t>
            </w:r>
          </w:p>
        </w:tc>
      </w:tr>
      <w:tr>
        <w:trPr>
          <w:trHeight w:val="176"/>
        </w:trPr>
        <w:tc>
          <w:tcPr>
            <w:tcW w:w="7820" w:type="dxa"/>
            <w:vAlign w:val="bottom"/>
          </w:tcPr>
          <w:p>
            <w:pPr>
              <w:ind w:left="180"/>
              <w:spacing w:after="0"/>
              <w:rPr>
                <w:sz w:val="20"/>
                <w:szCs w:val="20"/>
                <w:color w:val="auto"/>
              </w:rPr>
            </w:pPr>
            <w:r>
              <w:rPr>
                <w:rFonts w:ascii="Arial" w:cs="Arial" w:eastAsia="Arial" w:hAnsi="Arial"/>
                <w:sz w:val="10"/>
                <w:szCs w:val="10"/>
                <w:color w:val="auto"/>
              </w:rPr>
              <w:t>Property and equipment, net</w:t>
            </w: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97"/>
              </w:rPr>
              <w:t>53,022</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97"/>
              </w:rPr>
              <w:t>61,201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58,455</w:t>
            </w:r>
          </w:p>
        </w:tc>
      </w:tr>
      <w:tr>
        <w:trPr>
          <w:trHeight w:val="184"/>
        </w:trPr>
        <w:tc>
          <w:tcPr>
            <w:tcW w:w="78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Goodwill</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2"/>
              </w:rPr>
              <w:t>254,469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2"/>
              </w:rPr>
              <w:t>254,273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253,976</w:t>
            </w:r>
          </w:p>
        </w:tc>
      </w:tr>
      <w:tr>
        <w:trPr>
          <w:trHeight w:val="176"/>
        </w:trPr>
        <w:tc>
          <w:tcPr>
            <w:tcW w:w="7820" w:type="dxa"/>
            <w:vAlign w:val="bottom"/>
          </w:tcPr>
          <w:p>
            <w:pPr>
              <w:ind w:left="180"/>
              <w:spacing w:after="0"/>
              <w:rPr>
                <w:sz w:val="20"/>
                <w:szCs w:val="20"/>
                <w:color w:val="auto"/>
              </w:rPr>
            </w:pPr>
            <w:r>
              <w:rPr>
                <w:rFonts w:ascii="Arial" w:cs="Arial" w:eastAsia="Arial" w:hAnsi="Arial"/>
                <w:sz w:val="10"/>
                <w:szCs w:val="10"/>
                <w:color w:val="auto"/>
              </w:rPr>
              <w:t>Intangible assets, net</w:t>
            </w: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97"/>
              </w:rPr>
              <w:t>32,551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97"/>
              </w:rPr>
              <w:t>30,569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30,681</w:t>
            </w:r>
          </w:p>
        </w:tc>
      </w:tr>
      <w:tr>
        <w:trPr>
          <w:trHeight w:val="184"/>
        </w:trPr>
        <w:tc>
          <w:tcPr>
            <w:tcW w:w="78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Non-current notes receivable, net</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7"/>
              </w:rPr>
              <w:t>41,253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41,119</w:t>
            </w:r>
          </w:p>
        </w:tc>
      </w:tr>
      <w:tr>
        <w:trPr>
          <w:trHeight w:val="176"/>
        </w:trPr>
        <w:tc>
          <w:tcPr>
            <w:tcW w:w="7820" w:type="dxa"/>
            <w:vAlign w:val="bottom"/>
          </w:tcPr>
          <w:p>
            <w:pPr>
              <w:ind w:left="180"/>
              <w:spacing w:after="0"/>
              <w:rPr>
                <w:sz w:val="20"/>
                <w:szCs w:val="20"/>
                <w:color w:val="auto"/>
              </w:rPr>
            </w:pPr>
            <w:r>
              <w:rPr>
                <w:rFonts w:ascii="Arial" w:cs="Arial" w:eastAsia="Arial" w:hAnsi="Arial"/>
                <w:sz w:val="10"/>
                <w:szCs w:val="10"/>
                <w:color w:val="auto"/>
              </w:rPr>
              <w:t>Deferred tax asset, net</w:t>
            </w: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97"/>
              </w:rPr>
              <w:t>36,506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97"/>
              </w:rPr>
              <w:t>34,170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35,303</w:t>
            </w:r>
          </w:p>
        </w:tc>
      </w:tr>
      <w:tr>
        <w:trPr>
          <w:trHeight w:val="180"/>
        </w:trPr>
        <w:tc>
          <w:tcPr>
            <w:tcW w:w="78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Other assets, net</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9,145</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97"/>
              </w:rPr>
              <w:t>18,950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44,439</w:t>
            </w:r>
          </w:p>
        </w:tc>
      </w:tr>
      <w:tr>
        <w:trPr>
          <w:trHeight w:val="16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Total assets</w:t>
            </w:r>
          </w:p>
        </w:tc>
        <w:tc>
          <w:tcPr>
            <w:tcW w:w="720" w:type="dxa"/>
            <w:vAlign w:val="bottom"/>
            <w:tcBorders>
              <w:bottom w:val="single" w:sz="8" w:color="auto"/>
            </w:tcBorders>
          </w:tcPr>
          <w:p>
            <w:pPr>
              <w:jc w:val="right"/>
              <w:ind w:right="614"/>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82"/>
              </w:rPr>
              <w:t>970,317</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594"/>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82"/>
              </w:rPr>
              <w:t>989,797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983,244</w:t>
            </w:r>
          </w:p>
        </w:tc>
      </w:tr>
      <w:tr>
        <w:trPr>
          <w:trHeight w:val="198"/>
        </w:trPr>
        <w:tc>
          <w:tcPr>
            <w:tcW w:w="7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76"/>
        </w:trPr>
        <w:tc>
          <w:tcPr>
            <w:tcW w:w="7820" w:type="dxa"/>
            <w:vAlign w:val="bottom"/>
          </w:tcPr>
          <w:p>
            <w:pPr>
              <w:ind w:left="20"/>
              <w:spacing w:after="0"/>
              <w:rPr>
                <w:sz w:val="20"/>
                <w:szCs w:val="20"/>
                <w:color w:val="auto"/>
              </w:rPr>
            </w:pPr>
            <w:r>
              <w:rPr>
                <w:rFonts w:ascii="Arial" w:cs="Arial" w:eastAsia="Arial" w:hAnsi="Arial"/>
                <w:sz w:val="10"/>
                <w:szCs w:val="10"/>
                <w:color w:val="auto"/>
              </w:rPr>
              <w:t>Liabilities, temporary equity and equity:</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78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Current liabilities:</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7820" w:type="dxa"/>
            <w:vAlign w:val="bottom"/>
          </w:tcPr>
          <w:p>
            <w:pPr>
              <w:ind w:left="320"/>
              <w:spacing w:after="0"/>
              <w:rPr>
                <w:sz w:val="20"/>
                <w:szCs w:val="20"/>
                <w:color w:val="auto"/>
              </w:rPr>
            </w:pPr>
            <w:r>
              <w:rPr>
                <w:rFonts w:ascii="Arial" w:cs="Arial" w:eastAsia="Arial" w:hAnsi="Arial"/>
                <w:sz w:val="10"/>
                <w:szCs w:val="10"/>
                <w:color w:val="auto"/>
              </w:rPr>
              <w:t>Accounts payable, accrued expenses and other current liabilities</w:t>
            </w:r>
          </w:p>
        </w:tc>
        <w:tc>
          <w:tcPr>
            <w:tcW w:w="720" w:type="dxa"/>
            <w:vAlign w:val="bottom"/>
          </w:tcPr>
          <w:p>
            <w:pPr>
              <w:jc w:val="right"/>
              <w:ind w:right="614"/>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97"/>
              </w:rPr>
              <w:t>64,830</w:t>
            </w:r>
          </w:p>
        </w:tc>
        <w:tc>
          <w:tcPr>
            <w:tcW w:w="100" w:type="dxa"/>
            <w:vAlign w:val="bottom"/>
          </w:tcPr>
          <w:p>
            <w:pPr>
              <w:spacing w:after="0"/>
              <w:rPr>
                <w:sz w:val="15"/>
                <w:szCs w:val="15"/>
                <w:color w:val="auto"/>
              </w:rPr>
            </w:pPr>
          </w:p>
        </w:tc>
        <w:tc>
          <w:tcPr>
            <w:tcW w:w="720" w:type="dxa"/>
            <w:vAlign w:val="bottom"/>
          </w:tcPr>
          <w:p>
            <w:pPr>
              <w:jc w:val="right"/>
              <w:ind w:right="594"/>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97"/>
              </w:rPr>
              <w:t>63,242</w:t>
            </w:r>
          </w:p>
        </w:tc>
        <w:tc>
          <w:tcPr>
            <w:tcW w:w="10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84,285</w:t>
            </w:r>
          </w:p>
        </w:tc>
      </w:tr>
      <w:tr>
        <w:trPr>
          <w:trHeight w:val="184"/>
        </w:trPr>
        <w:tc>
          <w:tcPr>
            <w:tcW w:w="78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Current liabilities held for sale</w:t>
            </w: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2"/>
              </w:rPr>
              <w:t>130,261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76"/>
        </w:trPr>
        <w:tc>
          <w:tcPr>
            <w:tcW w:w="7820" w:type="dxa"/>
            <w:vAlign w:val="bottom"/>
            <w:tcBorders>
              <w:bottom w:val="single" w:sz="8" w:color="CCEEFF"/>
            </w:tcBorders>
          </w:tcPr>
          <w:p>
            <w:pPr>
              <w:ind w:left="320"/>
              <w:spacing w:after="0"/>
              <w:rPr>
                <w:sz w:val="20"/>
                <w:szCs w:val="20"/>
                <w:color w:val="auto"/>
              </w:rPr>
            </w:pPr>
            <w:r>
              <w:rPr>
                <w:rFonts w:ascii="Arial" w:cs="Arial" w:eastAsia="Arial" w:hAnsi="Arial"/>
                <w:sz w:val="10"/>
                <w:szCs w:val="10"/>
                <w:color w:val="auto"/>
              </w:rPr>
              <w:t>Customer layaway deposits</w:t>
            </w: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97"/>
              </w:rPr>
              <w:t>11,091</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97"/>
              </w:rPr>
              <w:t>11,201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10,693</w:t>
            </w:r>
          </w:p>
        </w:tc>
      </w:tr>
      <w:tr>
        <w:trPr>
          <w:trHeight w:val="164"/>
        </w:trPr>
        <w:tc>
          <w:tcPr>
            <w:tcW w:w="7820" w:type="dxa"/>
            <w:vAlign w:val="bottom"/>
            <w:shd w:val="clear" w:color="auto" w:fill="CCEEFF"/>
          </w:tcPr>
          <w:p>
            <w:pPr>
              <w:ind w:left="460"/>
              <w:spacing w:after="0"/>
              <w:rPr>
                <w:sz w:val="20"/>
                <w:szCs w:val="20"/>
                <w:color w:val="auto"/>
              </w:rPr>
            </w:pPr>
            <w:r>
              <w:rPr>
                <w:rFonts w:ascii="Arial" w:cs="Arial" w:eastAsia="Arial" w:hAnsi="Arial"/>
                <w:sz w:val="10"/>
                <w:szCs w:val="10"/>
                <w:color w:val="auto"/>
              </w:rPr>
              <w:t>Total current liabilities</w:t>
            </w: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7"/>
              </w:rPr>
              <w:t>75,921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2"/>
              </w:rPr>
              <w:t>204,704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94,978</w:t>
            </w:r>
          </w:p>
        </w:tc>
      </w:tr>
      <w:tr>
        <w:trPr>
          <w:trHeight w:val="176"/>
        </w:trPr>
        <w:tc>
          <w:tcPr>
            <w:tcW w:w="7820" w:type="dxa"/>
            <w:vAlign w:val="bottom"/>
          </w:tcPr>
          <w:p>
            <w:pPr>
              <w:ind w:left="180"/>
              <w:spacing w:after="0"/>
              <w:rPr>
                <w:sz w:val="20"/>
                <w:szCs w:val="20"/>
                <w:color w:val="auto"/>
              </w:rPr>
            </w:pPr>
            <w:r>
              <w:rPr>
                <w:rFonts w:ascii="Arial" w:cs="Arial" w:eastAsia="Arial" w:hAnsi="Arial"/>
                <w:sz w:val="10"/>
                <w:szCs w:val="10"/>
                <w:color w:val="auto"/>
              </w:rPr>
              <w:t>Long-term debt, net</w:t>
            </w: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260,414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211,421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283,611</w:t>
            </w:r>
          </w:p>
        </w:tc>
      </w:tr>
      <w:tr>
        <w:trPr>
          <w:trHeight w:val="180"/>
        </w:trPr>
        <w:tc>
          <w:tcPr>
            <w:tcW w:w="78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Other long-term liabilities</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9,680</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9,548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10,450</w:t>
            </w:r>
          </w:p>
        </w:tc>
      </w:tr>
      <w:tr>
        <w:trPr>
          <w:trHeight w:val="160"/>
        </w:trPr>
        <w:tc>
          <w:tcPr>
            <w:tcW w:w="7820" w:type="dxa"/>
            <w:vAlign w:val="bottom"/>
          </w:tcPr>
          <w:p>
            <w:pPr>
              <w:ind w:left="460"/>
              <w:spacing w:after="0"/>
              <w:rPr>
                <w:sz w:val="20"/>
                <w:szCs w:val="20"/>
                <w:color w:val="auto"/>
              </w:rPr>
            </w:pPr>
            <w:r>
              <w:rPr>
                <w:rFonts w:ascii="Arial" w:cs="Arial" w:eastAsia="Arial" w:hAnsi="Arial"/>
                <w:sz w:val="10"/>
                <w:szCs w:val="10"/>
                <w:color w:val="auto"/>
              </w:rPr>
              <w:t>Total liabilities</w:t>
            </w:r>
          </w:p>
        </w:tc>
        <w:tc>
          <w:tcPr>
            <w:tcW w:w="720" w:type="dxa"/>
            <w:vAlign w:val="bottom"/>
          </w:tcPr>
          <w:p>
            <w:pPr>
              <w:spacing w:after="0"/>
              <w:rPr>
                <w:sz w:val="13"/>
                <w:szCs w:val="13"/>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346,015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425,673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389,039</w:t>
            </w:r>
          </w:p>
        </w:tc>
      </w:tr>
      <w:tr>
        <w:trPr>
          <w:trHeight w:val="184"/>
        </w:trPr>
        <w:tc>
          <w:tcPr>
            <w:tcW w:w="78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Commitments and contingencies (Note 7)</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7820" w:type="dxa"/>
            <w:vAlign w:val="bottom"/>
          </w:tcPr>
          <w:p>
            <w:pPr>
              <w:ind w:left="180"/>
              <w:spacing w:after="0"/>
              <w:rPr>
                <w:sz w:val="20"/>
                <w:szCs w:val="20"/>
                <w:color w:val="auto"/>
              </w:rPr>
            </w:pPr>
            <w:r>
              <w:rPr>
                <w:rFonts w:ascii="Arial" w:cs="Arial" w:eastAsia="Arial" w:hAnsi="Arial"/>
                <w:sz w:val="10"/>
                <w:szCs w:val="10"/>
                <w:color w:val="auto"/>
              </w:rPr>
              <w:t>Temporary equity:</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78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Redeemable noncontrolling interest</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(2,378)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60"/>
        </w:trPr>
        <w:tc>
          <w:tcPr>
            <w:tcW w:w="7820" w:type="dxa"/>
            <w:vAlign w:val="bottom"/>
          </w:tcPr>
          <w:p>
            <w:pPr>
              <w:ind w:left="460"/>
              <w:spacing w:after="0"/>
              <w:rPr>
                <w:sz w:val="20"/>
                <w:szCs w:val="20"/>
                <w:color w:val="auto"/>
              </w:rPr>
            </w:pPr>
            <w:r>
              <w:rPr>
                <w:rFonts w:ascii="Arial" w:cs="Arial" w:eastAsia="Arial" w:hAnsi="Arial"/>
                <w:sz w:val="10"/>
                <w:szCs w:val="10"/>
                <w:color w:val="auto"/>
              </w:rPr>
              <w:t>Total temporary equity</w:t>
            </w:r>
          </w:p>
        </w:tc>
        <w:tc>
          <w:tcPr>
            <w:tcW w:w="72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3"/>
                <w:szCs w:val="13"/>
                <w:color w:val="auto"/>
              </w:rPr>
            </w:pP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(2,378)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4"/>
        </w:trPr>
        <w:tc>
          <w:tcPr>
            <w:tcW w:w="78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Stockholders’ equity:</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05"/>
        </w:trPr>
        <w:tc>
          <w:tcPr>
            <w:tcW w:w="7820" w:type="dxa"/>
            <w:vAlign w:val="bottom"/>
          </w:tcPr>
          <w:p>
            <w:pPr>
              <w:ind w:left="320"/>
              <w:spacing w:after="0" w:line="105" w:lineRule="exact"/>
              <w:rPr>
                <w:sz w:val="20"/>
                <w:szCs w:val="20"/>
                <w:color w:val="auto"/>
              </w:rPr>
            </w:pPr>
            <w:r>
              <w:rPr>
                <w:rFonts w:ascii="Arial" w:cs="Arial" w:eastAsia="Arial" w:hAnsi="Arial"/>
                <w:sz w:val="10"/>
                <w:szCs w:val="10"/>
                <w:color w:val="auto"/>
                <w:w w:val="89"/>
              </w:rPr>
              <w:t>Class A Non-voting Common Stock, par value $.01 per share; shares authorized: 100 million; issued and outstanding: 51,326,582 as of June 30, 2017; 51,019,332 as of June 30, 2016; and</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26"/>
        </w:trPr>
        <w:tc>
          <w:tcPr>
            <w:tcW w:w="7820" w:type="dxa"/>
            <w:vAlign w:val="bottom"/>
          </w:tcPr>
          <w:p>
            <w:pPr>
              <w:ind w:left="320"/>
              <w:spacing w:after="0"/>
              <w:rPr>
                <w:sz w:val="20"/>
                <w:szCs w:val="20"/>
                <w:color w:val="auto"/>
              </w:rPr>
            </w:pPr>
            <w:r>
              <w:rPr>
                <w:rFonts w:ascii="Arial" w:cs="Arial" w:eastAsia="Arial" w:hAnsi="Arial"/>
                <w:sz w:val="10"/>
                <w:szCs w:val="10"/>
                <w:color w:val="auto"/>
              </w:rPr>
              <w:t>51,129,144 as of September 30, 2016</w:t>
            </w:r>
          </w:p>
        </w:tc>
        <w:tc>
          <w:tcPr>
            <w:tcW w:w="72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rPr>
              <w:t>513</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rPr>
              <w:t>510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511</w:t>
            </w:r>
          </w:p>
        </w:tc>
      </w:tr>
      <w:tr>
        <w:trPr>
          <w:trHeight w:val="184"/>
        </w:trPr>
        <w:tc>
          <w:tcPr>
            <w:tcW w:w="78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Class B Voting Common Stock, convertible, par value $.01 per share; shares authorized: 3 million; issued and outstanding: 2,970,171</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w:t>
            </w:r>
          </w:p>
        </w:tc>
      </w:tr>
      <w:tr>
        <w:trPr>
          <w:trHeight w:val="176"/>
        </w:trPr>
        <w:tc>
          <w:tcPr>
            <w:tcW w:w="7820" w:type="dxa"/>
            <w:vAlign w:val="bottom"/>
          </w:tcPr>
          <w:p>
            <w:pPr>
              <w:ind w:left="320"/>
              <w:spacing w:after="0"/>
              <w:rPr>
                <w:sz w:val="20"/>
                <w:szCs w:val="20"/>
                <w:color w:val="auto"/>
              </w:rPr>
            </w:pPr>
            <w:r>
              <w:rPr>
                <w:rFonts w:ascii="Arial" w:cs="Arial" w:eastAsia="Arial" w:hAnsi="Arial"/>
                <w:sz w:val="10"/>
                <w:szCs w:val="10"/>
                <w:color w:val="auto"/>
              </w:rPr>
              <w:t>Additional paid-in capital</w:t>
            </w: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322,559</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82"/>
              </w:rPr>
              <w:t>316,565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318,723</w:t>
            </w:r>
          </w:p>
        </w:tc>
      </w:tr>
      <w:tr>
        <w:trPr>
          <w:trHeight w:val="184"/>
        </w:trPr>
        <w:tc>
          <w:tcPr>
            <w:tcW w:w="78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Retained earnings</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2"/>
              </w:rPr>
              <w:t>340,256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2"/>
              </w:rPr>
              <w:t>316,577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319,808</w:t>
            </w:r>
          </w:p>
        </w:tc>
      </w:tr>
      <w:tr>
        <w:trPr>
          <w:trHeight w:val="176"/>
        </w:trPr>
        <w:tc>
          <w:tcPr>
            <w:tcW w:w="7820" w:type="dxa"/>
            <w:vAlign w:val="bottom"/>
            <w:tcBorders>
              <w:bottom w:val="single" w:sz="8" w:color="CCEEFF"/>
            </w:tcBorders>
          </w:tcPr>
          <w:p>
            <w:pPr>
              <w:ind w:left="320"/>
              <w:spacing w:after="0"/>
              <w:rPr>
                <w:sz w:val="20"/>
                <w:szCs w:val="20"/>
                <w:color w:val="auto"/>
              </w:rPr>
            </w:pPr>
            <w:r>
              <w:rPr>
                <w:rFonts w:ascii="Arial" w:cs="Arial" w:eastAsia="Arial" w:hAnsi="Arial"/>
                <w:sz w:val="10"/>
                <w:szCs w:val="10"/>
                <w:color w:val="auto"/>
              </w:rPr>
              <w:t>Accumulated other comprehensive loss</w:t>
            </w: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85"/>
              </w:rPr>
              <w:t>(37,921)</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91"/>
              </w:rPr>
              <w:t>(66,974)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(44,089)</w:t>
            </w:r>
          </w:p>
        </w:tc>
      </w:tr>
      <w:tr>
        <w:trPr>
          <w:trHeight w:val="164"/>
        </w:trPr>
        <w:tc>
          <w:tcPr>
            <w:tcW w:w="7820" w:type="dxa"/>
            <w:vAlign w:val="bottom"/>
            <w:shd w:val="clear" w:color="auto" w:fill="CCEEFF"/>
          </w:tcPr>
          <w:p>
            <w:pPr>
              <w:ind w:left="460"/>
              <w:spacing w:after="0"/>
              <w:rPr>
                <w:sz w:val="20"/>
                <w:szCs w:val="20"/>
                <w:color w:val="auto"/>
              </w:rPr>
            </w:pPr>
            <w:r>
              <w:rPr>
                <w:rFonts w:ascii="Arial" w:cs="Arial" w:eastAsia="Arial" w:hAnsi="Arial"/>
                <w:sz w:val="10"/>
                <w:szCs w:val="10"/>
                <w:color w:val="auto"/>
              </w:rPr>
              <w:t>EZCORP, Inc. stockholders’ equity</w:t>
            </w: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2"/>
              </w:rPr>
              <w:t>625,437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2"/>
              </w:rPr>
              <w:t>566,708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594,983</w:t>
            </w:r>
          </w:p>
        </w:tc>
      </w:tr>
      <w:tr>
        <w:trPr>
          <w:trHeight w:val="176"/>
        </w:trPr>
        <w:tc>
          <w:tcPr>
            <w:tcW w:w="7820" w:type="dxa"/>
            <w:vAlign w:val="bottom"/>
            <w:tcBorders>
              <w:bottom w:val="single" w:sz="8" w:color="CCEEFF"/>
            </w:tcBorders>
          </w:tcPr>
          <w:p>
            <w:pPr>
              <w:ind w:left="320"/>
              <w:spacing w:after="0"/>
              <w:rPr>
                <w:sz w:val="20"/>
                <w:szCs w:val="20"/>
                <w:color w:val="auto"/>
              </w:rPr>
            </w:pPr>
            <w:r>
              <w:rPr>
                <w:rFonts w:ascii="Arial" w:cs="Arial" w:eastAsia="Arial" w:hAnsi="Arial"/>
                <w:sz w:val="10"/>
                <w:szCs w:val="10"/>
                <w:color w:val="auto"/>
              </w:rPr>
              <w:t>Noncontrolling interest</w:t>
            </w: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(1,135)</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(206)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(778)</w:t>
            </w:r>
          </w:p>
        </w:tc>
      </w:tr>
      <w:tr>
        <w:trPr>
          <w:trHeight w:val="160"/>
        </w:trPr>
        <w:tc>
          <w:tcPr>
            <w:tcW w:w="7820" w:type="dxa"/>
            <w:vAlign w:val="bottom"/>
            <w:shd w:val="clear" w:color="auto" w:fill="CCEEFF"/>
          </w:tcPr>
          <w:p>
            <w:pPr>
              <w:ind w:left="460"/>
              <w:spacing w:after="0"/>
              <w:rPr>
                <w:sz w:val="20"/>
                <w:szCs w:val="20"/>
                <w:color w:val="auto"/>
              </w:rPr>
            </w:pPr>
            <w:r>
              <w:rPr>
                <w:rFonts w:ascii="Arial" w:cs="Arial" w:eastAsia="Arial" w:hAnsi="Arial"/>
                <w:sz w:val="10"/>
                <w:szCs w:val="10"/>
                <w:color w:val="auto"/>
              </w:rPr>
              <w:t>Total equity</w:t>
            </w:r>
          </w:p>
        </w:tc>
        <w:tc>
          <w:tcPr>
            <w:tcW w:w="7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82"/>
              </w:rPr>
              <w:t>624,302</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82"/>
              </w:rPr>
              <w:t>566,502</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594,205</w:t>
            </w:r>
          </w:p>
        </w:tc>
      </w:tr>
      <w:tr>
        <w:trPr>
          <w:trHeight w:val="162"/>
        </w:trPr>
        <w:tc>
          <w:tcPr>
            <w:tcW w:w="7820" w:type="dxa"/>
            <w:vAlign w:val="bottom"/>
          </w:tcPr>
          <w:p>
            <w:pPr>
              <w:ind w:left="20"/>
              <w:spacing w:after="0"/>
              <w:rPr>
                <w:sz w:val="20"/>
                <w:szCs w:val="20"/>
                <w:color w:val="auto"/>
              </w:rPr>
            </w:pPr>
            <w:r>
              <w:rPr>
                <w:rFonts w:ascii="Arial" w:cs="Arial" w:eastAsia="Arial" w:hAnsi="Arial"/>
                <w:sz w:val="10"/>
                <w:szCs w:val="10"/>
                <w:color w:val="auto"/>
              </w:rPr>
              <w:t>Total liabilities, temporary equity and equity</w:t>
            </w:r>
          </w:p>
        </w:tc>
        <w:tc>
          <w:tcPr>
            <w:tcW w:w="720" w:type="dxa"/>
            <w:vAlign w:val="bottom"/>
            <w:tcBorders>
              <w:bottom w:val="single" w:sz="8" w:color="auto"/>
            </w:tcBorders>
          </w:tcPr>
          <w:p>
            <w:pPr>
              <w:jc w:val="right"/>
              <w:ind w:right="614"/>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82"/>
              </w:rPr>
              <w:t>970,317</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ind w:right="594"/>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82"/>
              </w:rPr>
              <w:t>989,797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983,244</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128" w:right="199" w:bottom="1440" w:gutter="0" w:footer="0" w:header="0"/>
        </w:sectPr>
      </w:pPr>
    </w:p>
    <w:bookmarkStart w:id="3" w:name="page4"/>
    <w:bookmarkEnd w:id="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EZCORP,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STATEMENTS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2780" w:type="dxa"/>
            <w:vAlign w:val="bottom"/>
            <w:gridSpan w:val="6"/>
          </w:tcPr>
          <w:p>
            <w:pPr>
              <w:ind w:left="720"/>
              <w:spacing w:after="0"/>
              <w:rPr>
                <w:sz w:val="20"/>
                <w:szCs w:val="20"/>
                <w:color w:val="auto"/>
              </w:rPr>
            </w:pPr>
            <w:r>
              <w:rPr>
                <w:rFonts w:ascii="Arial" w:cs="Arial" w:eastAsia="Arial" w:hAnsi="Arial"/>
                <w:sz w:val="10"/>
                <w:szCs w:val="10"/>
                <w:b w:val="1"/>
                <w:bCs w:val="1"/>
                <w:color w:val="auto"/>
              </w:rPr>
              <w:t>Three Months Ended June 30,</w:t>
            </w:r>
          </w:p>
        </w:tc>
        <w:tc>
          <w:tcPr>
            <w:tcW w:w="360" w:type="dxa"/>
            <w:vAlign w:val="bottom"/>
          </w:tcPr>
          <w:p>
            <w:pPr>
              <w:spacing w:after="0"/>
              <w:rPr>
                <w:sz w:val="11"/>
                <w:szCs w:val="11"/>
                <w:color w:val="auto"/>
              </w:rPr>
            </w:pPr>
          </w:p>
        </w:tc>
        <w:tc>
          <w:tcPr>
            <w:tcW w:w="2260" w:type="dxa"/>
            <w:vAlign w:val="bottom"/>
            <w:gridSpan w:val="4"/>
          </w:tcPr>
          <w:p>
            <w:pPr>
              <w:jc w:val="right"/>
              <w:ind w:right="666"/>
              <w:spacing w:after="0"/>
              <w:rPr>
                <w:sz w:val="20"/>
                <w:szCs w:val="20"/>
                <w:color w:val="auto"/>
              </w:rPr>
            </w:pPr>
            <w:r>
              <w:rPr>
                <w:rFonts w:ascii="Arial" w:cs="Arial" w:eastAsia="Arial" w:hAnsi="Arial"/>
                <w:sz w:val="10"/>
                <w:szCs w:val="10"/>
                <w:b w:val="1"/>
                <w:bCs w:val="1"/>
                <w:color w:val="auto"/>
              </w:rPr>
              <w:t>Nine Months Ended June 30,</w:t>
            </w:r>
          </w:p>
        </w:tc>
      </w:tr>
      <w:tr>
        <w:trPr>
          <w:trHeight w:val="169"/>
        </w:trPr>
        <w:tc>
          <w:tcPr>
            <w:tcW w:w="60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2016</w:t>
            </w:r>
          </w:p>
        </w:tc>
      </w:tr>
      <w:tr>
        <w:trPr>
          <w:trHeight w:val="246"/>
        </w:trPr>
        <w:tc>
          <w:tcPr>
            <w:tcW w:w="6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center"/>
              <w:ind w:left="546"/>
              <w:spacing w:after="0"/>
              <w:rPr>
                <w:sz w:val="20"/>
                <w:szCs w:val="20"/>
                <w:color w:val="auto"/>
              </w:rPr>
            </w:pPr>
            <w:r>
              <w:rPr>
                <w:rFonts w:ascii="Arial" w:cs="Arial" w:eastAsia="Arial" w:hAnsi="Arial"/>
                <w:sz w:val="10"/>
                <w:szCs w:val="10"/>
                <w:b w:val="1"/>
                <w:bCs w:val="1"/>
                <w:color w:val="auto"/>
                <w:w w:val="89"/>
              </w:rPr>
              <w:t>(Unaudited)</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39"/>
        </w:trPr>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0"/>
                <w:szCs w:val="10"/>
                <w:i w:val="1"/>
                <w:iCs w:val="1"/>
                <w:color w:val="auto"/>
                <w:w w:val="85"/>
              </w:rPr>
              <w:t>(in thousands, except per share amounts)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Revenues:</w:t>
            </w: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r>
      <w:tr>
        <w:trPr>
          <w:trHeight w:val="158"/>
        </w:trPr>
        <w:tc>
          <w:tcPr>
            <w:tcW w:w="6080" w:type="dxa"/>
            <w:vAlign w:val="bottom"/>
          </w:tcPr>
          <w:p>
            <w:pPr>
              <w:ind w:left="180"/>
              <w:spacing w:after="0"/>
              <w:rPr>
                <w:sz w:val="20"/>
                <w:szCs w:val="20"/>
                <w:color w:val="auto"/>
              </w:rPr>
            </w:pPr>
            <w:r>
              <w:rPr>
                <w:rFonts w:ascii="Arial" w:cs="Arial" w:eastAsia="Arial" w:hAnsi="Arial"/>
                <w:sz w:val="11"/>
                <w:szCs w:val="11"/>
                <w:color w:val="auto"/>
              </w:rPr>
              <w:t>Merchandise sales</w:t>
            </w:r>
          </w:p>
        </w:tc>
        <w:tc>
          <w:tcPr>
            <w:tcW w:w="760" w:type="dxa"/>
            <w:vAlign w:val="bottom"/>
          </w:tcPr>
          <w:p>
            <w:pPr>
              <w:jc w:val="right"/>
              <w:ind w:right="628"/>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97,921</w:t>
            </w:r>
          </w:p>
        </w:tc>
        <w:tc>
          <w:tcPr>
            <w:tcW w:w="10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94,014</w:t>
            </w:r>
          </w:p>
        </w:tc>
        <w:tc>
          <w:tcPr>
            <w:tcW w:w="120" w:type="dxa"/>
            <w:vAlign w:val="bottom"/>
          </w:tcPr>
          <w:p>
            <w:pPr>
              <w:spacing w:after="0"/>
              <w:rPr>
                <w:sz w:val="13"/>
                <w:szCs w:val="13"/>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319,672</w:t>
            </w:r>
          </w:p>
        </w:tc>
        <w:tc>
          <w:tcPr>
            <w:tcW w:w="120" w:type="dxa"/>
            <w:vAlign w:val="bottom"/>
          </w:tcPr>
          <w:p>
            <w:pPr>
              <w:spacing w:after="0"/>
              <w:rPr>
                <w:sz w:val="13"/>
                <w:szCs w:val="13"/>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311,941</w:t>
            </w:r>
          </w:p>
        </w:tc>
      </w:tr>
      <w:tr>
        <w:trPr>
          <w:trHeight w:val="22"/>
        </w:trPr>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Jewelry scrapping sales</w:t>
            </w:r>
          </w:p>
        </w:tc>
        <w:tc>
          <w:tcPr>
            <w:tcW w:w="7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17,641</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11,230</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37,658</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33,631</w:t>
            </w:r>
          </w:p>
        </w:tc>
      </w:tr>
      <w:tr>
        <w:trPr>
          <w:trHeight w:val="158"/>
        </w:trPr>
        <w:tc>
          <w:tcPr>
            <w:tcW w:w="6080" w:type="dxa"/>
            <w:vAlign w:val="bottom"/>
          </w:tcPr>
          <w:p>
            <w:pPr>
              <w:ind w:left="180"/>
              <w:spacing w:after="0"/>
              <w:rPr>
                <w:sz w:val="20"/>
                <w:szCs w:val="20"/>
                <w:color w:val="auto"/>
              </w:rPr>
            </w:pPr>
            <w:r>
              <w:rPr>
                <w:rFonts w:ascii="Arial" w:cs="Arial" w:eastAsia="Arial" w:hAnsi="Arial"/>
                <w:sz w:val="11"/>
                <w:szCs w:val="11"/>
                <w:color w:val="auto"/>
              </w:rPr>
              <w:t>Pawn service charges</w:t>
            </w:r>
          </w:p>
        </w:tc>
        <w:tc>
          <w:tcPr>
            <w:tcW w:w="7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65,878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62,473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201,983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193,197</w:t>
            </w:r>
          </w:p>
        </w:tc>
      </w:tr>
      <w:tr>
        <w:trPr>
          <w:trHeight w:val="22"/>
        </w:trPr>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 revenues</w:t>
            </w:r>
          </w:p>
        </w:tc>
        <w:tc>
          <w:tcPr>
            <w:tcW w:w="7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2,433</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6,572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7,151</w:t>
            </w:r>
          </w:p>
        </w:tc>
      </w:tr>
      <w:tr>
        <w:trPr>
          <w:trHeight w:val="138"/>
        </w:trPr>
        <w:tc>
          <w:tcPr>
            <w:tcW w:w="6080" w:type="dxa"/>
            <w:vAlign w:val="bottom"/>
          </w:tcPr>
          <w:p>
            <w:pPr>
              <w:ind w:left="320"/>
              <w:spacing w:after="0"/>
              <w:rPr>
                <w:sz w:val="20"/>
                <w:szCs w:val="20"/>
                <w:color w:val="auto"/>
              </w:rPr>
            </w:pPr>
            <w:r>
              <w:rPr>
                <w:rFonts w:ascii="Arial" w:cs="Arial" w:eastAsia="Arial" w:hAnsi="Arial"/>
                <w:sz w:val="11"/>
                <w:szCs w:val="11"/>
                <w:color w:val="auto"/>
              </w:rPr>
              <w:t>Total revenues</w:t>
            </w:r>
          </w:p>
        </w:tc>
        <w:tc>
          <w:tcPr>
            <w:tcW w:w="7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5"/>
              </w:rPr>
              <w:t>183,633</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170,150</w:t>
            </w: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565,885</w:t>
            </w: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545,920</w:t>
            </w:r>
          </w:p>
        </w:tc>
      </w:tr>
      <w:tr>
        <w:trPr>
          <w:trHeight w:val="22"/>
        </w:trPr>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Merchandise cost of goods sold</w:t>
            </w:r>
          </w:p>
        </w:tc>
        <w:tc>
          <w:tcPr>
            <w:tcW w:w="7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62,615</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60,140</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204,840</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194,731</w:t>
            </w:r>
          </w:p>
        </w:tc>
      </w:tr>
      <w:tr>
        <w:trPr>
          <w:trHeight w:val="158"/>
        </w:trPr>
        <w:tc>
          <w:tcPr>
            <w:tcW w:w="6080" w:type="dxa"/>
            <w:vAlign w:val="bottom"/>
          </w:tcPr>
          <w:p>
            <w:pPr>
              <w:ind w:left="20"/>
              <w:spacing w:after="0"/>
              <w:rPr>
                <w:sz w:val="20"/>
                <w:szCs w:val="20"/>
                <w:color w:val="auto"/>
              </w:rPr>
            </w:pPr>
            <w:r>
              <w:rPr>
                <w:rFonts w:ascii="Arial" w:cs="Arial" w:eastAsia="Arial" w:hAnsi="Arial"/>
                <w:sz w:val="11"/>
                <w:szCs w:val="11"/>
                <w:color w:val="auto"/>
              </w:rPr>
              <w:t>Jewelry scrapping cost of goods sold</w:t>
            </w:r>
          </w:p>
        </w:tc>
        <w:tc>
          <w:tcPr>
            <w:tcW w:w="7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15,010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9,110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32,195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28,271</w:t>
            </w:r>
          </w:p>
        </w:tc>
      </w:tr>
      <w:tr>
        <w:trPr>
          <w:trHeight w:val="22"/>
        </w:trPr>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cost of revenues</w:t>
            </w:r>
          </w:p>
        </w:tc>
        <w:tc>
          <w:tcPr>
            <w:tcW w:w="7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506</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1,549</w:t>
            </w:r>
          </w:p>
        </w:tc>
      </w:tr>
      <w:tr>
        <w:trPr>
          <w:trHeight w:val="138"/>
        </w:trPr>
        <w:tc>
          <w:tcPr>
            <w:tcW w:w="6080" w:type="dxa"/>
            <w:vAlign w:val="bottom"/>
          </w:tcPr>
          <w:p>
            <w:pPr>
              <w:ind w:left="320"/>
              <w:spacing w:after="0"/>
              <w:rPr>
                <w:sz w:val="20"/>
                <w:szCs w:val="20"/>
                <w:color w:val="auto"/>
              </w:rPr>
            </w:pPr>
            <w:r>
              <w:rPr>
                <w:rFonts w:ascii="Arial" w:cs="Arial" w:eastAsia="Arial" w:hAnsi="Arial"/>
                <w:sz w:val="11"/>
                <w:szCs w:val="11"/>
                <w:color w:val="auto"/>
              </w:rPr>
              <w:t>Net revenues</w:t>
            </w:r>
          </w:p>
        </w:tc>
        <w:tc>
          <w:tcPr>
            <w:tcW w:w="7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5"/>
              </w:rPr>
              <w:t>105,555</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100,394</w:t>
            </w: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327,417</w:t>
            </w: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321,369</w:t>
            </w:r>
          </w:p>
        </w:tc>
      </w:tr>
      <w:tr>
        <w:trPr>
          <w:trHeight w:val="22"/>
        </w:trPr>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7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r>
      <w:tr>
        <w:trPr>
          <w:trHeight w:val="158"/>
        </w:trPr>
        <w:tc>
          <w:tcPr>
            <w:tcW w:w="6080" w:type="dxa"/>
            <w:vAlign w:val="bottom"/>
          </w:tcPr>
          <w:p>
            <w:pPr>
              <w:ind w:left="180"/>
              <w:spacing w:after="0"/>
              <w:rPr>
                <w:sz w:val="20"/>
                <w:szCs w:val="20"/>
                <w:color w:val="auto"/>
              </w:rPr>
            </w:pPr>
            <w:r>
              <w:rPr>
                <w:rFonts w:ascii="Arial" w:cs="Arial" w:eastAsia="Arial" w:hAnsi="Arial"/>
                <w:sz w:val="11"/>
                <w:szCs w:val="11"/>
                <w:color w:val="auto"/>
              </w:rPr>
              <w:t>Operations</w:t>
            </w:r>
          </w:p>
        </w:tc>
        <w:tc>
          <w:tcPr>
            <w:tcW w:w="7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74,246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73,172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226,352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221,446</w:t>
            </w:r>
          </w:p>
        </w:tc>
      </w:tr>
      <w:tr>
        <w:trPr>
          <w:trHeight w:val="22"/>
        </w:trPr>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Administrative</w:t>
            </w:r>
          </w:p>
        </w:tc>
        <w:tc>
          <w:tcPr>
            <w:tcW w:w="7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14,095</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14,481</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41,305</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50,085</w:t>
            </w:r>
          </w:p>
        </w:tc>
      </w:tr>
      <w:tr>
        <w:trPr>
          <w:trHeight w:val="158"/>
        </w:trPr>
        <w:tc>
          <w:tcPr>
            <w:tcW w:w="6080" w:type="dxa"/>
            <w:vAlign w:val="bottom"/>
          </w:tcPr>
          <w:p>
            <w:pPr>
              <w:ind w:left="180"/>
              <w:spacing w:after="0"/>
              <w:rPr>
                <w:sz w:val="20"/>
                <w:szCs w:val="20"/>
                <w:color w:val="auto"/>
              </w:rPr>
            </w:pPr>
            <w:r>
              <w:rPr>
                <w:rFonts w:ascii="Arial" w:cs="Arial" w:eastAsia="Arial" w:hAnsi="Arial"/>
                <w:sz w:val="11"/>
                <w:szCs w:val="11"/>
                <w:color w:val="auto"/>
              </w:rPr>
              <w:t>Depreciation and amortization</w:t>
            </w:r>
          </w:p>
        </w:tc>
        <w:tc>
          <w:tcPr>
            <w:tcW w:w="7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5,843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6,274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18,246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20,422</w:t>
            </w:r>
          </w:p>
        </w:tc>
      </w:tr>
      <w:tr>
        <w:trPr>
          <w:trHeight w:val="22"/>
        </w:trPr>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Loss (gain) on sale or disposal of assets</w:t>
            </w:r>
          </w:p>
        </w:tc>
        <w:tc>
          <w:tcPr>
            <w:tcW w:w="7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641</w:t>
            </w:r>
          </w:p>
        </w:tc>
      </w:tr>
      <w:tr>
        <w:trPr>
          <w:trHeight w:val="158"/>
        </w:trPr>
        <w:tc>
          <w:tcPr>
            <w:tcW w:w="6080" w:type="dxa"/>
            <w:vAlign w:val="bottom"/>
          </w:tcPr>
          <w:p>
            <w:pPr>
              <w:ind w:left="180"/>
              <w:spacing w:after="0"/>
              <w:rPr>
                <w:sz w:val="20"/>
                <w:szCs w:val="20"/>
                <w:color w:val="auto"/>
              </w:rPr>
            </w:pPr>
            <w:r>
              <w:rPr>
                <w:rFonts w:ascii="Arial" w:cs="Arial" w:eastAsia="Arial" w:hAnsi="Arial"/>
                <w:sz w:val="11"/>
                <w:szCs w:val="11"/>
                <w:color w:val="auto"/>
              </w:rPr>
              <w:t>Restructuring</w:t>
            </w:r>
          </w:p>
        </w:tc>
        <w:tc>
          <w:tcPr>
            <w:tcW w:w="7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1,910</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0"/>
        </w:trPr>
        <w:tc>
          <w:tcPr>
            <w:tcW w:w="6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operating expenses</w:t>
            </w:r>
          </w:p>
        </w:tc>
        <w:tc>
          <w:tcPr>
            <w:tcW w:w="7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94,201</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93,886</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285,914</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294,504</w:t>
            </w:r>
          </w:p>
        </w:tc>
      </w:tr>
      <w:tr>
        <w:trPr>
          <w:trHeight w:val="138"/>
        </w:trPr>
        <w:tc>
          <w:tcPr>
            <w:tcW w:w="6080" w:type="dxa"/>
            <w:vAlign w:val="bottom"/>
          </w:tcPr>
          <w:p>
            <w:pPr>
              <w:ind w:left="460"/>
              <w:spacing w:after="0"/>
              <w:rPr>
                <w:sz w:val="20"/>
                <w:szCs w:val="20"/>
                <w:color w:val="auto"/>
              </w:rPr>
            </w:pPr>
            <w:r>
              <w:rPr>
                <w:rFonts w:ascii="Arial" w:cs="Arial" w:eastAsia="Arial" w:hAnsi="Arial"/>
                <w:sz w:val="11"/>
                <w:szCs w:val="11"/>
                <w:color w:val="auto"/>
              </w:rPr>
              <w:t>Operating income</w:t>
            </w:r>
          </w:p>
        </w:tc>
        <w:tc>
          <w:tcPr>
            <w:tcW w:w="7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11,354</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6,508</w:t>
            </w: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41,503</w:t>
            </w: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26,865</w:t>
            </w:r>
          </w:p>
        </w:tc>
      </w:tr>
      <w:tr>
        <w:trPr>
          <w:trHeight w:val="22"/>
        </w:trPr>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7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5,654</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3,936</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16,847</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12,014</w:t>
            </w:r>
          </w:p>
        </w:tc>
      </w:tr>
      <w:tr>
        <w:trPr>
          <w:trHeight w:val="158"/>
        </w:trPr>
        <w:tc>
          <w:tcPr>
            <w:tcW w:w="6080" w:type="dxa"/>
            <w:vAlign w:val="bottom"/>
          </w:tcPr>
          <w:p>
            <w:pPr>
              <w:ind w:left="20"/>
              <w:spacing w:after="0"/>
              <w:rPr>
                <w:sz w:val="20"/>
                <w:szCs w:val="20"/>
                <w:color w:val="auto"/>
              </w:rPr>
            </w:pPr>
            <w:r>
              <w:rPr>
                <w:rFonts w:ascii="Arial" w:cs="Arial" w:eastAsia="Arial" w:hAnsi="Arial"/>
                <w:sz w:val="11"/>
                <w:szCs w:val="11"/>
                <w:color w:val="auto"/>
              </w:rPr>
              <w:t>Interest income</w:t>
            </w:r>
          </w:p>
        </w:tc>
        <w:tc>
          <w:tcPr>
            <w:tcW w:w="760" w:type="dxa"/>
            <w:vAlign w:val="bottom"/>
          </w:tcPr>
          <w:p>
            <w:pPr>
              <w:spacing w:after="0"/>
              <w:rPr>
                <w:sz w:val="13"/>
                <w:szCs w:val="1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(2,053)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(6,909)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(66)</w:t>
            </w:r>
          </w:p>
        </w:tc>
      </w:tr>
      <w:tr>
        <w:trPr>
          <w:trHeight w:val="22"/>
        </w:trPr>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in net income of unconsolidated affiliate</w:t>
            </w:r>
          </w:p>
        </w:tc>
        <w:tc>
          <w:tcPr>
            <w:tcW w:w="7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(1,047)</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(1,694)</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(3,768)</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(5,626)</w:t>
            </w:r>
          </w:p>
        </w:tc>
      </w:tr>
      <w:tr>
        <w:trPr>
          <w:trHeight w:val="158"/>
        </w:trPr>
        <w:tc>
          <w:tcPr>
            <w:tcW w:w="6080" w:type="dxa"/>
            <w:vAlign w:val="bottom"/>
          </w:tcPr>
          <w:p>
            <w:pPr>
              <w:ind w:left="20"/>
              <w:spacing w:after="0"/>
              <w:rPr>
                <w:sz w:val="20"/>
                <w:szCs w:val="20"/>
                <w:color w:val="auto"/>
              </w:rPr>
            </w:pPr>
            <w:r>
              <w:rPr>
                <w:rFonts w:ascii="Arial" w:cs="Arial" w:eastAsia="Arial" w:hAnsi="Arial"/>
                <w:sz w:val="11"/>
                <w:szCs w:val="11"/>
                <w:color w:val="auto"/>
              </w:rPr>
              <w:t>Other (income) expense</w:t>
            </w:r>
          </w:p>
        </w:tc>
        <w:tc>
          <w:tcPr>
            <w:tcW w:w="760" w:type="dxa"/>
            <w:vAlign w:val="bottom"/>
          </w:tcPr>
          <w:p>
            <w:pPr>
              <w:spacing w:after="0"/>
              <w:rPr>
                <w:sz w:val="13"/>
                <w:szCs w:val="1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(99)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500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(294)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815</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from continuing operations before income taxes</w:t>
            </w:r>
          </w:p>
        </w:tc>
        <w:tc>
          <w:tcPr>
            <w:tcW w:w="7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8,899</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3,816</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35,627</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19,728</w:t>
            </w:r>
          </w:p>
        </w:tc>
      </w:tr>
      <w:tr>
        <w:trPr>
          <w:trHeight w:val="158"/>
        </w:trPr>
        <w:tc>
          <w:tcPr>
            <w:tcW w:w="6080" w:type="dxa"/>
            <w:vAlign w:val="bottom"/>
          </w:tcPr>
          <w:p>
            <w:pPr>
              <w:ind w:left="20"/>
              <w:spacing w:after="0"/>
              <w:rPr>
                <w:sz w:val="20"/>
                <w:szCs w:val="20"/>
                <w:color w:val="auto"/>
              </w:rPr>
            </w:pPr>
            <w:r>
              <w:rPr>
                <w:rFonts w:ascii="Arial" w:cs="Arial" w:eastAsia="Arial" w:hAnsi="Arial"/>
                <w:sz w:val="11"/>
                <w:szCs w:val="11"/>
                <w:color w:val="auto"/>
              </w:rPr>
              <w:t>Income tax expense</w:t>
            </w:r>
          </w:p>
        </w:tc>
        <w:tc>
          <w:tcPr>
            <w:tcW w:w="7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3,432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1,038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13,663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11,224</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from continuing operations, net of tax</w:t>
            </w:r>
          </w:p>
        </w:tc>
        <w:tc>
          <w:tcPr>
            <w:tcW w:w="7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5,467</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2,778</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21,964</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8,504</w:t>
            </w:r>
          </w:p>
        </w:tc>
      </w:tr>
      <w:tr>
        <w:trPr>
          <w:trHeight w:val="158"/>
        </w:trPr>
        <w:tc>
          <w:tcPr>
            <w:tcW w:w="6080" w:type="dxa"/>
            <w:vAlign w:val="bottom"/>
          </w:tcPr>
          <w:p>
            <w:pPr>
              <w:ind w:left="20"/>
              <w:spacing w:after="0"/>
              <w:rPr>
                <w:sz w:val="20"/>
                <w:szCs w:val="20"/>
                <w:color w:val="auto"/>
              </w:rPr>
            </w:pPr>
            <w:r>
              <w:rPr>
                <w:rFonts w:ascii="Arial" w:cs="Arial" w:eastAsia="Arial" w:hAnsi="Arial"/>
                <w:sz w:val="11"/>
                <w:szCs w:val="11"/>
                <w:color w:val="auto"/>
              </w:rPr>
              <w:t>Loss from discontinued operations, net of tax</w:t>
            </w:r>
          </w:p>
        </w:tc>
        <w:tc>
          <w:tcPr>
            <w:tcW w:w="760" w:type="dxa"/>
            <w:vAlign w:val="bottom"/>
          </w:tcPr>
          <w:p>
            <w:pPr>
              <w:spacing w:after="0"/>
              <w:rPr>
                <w:sz w:val="13"/>
                <w:szCs w:val="1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(265)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(9,133)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(1,868)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(99,068)</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7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5,202</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(6,355)</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20,096</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(90,564)</w:t>
            </w:r>
          </w:p>
        </w:tc>
      </w:tr>
      <w:tr>
        <w:trPr>
          <w:trHeight w:val="158"/>
        </w:trPr>
        <w:tc>
          <w:tcPr>
            <w:tcW w:w="6080" w:type="dxa"/>
            <w:vAlign w:val="bottom"/>
          </w:tcPr>
          <w:p>
            <w:pPr>
              <w:ind w:left="20"/>
              <w:spacing w:after="0"/>
              <w:rPr>
                <w:sz w:val="20"/>
                <w:szCs w:val="20"/>
                <w:color w:val="auto"/>
              </w:rPr>
            </w:pPr>
            <w:r>
              <w:rPr>
                <w:rFonts w:ascii="Arial" w:cs="Arial" w:eastAsia="Arial" w:hAnsi="Arial"/>
                <w:sz w:val="11"/>
                <w:szCs w:val="11"/>
                <w:color w:val="auto"/>
              </w:rPr>
              <w:t>Net loss attributable to noncontrolling interest</w:t>
            </w:r>
          </w:p>
        </w:tc>
        <w:tc>
          <w:tcPr>
            <w:tcW w:w="760" w:type="dxa"/>
            <w:vAlign w:val="bottom"/>
          </w:tcPr>
          <w:p>
            <w:pPr>
              <w:spacing w:after="0"/>
              <w:rPr>
                <w:sz w:val="13"/>
                <w:szCs w:val="1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(666)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(352)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(6,589)</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7"/>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EZCORP, Inc.</w:t>
            </w:r>
          </w:p>
        </w:tc>
        <w:tc>
          <w:tcPr>
            <w:tcW w:w="76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5,260</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(5,689)</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20,448</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(83,975)</w:t>
            </w:r>
          </w:p>
        </w:tc>
      </w:tr>
      <w:tr>
        <w:trPr>
          <w:trHeight w:val="180"/>
        </w:trPr>
        <w:tc>
          <w:tcPr>
            <w:tcW w:w="6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Basic earnings per share attributable to EZCORP, Inc. — continuing operations</w:t>
            </w:r>
          </w:p>
        </w:tc>
        <w:tc>
          <w:tcPr>
            <w:tcW w:w="76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0.10</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0.05</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0.41</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0.16</w:t>
            </w:r>
          </w:p>
        </w:tc>
      </w:tr>
      <w:tr>
        <w:trPr>
          <w:trHeight w:val="158"/>
        </w:trPr>
        <w:tc>
          <w:tcPr>
            <w:tcW w:w="6080" w:type="dxa"/>
            <w:vAlign w:val="bottom"/>
          </w:tcPr>
          <w:p>
            <w:pPr>
              <w:ind w:left="20"/>
              <w:spacing w:after="0"/>
              <w:rPr>
                <w:sz w:val="20"/>
                <w:szCs w:val="20"/>
                <w:color w:val="auto"/>
              </w:rPr>
            </w:pPr>
            <w:r>
              <w:rPr>
                <w:rFonts w:ascii="Arial" w:cs="Arial" w:eastAsia="Arial" w:hAnsi="Arial"/>
                <w:sz w:val="11"/>
                <w:szCs w:val="11"/>
                <w:color w:val="auto"/>
              </w:rPr>
              <w:t>Diluted earnings per share attributable to EZCORP, Inc. — continuing operations</w:t>
            </w:r>
          </w:p>
        </w:tc>
        <w:tc>
          <w:tcPr>
            <w:tcW w:w="760" w:type="dxa"/>
            <w:vAlign w:val="bottom"/>
          </w:tcPr>
          <w:p>
            <w:pPr>
              <w:jc w:val="right"/>
              <w:ind w:right="628"/>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0.10</w:t>
            </w:r>
          </w:p>
        </w:tc>
        <w:tc>
          <w:tcPr>
            <w:tcW w:w="10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0.05</w:t>
            </w:r>
          </w:p>
        </w:tc>
        <w:tc>
          <w:tcPr>
            <w:tcW w:w="120" w:type="dxa"/>
            <w:vAlign w:val="bottom"/>
          </w:tcPr>
          <w:p>
            <w:pPr>
              <w:spacing w:after="0"/>
              <w:rPr>
                <w:sz w:val="13"/>
                <w:szCs w:val="13"/>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0.41</w:t>
            </w:r>
          </w:p>
        </w:tc>
        <w:tc>
          <w:tcPr>
            <w:tcW w:w="120" w:type="dxa"/>
            <w:vAlign w:val="bottom"/>
          </w:tcPr>
          <w:p>
            <w:pPr>
              <w:spacing w:after="0"/>
              <w:rPr>
                <w:sz w:val="13"/>
                <w:szCs w:val="13"/>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0.16</w:t>
            </w:r>
          </w:p>
        </w:tc>
      </w:tr>
      <w:tr>
        <w:trPr>
          <w:trHeight w:val="22"/>
        </w:trPr>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0"/>
        </w:trPr>
        <w:tc>
          <w:tcPr>
            <w:tcW w:w="60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58"/>
        </w:trPr>
        <w:tc>
          <w:tcPr>
            <w:tcW w:w="6080" w:type="dxa"/>
            <w:vAlign w:val="bottom"/>
          </w:tcPr>
          <w:p>
            <w:pPr>
              <w:ind w:left="20"/>
              <w:spacing w:after="0"/>
              <w:rPr>
                <w:sz w:val="20"/>
                <w:szCs w:val="20"/>
                <w:color w:val="auto"/>
              </w:rPr>
            </w:pPr>
            <w:r>
              <w:rPr>
                <w:rFonts w:ascii="Arial" w:cs="Arial" w:eastAsia="Arial" w:hAnsi="Arial"/>
                <w:sz w:val="11"/>
                <w:szCs w:val="11"/>
                <w:color w:val="auto"/>
              </w:rPr>
              <w:t>Weighted-average basic shares outstanding</w:t>
            </w:r>
          </w:p>
        </w:tc>
        <w:tc>
          <w:tcPr>
            <w:tcW w:w="7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54,295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53,980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54,247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54,574</w:t>
            </w:r>
          </w:p>
        </w:tc>
      </w:tr>
      <w:tr>
        <w:trPr>
          <w:trHeight w:val="22"/>
        </w:trPr>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58"/>
        </w:trPr>
        <w:tc>
          <w:tcPr>
            <w:tcW w:w="6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Weighted-average diluted shares outstanding</w:t>
            </w: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54,367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54,192</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54,310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54,690</w:t>
            </w:r>
          </w:p>
        </w:tc>
      </w:tr>
      <w:tr>
        <w:trPr>
          <w:trHeight w:val="22"/>
        </w:trPr>
        <w:tc>
          <w:tcPr>
            <w:tcW w:w="60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128" w:right="199" w:bottom="1440" w:gutter="0" w:footer="0" w:header="0"/>
        </w:sectPr>
      </w:pPr>
    </w:p>
    <w:bookmarkStart w:id="4" w:name="page5"/>
    <w:bookmarkEnd w:id="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8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EZCORP,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STATEMENTS OF COMPREHENSIVE INCOME (LOSS)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320" w:type="dxa"/>
            <w:vAlign w:val="bottom"/>
          </w:tcPr>
          <w:p>
            <w:pPr>
              <w:spacing w:after="0"/>
              <w:rPr>
                <w:sz w:val="11"/>
                <w:szCs w:val="11"/>
                <w:color w:val="auto"/>
              </w:rPr>
            </w:pPr>
          </w:p>
        </w:tc>
        <w:tc>
          <w:tcPr>
            <w:tcW w:w="21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0"/>
                <w:szCs w:val="10"/>
                <w:b w:val="1"/>
                <w:bCs w:val="1"/>
                <w:color w:val="auto"/>
              </w:rPr>
              <w:t>Three Months Ended June 30,</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4"/>
          </w:tcPr>
          <w:p>
            <w:pPr>
              <w:jc w:val="right"/>
              <w:ind w:right="547"/>
              <w:spacing w:after="0"/>
              <w:rPr>
                <w:sz w:val="20"/>
                <w:szCs w:val="20"/>
                <w:color w:val="auto"/>
              </w:rPr>
            </w:pPr>
            <w:r>
              <w:rPr>
                <w:rFonts w:ascii="Arial" w:cs="Arial" w:eastAsia="Arial" w:hAnsi="Arial"/>
                <w:sz w:val="10"/>
                <w:szCs w:val="10"/>
                <w:b w:val="1"/>
                <w:bCs w:val="1"/>
                <w:color w:val="auto"/>
              </w:rPr>
              <w:t>Nine Months Ended June 30,</w:t>
            </w:r>
          </w:p>
        </w:tc>
      </w:tr>
      <w:tr>
        <w:trPr>
          <w:trHeight w:val="169"/>
        </w:trPr>
        <w:tc>
          <w:tcPr>
            <w:tcW w:w="6320" w:type="dxa"/>
            <w:vAlign w:val="bottom"/>
          </w:tcPr>
          <w:p>
            <w:pPr>
              <w:spacing w:after="0"/>
              <w:rPr>
                <w:sz w:val="14"/>
                <w:szCs w:val="14"/>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2017</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2016</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7"/>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7"/>
              <w:spacing w:after="0"/>
              <w:rPr>
                <w:sz w:val="20"/>
                <w:szCs w:val="20"/>
                <w:color w:val="auto"/>
              </w:rPr>
            </w:pPr>
            <w:r>
              <w:rPr>
                <w:rFonts w:ascii="Arial" w:cs="Arial" w:eastAsia="Arial" w:hAnsi="Arial"/>
                <w:sz w:val="10"/>
                <w:szCs w:val="10"/>
                <w:b w:val="1"/>
                <w:bCs w:val="1"/>
                <w:color w:val="auto"/>
              </w:rPr>
              <w:t>2016</w:t>
            </w:r>
          </w:p>
        </w:tc>
      </w:tr>
      <w:tr>
        <w:trPr>
          <w:trHeight w:val="246"/>
        </w:trPr>
        <w:tc>
          <w:tcPr>
            <w:tcW w:w="6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gridSpan w:val="3"/>
          </w:tcPr>
          <w:p>
            <w:pPr>
              <w:jc w:val="right"/>
              <w:ind w:right="166"/>
              <w:spacing w:after="0"/>
              <w:rPr>
                <w:sz w:val="20"/>
                <w:szCs w:val="20"/>
                <w:color w:val="auto"/>
              </w:rPr>
            </w:pPr>
            <w:r>
              <w:rPr>
                <w:rFonts w:ascii="Arial" w:cs="Arial" w:eastAsia="Arial" w:hAnsi="Arial"/>
                <w:sz w:val="10"/>
                <w:szCs w:val="10"/>
                <w:b w:val="1"/>
                <w:bCs w:val="1"/>
                <w:color w:val="auto"/>
              </w:rPr>
              <w:t>(Unaudited)</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39"/>
        </w:trPr>
        <w:tc>
          <w:tcPr>
            <w:tcW w:w="6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gridSpan w:val="3"/>
          </w:tcPr>
          <w:p>
            <w:pPr>
              <w:jc w:val="right"/>
              <w:ind w:right="146"/>
              <w:spacing w:after="0"/>
              <w:rPr>
                <w:sz w:val="20"/>
                <w:szCs w:val="20"/>
                <w:color w:val="auto"/>
              </w:rPr>
            </w:pPr>
            <w:r>
              <w:rPr>
                <w:rFonts w:ascii="Arial" w:cs="Arial" w:eastAsia="Arial" w:hAnsi="Arial"/>
                <w:sz w:val="10"/>
                <w:szCs w:val="10"/>
                <w:i w:val="1"/>
                <w:iCs w:val="1"/>
                <w:color w:val="auto"/>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8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5,202</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(6,355)</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20,096</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(90,564)</w:t>
            </w:r>
          </w:p>
        </w:tc>
      </w:tr>
      <w:tr>
        <w:trPr>
          <w:trHeight w:val="158"/>
        </w:trPr>
        <w:tc>
          <w:tcPr>
            <w:tcW w:w="6320" w:type="dxa"/>
            <w:vAlign w:val="bottom"/>
          </w:tcPr>
          <w:p>
            <w:pPr>
              <w:ind w:left="20"/>
              <w:spacing w:after="0"/>
              <w:rPr>
                <w:sz w:val="20"/>
                <w:szCs w:val="20"/>
                <w:color w:val="auto"/>
              </w:rPr>
            </w:pPr>
            <w:r>
              <w:rPr>
                <w:rFonts w:ascii="Arial" w:cs="Arial" w:eastAsia="Arial" w:hAnsi="Arial"/>
                <w:sz w:val="11"/>
                <w:szCs w:val="11"/>
                <w:color w:val="auto"/>
              </w:rPr>
              <w:t>Other comprehensive income (loss):</w:t>
            </w: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
        </w:trPr>
        <w:tc>
          <w:tcPr>
            <w:tcW w:w="6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8"/>
        </w:trPr>
        <w:tc>
          <w:tcPr>
            <w:tcW w:w="632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3"/>
              </w:rPr>
              <w:t>Foreign currency translation gain (loss), net of income tax (expense) benefit for our investment in unconsolidated affiliate of ($820) and</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5"/>
        </w:trPr>
        <w:tc>
          <w:tcPr>
            <w:tcW w:w="6320" w:type="dxa"/>
            <w:vAlign w:val="bottom"/>
            <w:shd w:val="clear" w:color="auto" w:fill="CCEEFF"/>
          </w:tcPr>
          <w:p>
            <w:pPr>
              <w:ind w:left="180"/>
              <w:spacing w:after="0"/>
              <w:rPr>
                <w:sz w:val="20"/>
                <w:szCs w:val="20"/>
                <w:color w:val="auto"/>
              </w:rPr>
            </w:pPr>
            <w:r>
              <w:rPr>
                <w:rFonts w:ascii="Arial" w:cs="Arial" w:eastAsia="Arial" w:hAnsi="Arial"/>
                <w:sz w:val="11"/>
                <w:szCs w:val="11"/>
                <w:color w:val="auto"/>
                <w:w w:val="89"/>
              </w:rPr>
              <w:t>($290) for the three and nine months ended June 30, 2017 respectively, and ($845) and $969 for the three and nine months ended June 30,</w:t>
            </w: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8"/>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2016, respectively</w:t>
            </w:r>
          </w:p>
        </w:tc>
        <w:tc>
          <w:tcPr>
            <w:tcW w:w="8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4,608</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(685)</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6,163</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(12,181)</w:t>
            </w:r>
          </w:p>
        </w:tc>
      </w:tr>
      <w:tr>
        <w:trPr>
          <w:trHeight w:val="158"/>
        </w:trPr>
        <w:tc>
          <w:tcPr>
            <w:tcW w:w="6320" w:type="dxa"/>
            <w:vAlign w:val="bottom"/>
          </w:tcPr>
          <w:p>
            <w:pPr>
              <w:ind w:left="180"/>
              <w:spacing w:after="0"/>
              <w:rPr>
                <w:sz w:val="20"/>
                <w:szCs w:val="20"/>
                <w:color w:val="auto"/>
              </w:rPr>
            </w:pPr>
            <w:r>
              <w:rPr>
                <w:rFonts w:ascii="Arial" w:cs="Arial" w:eastAsia="Arial" w:hAnsi="Arial"/>
                <w:sz w:val="11"/>
                <w:szCs w:val="11"/>
                <w:color w:val="auto"/>
              </w:rPr>
              <w:t>Amounts reclassified from accumulated other comprehensive loss</w:t>
            </w:r>
          </w:p>
        </w:tc>
        <w:tc>
          <w:tcPr>
            <w:tcW w:w="82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60" w:type="dxa"/>
            <w:vAlign w:val="bottom"/>
          </w:tcPr>
          <w:p>
            <w:pPr>
              <w:jc w:val="right"/>
              <w:ind w:right="67"/>
              <w:spacing w:after="0"/>
              <w:rPr>
                <w:sz w:val="20"/>
                <w:szCs w:val="20"/>
                <w:color w:val="auto"/>
              </w:rPr>
            </w:pPr>
            <w:r>
              <w:rPr>
                <w:rFonts w:ascii="Arial" w:cs="Arial" w:eastAsia="Arial" w:hAnsi="Arial"/>
                <w:sz w:val="11"/>
                <w:szCs w:val="11"/>
                <w:color w:val="auto"/>
              </w:rPr>
              <w:t>22</w:t>
            </w:r>
          </w:p>
        </w:tc>
      </w:tr>
      <w:tr>
        <w:trPr>
          <w:trHeight w:val="22"/>
        </w:trPr>
        <w:tc>
          <w:tcPr>
            <w:tcW w:w="6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8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4,608</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(685)</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6,163</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(12,159)</w:t>
            </w:r>
          </w:p>
        </w:tc>
      </w:tr>
      <w:tr>
        <w:trPr>
          <w:trHeight w:val="138"/>
        </w:trPr>
        <w:tc>
          <w:tcPr>
            <w:tcW w:w="6320" w:type="dxa"/>
            <w:vAlign w:val="bottom"/>
          </w:tcPr>
          <w:p>
            <w:pPr>
              <w:ind w:left="20"/>
              <w:spacing w:after="0"/>
              <w:rPr>
                <w:sz w:val="20"/>
                <w:szCs w:val="20"/>
                <w:color w:val="auto"/>
              </w:rPr>
            </w:pPr>
            <w:r>
              <w:rPr>
                <w:rFonts w:ascii="Arial" w:cs="Arial" w:eastAsia="Arial" w:hAnsi="Arial"/>
                <w:sz w:val="11"/>
                <w:szCs w:val="11"/>
                <w:color w:val="auto"/>
              </w:rPr>
              <w:t>Comprehensive income (loss)</w:t>
            </w:r>
          </w:p>
        </w:tc>
        <w:tc>
          <w:tcPr>
            <w:tcW w:w="8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9,810</w:t>
            </w: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(7,040)</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26,259</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(102,723)</w:t>
            </w:r>
          </w:p>
        </w:tc>
      </w:tr>
      <w:tr>
        <w:trPr>
          <w:trHeight w:val="22"/>
        </w:trPr>
        <w:tc>
          <w:tcPr>
            <w:tcW w:w="6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Comprehensive loss attributable to noncontrolling interest</w:t>
            </w: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(577)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(357)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(6,870)</w:t>
            </w:r>
          </w:p>
        </w:tc>
      </w:tr>
      <w:tr>
        <w:trPr>
          <w:trHeight w:val="167"/>
        </w:trPr>
        <w:tc>
          <w:tcPr>
            <w:tcW w:w="6320" w:type="dxa"/>
            <w:vAlign w:val="bottom"/>
          </w:tcPr>
          <w:p>
            <w:pPr>
              <w:ind w:left="20"/>
              <w:spacing w:after="0"/>
              <w:rPr>
                <w:sz w:val="20"/>
                <w:szCs w:val="20"/>
                <w:color w:val="auto"/>
              </w:rPr>
            </w:pPr>
            <w:r>
              <w:rPr>
                <w:rFonts w:ascii="Arial" w:cs="Arial" w:eastAsia="Arial" w:hAnsi="Arial"/>
                <w:sz w:val="11"/>
                <w:szCs w:val="11"/>
                <w:color w:val="auto"/>
              </w:rPr>
              <w:t>Comprehensive income (loss) attributable to EZCORP, Inc.</w:t>
            </w:r>
          </w:p>
        </w:tc>
        <w:tc>
          <w:tcPr>
            <w:tcW w:w="82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9,883</w:t>
            </w:r>
          </w:p>
        </w:tc>
        <w:tc>
          <w:tcPr>
            <w:tcW w:w="1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(6,463)</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26,616</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(95,853)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128" w:right="199" w:bottom="1440" w:gutter="0" w:footer="0" w:header="0"/>
        </w:sectPr>
      </w:pPr>
    </w:p>
    <w:bookmarkStart w:id="5" w:name="page6"/>
    <w:bookmarkEnd w:id="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EZCORP, Inc.</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CONDENSED CONSOLIDATED STATEMENTS OF STOCKHOLDERS' EQUITY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gridSpan w:val="7"/>
          </w:tcPr>
          <w:p>
            <w:pPr>
              <w:ind w:left="600"/>
              <w:spacing w:after="0"/>
              <w:rPr>
                <w:sz w:val="20"/>
                <w:szCs w:val="20"/>
                <w:color w:val="auto"/>
              </w:rPr>
            </w:pPr>
            <w:r>
              <w:rPr>
                <w:rFonts w:ascii="Arial" w:cs="Arial" w:eastAsia="Arial" w:hAnsi="Arial"/>
                <w:sz w:val="10"/>
                <w:szCs w:val="10"/>
                <w:b w:val="1"/>
                <w:bCs w:val="1"/>
                <w:color w:val="auto"/>
              </w:rPr>
              <w:t>Common Stock</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85"/>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85"/>
              </w:rPr>
              <w:t>Accumulated</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ind w:right="208"/>
              <w:spacing w:after="0"/>
              <w:rPr>
                <w:sz w:val="20"/>
                <w:szCs w:val="20"/>
                <w:color w:val="auto"/>
              </w:rPr>
            </w:pPr>
            <w:r>
              <w:rPr>
                <w:rFonts w:ascii="Arial" w:cs="Arial" w:eastAsia="Arial" w:hAnsi="Arial"/>
                <w:sz w:val="10"/>
                <w:szCs w:val="10"/>
                <w:b w:val="1"/>
                <w:bCs w:val="1"/>
                <w:color w:val="auto"/>
                <w:w w:val="89"/>
              </w:rPr>
              <w:t>EZCORP, Inc.</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3"/>
            <w:vMerge w:val="restart"/>
          </w:tcPr>
          <w:p>
            <w:pPr>
              <w:jc w:val="center"/>
              <w:ind w:right="300"/>
              <w:spacing w:after="0" w:line="94" w:lineRule="exact"/>
              <w:rPr>
                <w:sz w:val="20"/>
                <w:szCs w:val="20"/>
                <w:color w:val="auto"/>
              </w:rPr>
            </w:pPr>
            <w:r>
              <w:rPr>
                <w:rFonts w:ascii="Arial" w:cs="Arial" w:eastAsia="Arial" w:hAnsi="Arial"/>
                <w:sz w:val="10"/>
                <w:szCs w:val="10"/>
                <w:b w:val="1"/>
                <w:bCs w:val="1"/>
                <w:color w:val="auto"/>
                <w:w w:val="89"/>
              </w:rPr>
              <w:t>Paid-in</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restart"/>
          </w:tcPr>
          <w:p>
            <w:pPr>
              <w:ind w:left="160"/>
              <w:spacing w:after="0" w:line="94" w:lineRule="exact"/>
              <w:rPr>
                <w:sz w:val="20"/>
                <w:szCs w:val="20"/>
                <w:color w:val="auto"/>
              </w:rPr>
            </w:pPr>
            <w:r>
              <w:rPr>
                <w:rFonts w:ascii="Arial" w:cs="Arial" w:eastAsia="Arial" w:hAnsi="Arial"/>
                <w:sz w:val="10"/>
                <w:szCs w:val="10"/>
                <w:b w:val="1"/>
                <w:bCs w:val="1"/>
                <w:color w:val="auto"/>
              </w:rPr>
              <w:t>Retained</w:t>
            </w: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3"/>
            <w:vMerge w:val="restart"/>
          </w:tcPr>
          <w:p>
            <w:pPr>
              <w:jc w:val="center"/>
              <w:ind w:right="300"/>
              <w:spacing w:after="0" w:line="94" w:lineRule="exact"/>
              <w:rPr>
                <w:sz w:val="20"/>
                <w:szCs w:val="20"/>
                <w:color w:val="auto"/>
              </w:rPr>
            </w:pPr>
            <w:r>
              <w:rPr>
                <w:rFonts w:ascii="Arial" w:cs="Arial" w:eastAsia="Arial" w:hAnsi="Arial"/>
                <w:sz w:val="10"/>
                <w:szCs w:val="10"/>
                <w:b w:val="1"/>
                <w:bCs w:val="1"/>
                <w:color w:val="auto"/>
                <w:w w:val="89"/>
              </w:rPr>
              <w:t>Other</w:t>
            </w: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vMerge w:val="restart"/>
          </w:tcPr>
          <w:p>
            <w:pPr>
              <w:jc w:val="center"/>
              <w:ind w:right="208"/>
              <w:spacing w:after="0" w:line="94" w:lineRule="exact"/>
              <w:rPr>
                <w:sz w:val="20"/>
                <w:szCs w:val="20"/>
                <w:color w:val="auto"/>
              </w:rPr>
            </w:pPr>
            <w:r>
              <w:rPr>
                <w:rFonts w:ascii="Arial" w:cs="Arial" w:eastAsia="Arial" w:hAnsi="Arial"/>
                <w:sz w:val="10"/>
                <w:szCs w:val="10"/>
                <w:b w:val="1"/>
                <w:bCs w:val="1"/>
                <w:color w:val="auto"/>
                <w:w w:val="87"/>
              </w:rPr>
              <w:t>Stockholders’</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44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4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07"/>
              <w:spacing w:after="0"/>
              <w:rPr>
                <w:sz w:val="20"/>
                <w:szCs w:val="20"/>
                <w:color w:val="auto"/>
              </w:rPr>
            </w:pPr>
            <w:r>
              <w:rPr>
                <w:rFonts w:ascii="Arial" w:cs="Arial" w:eastAsia="Arial" w:hAnsi="Arial"/>
                <w:sz w:val="10"/>
                <w:szCs w:val="10"/>
                <w:b w:val="1"/>
                <w:bCs w:val="1"/>
                <w:color w:val="auto"/>
              </w:rPr>
              <w:t>Par Value</w:t>
            </w:r>
          </w:p>
        </w:tc>
        <w:tc>
          <w:tcPr>
            <w:tcW w:w="12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0"/>
                <w:szCs w:val="10"/>
                <w:b w:val="1"/>
                <w:bCs w:val="1"/>
                <w:color w:val="auto"/>
                <w:w w:val="89"/>
              </w:rPr>
              <w:t>Capital</w:t>
            </w:r>
          </w:p>
        </w:tc>
        <w:tc>
          <w:tcPr>
            <w:tcW w:w="120" w:type="dxa"/>
            <w:vAlign w:val="bottom"/>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Earnings</w:t>
            </w:r>
          </w:p>
        </w:tc>
        <w:tc>
          <w:tcPr>
            <w:tcW w:w="100" w:type="dxa"/>
            <w:vAlign w:val="bottom"/>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0"/>
                <w:szCs w:val="10"/>
                <w:b w:val="1"/>
                <w:bCs w:val="1"/>
                <w:color w:val="auto"/>
                <w:w w:val="83"/>
              </w:rPr>
              <w:t>Comprehensive Loss</w:t>
            </w:r>
          </w:p>
        </w:tc>
        <w:tc>
          <w:tcPr>
            <w:tcW w:w="120" w:type="dxa"/>
            <w:vAlign w:val="bottom"/>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208"/>
              <w:spacing w:after="0"/>
              <w:rPr>
                <w:sz w:val="20"/>
                <w:szCs w:val="20"/>
                <w:color w:val="auto"/>
              </w:rPr>
            </w:pPr>
            <w:r>
              <w:rPr>
                <w:rFonts w:ascii="Arial" w:cs="Arial" w:eastAsia="Arial" w:hAnsi="Arial"/>
                <w:sz w:val="10"/>
                <w:szCs w:val="10"/>
                <w:b w:val="1"/>
                <w:bCs w:val="1"/>
                <w:color w:val="auto"/>
                <w:w w:val="84"/>
              </w:rPr>
              <w:t>Equity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60" w:type="dxa"/>
            <w:vAlign w:val="bottom"/>
            <w:gridSpan w:val="13"/>
          </w:tcPr>
          <w:p>
            <w:pPr>
              <w:jc w:val="center"/>
              <w:ind w:right="800"/>
              <w:spacing w:after="0"/>
              <w:rPr>
                <w:sz w:val="20"/>
                <w:szCs w:val="20"/>
                <w:color w:val="auto"/>
              </w:rPr>
            </w:pPr>
            <w:r>
              <w:rPr>
                <w:rFonts w:ascii="Arial" w:cs="Arial" w:eastAsia="Arial" w:hAnsi="Arial"/>
                <w:sz w:val="10"/>
                <w:szCs w:val="10"/>
                <w:b w:val="1"/>
                <w:bCs w:val="1"/>
                <w:color w:val="auto"/>
                <w:w w:val="85"/>
              </w:rPr>
              <w:t>(Unaudited, except balances as of September 30, 2015)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center"/>
              <w:ind w:right="300"/>
              <w:spacing w:after="0"/>
              <w:rPr>
                <w:sz w:val="20"/>
                <w:szCs w:val="20"/>
                <w:color w:val="auto"/>
              </w:rPr>
            </w:pPr>
            <w:r>
              <w:rPr>
                <w:rFonts w:ascii="Arial" w:cs="Arial" w:eastAsia="Arial" w:hAnsi="Arial"/>
                <w:sz w:val="10"/>
                <w:szCs w:val="10"/>
                <w:i w:val="1"/>
                <w:iCs w:val="1"/>
                <w:color w:val="auto"/>
                <w:w w:val="88"/>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shd w:val="clear" w:color="auto" w:fill="CCEEFF"/>
              </w:rPr>
              <w:t>Balances as of September 30, 2015</w:t>
            </w:r>
          </w:p>
        </w:tc>
        <w:tc>
          <w:tcPr>
            <w:tcW w:w="820" w:type="dxa"/>
            <w:vAlign w:val="bottom"/>
            <w:tcBorders>
              <w:bottom w:val="single" w:sz="8" w:color="CCEEFF"/>
            </w:tcBorders>
            <w:gridSpan w:val="2"/>
            <w:shd w:val="clear" w:color="auto" w:fill="CCEEFF"/>
          </w:tcPr>
          <w:p>
            <w:pPr>
              <w:jc w:val="right"/>
              <w:ind w:right="67"/>
              <w:spacing w:after="0"/>
              <w:rPr>
                <w:sz w:val="20"/>
                <w:szCs w:val="20"/>
                <w:color w:val="auto"/>
              </w:rPr>
            </w:pPr>
            <w:r>
              <w:rPr>
                <w:rFonts w:ascii="Arial" w:cs="Arial" w:eastAsia="Arial" w:hAnsi="Arial"/>
                <w:sz w:val="11"/>
                <w:szCs w:val="11"/>
                <w:color w:val="auto"/>
              </w:rPr>
              <w:t>53,696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537</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310,038</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400,552</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(55,096)</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656,031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60" w:type="dxa"/>
            <w:vAlign w:val="bottom"/>
          </w:tcPr>
          <w:p>
            <w:pPr>
              <w:ind w:left="180"/>
              <w:spacing w:after="0"/>
              <w:rPr>
                <w:sz w:val="20"/>
                <w:szCs w:val="20"/>
                <w:color w:val="auto"/>
              </w:rPr>
            </w:pPr>
            <w:r>
              <w:rPr>
                <w:rFonts w:ascii="Arial" w:cs="Arial" w:eastAsia="Arial" w:hAnsi="Arial"/>
                <w:sz w:val="11"/>
                <w:szCs w:val="11"/>
                <w:color w:val="auto"/>
              </w:rPr>
              <w:t>Stock compensation</w:t>
            </w:r>
          </w:p>
        </w:tc>
        <w:tc>
          <w:tcPr>
            <w:tcW w:w="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48"/>
              <w:spacing w:after="0"/>
              <w:rPr>
                <w:sz w:val="20"/>
                <w:szCs w:val="20"/>
                <w:color w:val="auto"/>
              </w:rPr>
            </w:pPr>
            <w:r>
              <w:rPr>
                <w:rFonts w:ascii="Arial" w:cs="Arial" w:eastAsia="Arial" w:hAnsi="Arial"/>
                <w:sz w:val="11"/>
                <w:szCs w:val="11"/>
                <w:color w:val="auto"/>
              </w:rPr>
              <w:t>7,012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68"/>
              <w:spacing w:after="0"/>
              <w:rPr>
                <w:sz w:val="20"/>
                <w:szCs w:val="20"/>
                <w:color w:val="auto"/>
              </w:rPr>
            </w:pPr>
            <w:r>
              <w:rPr>
                <w:rFonts w:ascii="Arial" w:cs="Arial" w:eastAsia="Arial" w:hAnsi="Arial"/>
                <w:sz w:val="11"/>
                <w:szCs w:val="11"/>
                <w:color w:val="auto"/>
              </w:rPr>
              <w:t>7,012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Release of restricted stock</w:t>
            </w:r>
          </w:p>
        </w:tc>
        <w:tc>
          <w:tcPr>
            <w:tcW w:w="820" w:type="dxa"/>
            <w:vAlign w:val="bottom"/>
            <w:tcBorders>
              <w:bottom w:val="single" w:sz="8" w:color="CCEEFF"/>
            </w:tcBorders>
            <w:gridSpan w:val="2"/>
            <w:shd w:val="clear" w:color="auto" w:fill="CCEEFF"/>
          </w:tcPr>
          <w:p>
            <w:pPr>
              <w:jc w:val="right"/>
              <w:ind w:right="67"/>
              <w:spacing w:after="0"/>
              <w:rPr>
                <w:sz w:val="20"/>
                <w:szCs w:val="20"/>
                <w:color w:val="auto"/>
              </w:rPr>
            </w:pPr>
            <w:r>
              <w:rPr>
                <w:rFonts w:ascii="Arial" w:cs="Arial" w:eastAsia="Arial" w:hAnsi="Arial"/>
                <w:sz w:val="11"/>
                <w:szCs w:val="11"/>
                <w:color w:val="auto"/>
              </w:rPr>
              <w:t>294</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60" w:type="dxa"/>
            <w:vAlign w:val="bottom"/>
          </w:tcPr>
          <w:p>
            <w:pPr>
              <w:ind w:left="180"/>
              <w:spacing w:after="0"/>
              <w:rPr>
                <w:sz w:val="20"/>
                <w:szCs w:val="20"/>
                <w:color w:val="auto"/>
              </w:rPr>
            </w:pPr>
            <w:r>
              <w:rPr>
                <w:rFonts w:ascii="Arial" w:cs="Arial" w:eastAsia="Arial" w:hAnsi="Arial"/>
                <w:sz w:val="11"/>
                <w:szCs w:val="11"/>
                <w:color w:val="auto"/>
              </w:rPr>
              <w:t>Excess tax deficiency from stock compensation</w:t>
            </w:r>
          </w:p>
        </w:tc>
        <w:tc>
          <w:tcPr>
            <w:tcW w:w="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28"/>
              <w:spacing w:after="0"/>
              <w:rPr>
                <w:sz w:val="20"/>
                <w:szCs w:val="20"/>
                <w:color w:val="auto"/>
              </w:rPr>
            </w:pPr>
            <w:r>
              <w:rPr>
                <w:rFonts w:ascii="Arial" w:cs="Arial" w:eastAsia="Arial" w:hAnsi="Arial"/>
                <w:sz w:val="11"/>
                <w:szCs w:val="11"/>
                <w:color w:val="auto"/>
              </w:rPr>
              <w:t>(336)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8"/>
              <w:spacing w:after="0"/>
              <w:rPr>
                <w:sz w:val="20"/>
                <w:szCs w:val="20"/>
                <w:color w:val="auto"/>
              </w:rPr>
            </w:pPr>
            <w:r>
              <w:rPr>
                <w:rFonts w:ascii="Arial" w:cs="Arial" w:eastAsia="Arial" w:hAnsi="Arial"/>
                <w:sz w:val="11"/>
                <w:szCs w:val="11"/>
                <w:color w:val="auto"/>
              </w:rPr>
              <w:t>(336)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Taxes paid related to net share settlement of equity awards</w:t>
            </w:r>
          </w:p>
        </w:tc>
        <w:tc>
          <w:tcPr>
            <w:tcW w:w="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(149)</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60" w:type="dxa"/>
            <w:vAlign w:val="bottom"/>
          </w:tcPr>
          <w:p>
            <w:pPr>
              <w:ind w:left="180"/>
              <w:spacing w:after="0"/>
              <w:rPr>
                <w:sz w:val="20"/>
                <w:szCs w:val="20"/>
                <w:color w:val="auto"/>
              </w:rPr>
            </w:pPr>
            <w:r>
              <w:rPr>
                <w:rFonts w:ascii="Arial" w:cs="Arial" w:eastAsia="Arial" w:hAnsi="Arial"/>
                <w:sz w:val="11"/>
                <w:szCs w:val="11"/>
                <w:color w:val="auto"/>
              </w:rPr>
              <w:t>Amounts reclassified from accumulated other comprehensive loss</w:t>
            </w:r>
          </w:p>
        </w:tc>
        <w:tc>
          <w:tcPr>
            <w:tcW w:w="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48"/>
              <w:spacing w:after="0"/>
              <w:rPr>
                <w:sz w:val="20"/>
                <w:szCs w:val="20"/>
                <w:color w:val="auto"/>
              </w:rPr>
            </w:pPr>
            <w:r>
              <w:rPr>
                <w:rFonts w:ascii="Arial" w:cs="Arial" w:eastAsia="Arial" w:hAnsi="Arial"/>
                <w:sz w:val="11"/>
                <w:szCs w:val="11"/>
                <w:color w:val="auto"/>
              </w:rPr>
              <w:t>21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68"/>
              <w:spacing w:after="0"/>
              <w:rPr>
                <w:sz w:val="20"/>
                <w:szCs w:val="20"/>
                <w:color w:val="auto"/>
              </w:rPr>
            </w:pPr>
            <w:r>
              <w:rPr>
                <w:rFonts w:ascii="Arial" w:cs="Arial" w:eastAsia="Arial" w:hAnsi="Arial"/>
                <w:sz w:val="11"/>
                <w:szCs w:val="11"/>
                <w:color w:val="auto"/>
              </w:rPr>
              <w:t>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w:t>
            </w:r>
          </w:p>
        </w:tc>
        <w:tc>
          <w:tcPr>
            <w:tcW w:w="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(11,899)</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(11,899)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60" w:type="dxa"/>
            <w:vAlign w:val="bottom"/>
          </w:tcPr>
          <w:p>
            <w:pPr>
              <w:ind w:left="180"/>
              <w:spacing w:after="0"/>
              <w:rPr>
                <w:sz w:val="20"/>
                <w:szCs w:val="20"/>
                <w:color w:val="auto"/>
              </w:rPr>
            </w:pPr>
            <w:r>
              <w:rPr>
                <w:rFonts w:ascii="Arial" w:cs="Arial" w:eastAsia="Arial" w:hAnsi="Arial"/>
                <w:sz w:val="11"/>
                <w:szCs w:val="11"/>
                <w:color w:val="auto"/>
              </w:rPr>
              <w:t>Net loss attributable to EZCORP, Inc.</w:t>
            </w:r>
          </w:p>
        </w:tc>
        <w:tc>
          <w:tcPr>
            <w:tcW w:w="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(83,975)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8"/>
              <w:spacing w:after="0"/>
              <w:rPr>
                <w:sz w:val="20"/>
                <w:szCs w:val="20"/>
                <w:color w:val="auto"/>
              </w:rPr>
            </w:pPr>
            <w:r>
              <w:rPr>
                <w:rFonts w:ascii="Arial" w:cs="Arial" w:eastAsia="Arial" w:hAnsi="Arial"/>
                <w:sz w:val="11"/>
                <w:szCs w:val="11"/>
                <w:color w:val="auto"/>
              </w:rPr>
              <w:t>(83,975)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4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as of June 30, 2016</w:t>
            </w:r>
          </w:p>
        </w:tc>
        <w:tc>
          <w:tcPr>
            <w:tcW w:w="820" w:type="dxa"/>
            <w:vAlign w:val="bottom"/>
            <w:tcBorders>
              <w:bottom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1"/>
                <w:szCs w:val="11"/>
                <w:color w:val="auto"/>
              </w:rPr>
              <w:t>53,990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540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316,565</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316,577</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(66,974)</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566,708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4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60" w:type="dxa"/>
            <w:vAlign w:val="bottom"/>
            <w:gridSpan w:val="7"/>
          </w:tcPr>
          <w:p>
            <w:pPr>
              <w:ind w:left="620"/>
              <w:spacing w:after="0"/>
              <w:rPr>
                <w:sz w:val="20"/>
                <w:szCs w:val="20"/>
                <w:color w:val="auto"/>
              </w:rPr>
            </w:pPr>
            <w:r>
              <w:rPr>
                <w:rFonts w:ascii="Arial" w:cs="Arial" w:eastAsia="Arial" w:hAnsi="Arial"/>
                <w:sz w:val="10"/>
                <w:szCs w:val="10"/>
                <w:b w:val="1"/>
                <w:bCs w:val="1"/>
                <w:color w:val="auto"/>
              </w:rPr>
              <w:t>Common Stock</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89"/>
              </w:rPr>
              <w:t>Additional</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5"/>
              </w:rPr>
              <w:t>Accumulated</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center"/>
              <w:ind w:right="108"/>
              <w:spacing w:after="0"/>
              <w:rPr>
                <w:sz w:val="20"/>
                <w:szCs w:val="20"/>
                <w:color w:val="auto"/>
              </w:rPr>
            </w:pPr>
            <w:r>
              <w:rPr>
                <w:rFonts w:ascii="Arial" w:cs="Arial" w:eastAsia="Arial" w:hAnsi="Arial"/>
                <w:sz w:val="10"/>
                <w:szCs w:val="10"/>
                <w:b w:val="1"/>
                <w:bCs w:val="1"/>
                <w:color w:val="auto"/>
                <w:w w:val="93"/>
              </w:rPr>
              <w:t>EZCORP, Inc.</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3"/>
            <w:vMerge w:val="restart"/>
          </w:tcPr>
          <w:p>
            <w:pPr>
              <w:jc w:val="center"/>
              <w:ind w:right="260"/>
              <w:spacing w:after="0" w:line="94" w:lineRule="exact"/>
              <w:rPr>
                <w:sz w:val="20"/>
                <w:szCs w:val="20"/>
                <w:color w:val="auto"/>
              </w:rPr>
            </w:pPr>
            <w:r>
              <w:rPr>
                <w:rFonts w:ascii="Arial" w:cs="Arial" w:eastAsia="Arial" w:hAnsi="Arial"/>
                <w:sz w:val="10"/>
                <w:szCs w:val="10"/>
                <w:b w:val="1"/>
                <w:bCs w:val="1"/>
                <w:color w:val="auto"/>
                <w:w w:val="89"/>
              </w:rPr>
              <w:t>Paid-in</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restart"/>
          </w:tcPr>
          <w:p>
            <w:pPr>
              <w:jc w:val="right"/>
              <w:ind w:right="340"/>
              <w:spacing w:after="0" w:line="94" w:lineRule="exact"/>
              <w:rPr>
                <w:sz w:val="20"/>
                <w:szCs w:val="20"/>
                <w:color w:val="auto"/>
              </w:rPr>
            </w:pPr>
            <w:r>
              <w:rPr>
                <w:rFonts w:ascii="Arial" w:cs="Arial" w:eastAsia="Arial" w:hAnsi="Arial"/>
                <w:sz w:val="10"/>
                <w:szCs w:val="10"/>
                <w:b w:val="1"/>
                <w:bCs w:val="1"/>
                <w:color w:val="auto"/>
              </w:rPr>
              <w:t>Retained</w:t>
            </w: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3"/>
            <w:vMerge w:val="restart"/>
          </w:tcPr>
          <w:p>
            <w:pPr>
              <w:jc w:val="center"/>
              <w:ind w:right="200"/>
              <w:spacing w:after="0" w:line="94" w:lineRule="exact"/>
              <w:rPr>
                <w:sz w:val="20"/>
                <w:szCs w:val="20"/>
                <w:color w:val="auto"/>
              </w:rPr>
            </w:pPr>
            <w:r>
              <w:rPr>
                <w:rFonts w:ascii="Arial" w:cs="Arial" w:eastAsia="Arial" w:hAnsi="Arial"/>
                <w:sz w:val="10"/>
                <w:szCs w:val="10"/>
                <w:b w:val="1"/>
                <w:bCs w:val="1"/>
                <w:color w:val="auto"/>
                <w:w w:val="97"/>
              </w:rPr>
              <w:t>Other</w:t>
            </w: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vMerge w:val="restart"/>
          </w:tcPr>
          <w:p>
            <w:pPr>
              <w:jc w:val="center"/>
              <w:ind w:right="108"/>
              <w:spacing w:after="0" w:line="94" w:lineRule="exact"/>
              <w:rPr>
                <w:sz w:val="20"/>
                <w:szCs w:val="20"/>
                <w:color w:val="auto"/>
              </w:rPr>
            </w:pPr>
            <w:r>
              <w:rPr>
                <w:rFonts w:ascii="Arial" w:cs="Arial" w:eastAsia="Arial" w:hAnsi="Arial"/>
                <w:sz w:val="10"/>
                <w:szCs w:val="10"/>
                <w:b w:val="1"/>
                <w:bCs w:val="1"/>
                <w:color w:val="auto"/>
                <w:w w:val="84"/>
              </w:rPr>
              <w:t>Stockholders’</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44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4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bottom w:val="single" w:sz="8" w:color="auto"/>
            </w:tcBorders>
          </w:tcPr>
          <w:p>
            <w:pPr>
              <w:jc w:val="right"/>
              <w:ind w:right="207"/>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Par Value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9"/>
              </w:rPr>
              <w:t>Capital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rPr>
              <w:t>Earnings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0"/>
                <w:szCs w:val="10"/>
                <w:b w:val="1"/>
                <w:bCs w:val="1"/>
                <w:color w:val="auto"/>
                <w:w w:val="84"/>
              </w:rPr>
              <w:t>Comprehensive Loss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08"/>
              <w:spacing w:after="0"/>
              <w:rPr>
                <w:sz w:val="20"/>
                <w:szCs w:val="20"/>
                <w:color w:val="auto"/>
              </w:rPr>
            </w:pPr>
            <w:r>
              <w:rPr>
                <w:rFonts w:ascii="Arial" w:cs="Arial" w:eastAsia="Arial" w:hAnsi="Arial"/>
                <w:sz w:val="10"/>
                <w:szCs w:val="10"/>
                <w:b w:val="1"/>
                <w:bCs w:val="1"/>
                <w:color w:val="auto"/>
                <w:w w:val="91"/>
              </w:rPr>
              <w:t>Equity</w:t>
            </w: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60" w:type="dxa"/>
            <w:vAlign w:val="bottom"/>
            <w:gridSpan w:val="13"/>
          </w:tcPr>
          <w:p>
            <w:pPr>
              <w:ind w:left="260"/>
              <w:spacing w:after="0"/>
              <w:rPr>
                <w:sz w:val="20"/>
                <w:szCs w:val="20"/>
                <w:color w:val="auto"/>
              </w:rPr>
            </w:pPr>
            <w:r>
              <w:rPr>
                <w:rFonts w:ascii="Arial" w:cs="Arial" w:eastAsia="Arial" w:hAnsi="Arial"/>
                <w:sz w:val="10"/>
                <w:szCs w:val="10"/>
                <w:b w:val="1"/>
                <w:bCs w:val="1"/>
                <w:color w:val="auto"/>
              </w:rPr>
              <w:t>(Unaudited, except balances as of September 30, 2016)</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0"/>
                <w:szCs w:val="10"/>
                <w:i w:val="1"/>
                <w:iCs w:val="1"/>
                <w:color w:val="auto"/>
                <w:w w:val="85"/>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shd w:val="clear" w:color="auto" w:fill="CCEEFF"/>
              </w:rPr>
              <w:t>Balances as of September 30, 2016</w:t>
            </w:r>
          </w:p>
        </w:tc>
        <w:tc>
          <w:tcPr>
            <w:tcW w:w="820" w:type="dxa"/>
            <w:vAlign w:val="bottom"/>
            <w:tcBorders>
              <w:bottom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1"/>
                <w:szCs w:val="11"/>
                <w:color w:val="auto"/>
              </w:rPr>
              <w:t>54,099</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541</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318,723</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319,808</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(44,089)</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594,983</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60" w:type="dxa"/>
            <w:vAlign w:val="bottom"/>
          </w:tcPr>
          <w:p>
            <w:pPr>
              <w:ind w:left="180"/>
              <w:spacing w:after="0"/>
              <w:rPr>
                <w:sz w:val="20"/>
                <w:szCs w:val="20"/>
                <w:color w:val="auto"/>
              </w:rPr>
            </w:pPr>
            <w:r>
              <w:rPr>
                <w:rFonts w:ascii="Arial" w:cs="Arial" w:eastAsia="Arial" w:hAnsi="Arial"/>
                <w:sz w:val="11"/>
                <w:szCs w:val="11"/>
                <w:color w:val="auto"/>
              </w:rPr>
              <w:t>Stock compensation</w:t>
            </w:r>
          </w:p>
        </w:tc>
        <w:tc>
          <w:tcPr>
            <w:tcW w:w="2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28"/>
              <w:spacing w:after="0"/>
              <w:rPr>
                <w:sz w:val="20"/>
                <w:szCs w:val="20"/>
                <w:color w:val="auto"/>
              </w:rPr>
            </w:pPr>
            <w:r>
              <w:rPr>
                <w:rFonts w:ascii="Arial" w:cs="Arial" w:eastAsia="Arial" w:hAnsi="Arial"/>
                <w:sz w:val="11"/>
                <w:szCs w:val="11"/>
                <w:color w:val="auto"/>
              </w:rPr>
              <w:t>5,126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8"/>
              <w:spacing w:after="0"/>
              <w:rPr>
                <w:sz w:val="20"/>
                <w:szCs w:val="20"/>
                <w:color w:val="auto"/>
              </w:rPr>
            </w:pPr>
            <w:r>
              <w:rPr>
                <w:rFonts w:ascii="Arial" w:cs="Arial" w:eastAsia="Arial" w:hAnsi="Arial"/>
                <w:sz w:val="11"/>
                <w:szCs w:val="11"/>
                <w:color w:val="auto"/>
              </w:rPr>
              <w:t>5,126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Release of restricted stock</w:t>
            </w:r>
          </w:p>
        </w:tc>
        <w:tc>
          <w:tcPr>
            <w:tcW w:w="820" w:type="dxa"/>
            <w:vAlign w:val="bottom"/>
            <w:tcBorders>
              <w:bottom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1"/>
                <w:szCs w:val="11"/>
                <w:color w:val="auto"/>
              </w:rPr>
              <w:t>198</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60" w:type="dxa"/>
            <w:vAlign w:val="bottom"/>
          </w:tcPr>
          <w:p>
            <w:pPr>
              <w:ind w:left="180"/>
              <w:spacing w:after="0"/>
              <w:rPr>
                <w:sz w:val="20"/>
                <w:szCs w:val="20"/>
                <w:color w:val="auto"/>
              </w:rPr>
            </w:pPr>
            <w:r>
              <w:rPr>
                <w:rFonts w:ascii="Arial" w:cs="Arial" w:eastAsia="Arial" w:hAnsi="Arial"/>
                <w:sz w:val="11"/>
                <w:szCs w:val="11"/>
                <w:color w:val="auto"/>
              </w:rPr>
              <w:t>Taxes paid related to net share settlement of equity awards</w:t>
            </w:r>
          </w:p>
        </w:tc>
        <w:tc>
          <w:tcPr>
            <w:tcW w:w="2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(767)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Reclassification of Cash Convertible Notes Warrants to liabilities</w:t>
            </w:r>
          </w:p>
        </w:tc>
        <w:tc>
          <w:tcPr>
            <w:tcW w:w="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60" w:type="dxa"/>
            <w:vAlign w:val="bottom"/>
          </w:tcPr>
          <w:p>
            <w:pPr>
              <w:ind w:left="180"/>
              <w:spacing w:after="0"/>
              <w:rPr>
                <w:sz w:val="20"/>
                <w:szCs w:val="20"/>
                <w:color w:val="auto"/>
              </w:rPr>
            </w:pPr>
            <w:r>
              <w:rPr>
                <w:rFonts w:ascii="Arial" w:cs="Arial" w:eastAsia="Arial" w:hAnsi="Arial"/>
                <w:sz w:val="11"/>
                <w:szCs w:val="11"/>
                <w:color w:val="auto"/>
              </w:rPr>
              <w:t>Foreign currency translation adjustment</w:t>
            </w:r>
          </w:p>
        </w:tc>
        <w:tc>
          <w:tcPr>
            <w:tcW w:w="2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8"/>
              <w:spacing w:after="0"/>
              <w:rPr>
                <w:sz w:val="20"/>
                <w:szCs w:val="20"/>
                <w:color w:val="auto"/>
              </w:rPr>
            </w:pPr>
            <w:r>
              <w:rPr>
                <w:rFonts w:ascii="Arial" w:cs="Arial" w:eastAsia="Arial" w:hAnsi="Arial"/>
                <w:sz w:val="11"/>
                <w:szCs w:val="11"/>
                <w:color w:val="auto"/>
              </w:rPr>
              <w:t>6,168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8"/>
              <w:spacing w:after="0"/>
              <w:rPr>
                <w:sz w:val="20"/>
                <w:szCs w:val="20"/>
                <w:color w:val="auto"/>
              </w:rPr>
            </w:pPr>
            <w:r>
              <w:rPr>
                <w:rFonts w:ascii="Arial" w:cs="Arial" w:eastAsia="Arial" w:hAnsi="Arial"/>
                <w:sz w:val="11"/>
                <w:szCs w:val="11"/>
                <w:color w:val="auto"/>
              </w:rPr>
              <w:t>6,168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income attributable to EZCORP, Inc.</w:t>
            </w:r>
          </w:p>
        </w:tc>
        <w:tc>
          <w:tcPr>
            <w:tcW w:w="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20,448</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20,448</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460" w:type="dxa"/>
            <w:vAlign w:val="bottom"/>
          </w:tcPr>
          <w:p>
            <w:pPr>
              <w:ind w:left="20"/>
              <w:spacing w:after="0"/>
              <w:rPr>
                <w:sz w:val="20"/>
                <w:szCs w:val="20"/>
                <w:color w:val="auto"/>
              </w:rPr>
            </w:pPr>
            <w:r>
              <w:rPr>
                <w:rFonts w:ascii="Arial" w:cs="Arial" w:eastAsia="Arial" w:hAnsi="Arial"/>
                <w:sz w:val="11"/>
                <w:szCs w:val="11"/>
                <w:color w:val="auto"/>
              </w:rPr>
              <w:t>Balances as of June 30, 2017</w:t>
            </w:r>
          </w:p>
        </w:tc>
        <w:tc>
          <w:tcPr>
            <w:tcW w:w="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rPr>
              <w:t>54,297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rPr>
              <w:t>543</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1"/>
                <w:szCs w:val="11"/>
                <w:color w:val="auto"/>
              </w:rPr>
              <w:t>322,559</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340,256</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(37,921)</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1"/>
                <w:szCs w:val="11"/>
                <w:color w:val="auto"/>
              </w:rPr>
              <w:t>625,437</w:t>
            </w:r>
          </w:p>
        </w:tc>
        <w:tc>
          <w:tcPr>
            <w:tcW w:w="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128" w:right="199" w:bottom="1440" w:gutter="0" w:footer="0" w:header="0"/>
        </w:sectPr>
      </w:pPr>
    </w:p>
    <w:bookmarkStart w:id="6" w:name="page7"/>
    <w:bookmarkEnd w:id="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EZCORP,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8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center"/>
              <w:ind w:right="152"/>
              <w:spacing w:after="0"/>
              <w:rPr>
                <w:sz w:val="20"/>
                <w:szCs w:val="20"/>
                <w:color w:val="auto"/>
              </w:rPr>
            </w:pPr>
            <w:r>
              <w:rPr>
                <w:rFonts w:ascii="Arial" w:cs="Arial" w:eastAsia="Arial" w:hAnsi="Arial"/>
                <w:sz w:val="10"/>
                <w:szCs w:val="10"/>
                <w:b w:val="1"/>
                <w:bCs w:val="1"/>
                <w:color w:val="auto"/>
                <w:w w:val="86"/>
              </w:rPr>
              <w:t>Nine Months Ended June 30,</w:t>
            </w:r>
          </w:p>
        </w:tc>
        <w:tc>
          <w:tcPr>
            <w:tcW w:w="500" w:type="dxa"/>
            <w:vAlign w:val="bottom"/>
            <w:tcBorders>
              <w:bottom w:val="single" w:sz="8" w:color="auto"/>
            </w:tcBorders>
          </w:tcPr>
          <w:p>
            <w:pPr>
              <w:spacing w:after="0"/>
              <w:rPr>
                <w:sz w:val="11"/>
                <w:szCs w:val="11"/>
                <w:color w:val="auto"/>
              </w:rPr>
            </w:pPr>
          </w:p>
        </w:tc>
      </w:tr>
      <w:tr>
        <w:trPr>
          <w:trHeight w:val="169"/>
        </w:trPr>
        <w:tc>
          <w:tcPr>
            <w:tcW w:w="88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500" w:type="dxa"/>
            <w:vAlign w:val="bottom"/>
            <w:tcBorders>
              <w:bottom w:val="single" w:sz="8" w:color="auto"/>
            </w:tcBorders>
          </w:tcPr>
          <w:p>
            <w:pPr>
              <w:spacing w:after="0"/>
              <w:rPr>
                <w:sz w:val="14"/>
                <w:szCs w:val="14"/>
                <w:color w:val="auto"/>
              </w:rPr>
            </w:pPr>
          </w:p>
        </w:tc>
      </w:tr>
      <w:tr>
        <w:trPr>
          <w:trHeight w:val="246"/>
        </w:trPr>
        <w:tc>
          <w:tcPr>
            <w:tcW w:w="8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20" w:type="dxa"/>
            <w:vAlign w:val="bottom"/>
            <w:gridSpan w:val="3"/>
          </w:tcPr>
          <w:p>
            <w:pPr>
              <w:jc w:val="center"/>
              <w:ind w:right="152"/>
              <w:spacing w:after="0"/>
              <w:rPr>
                <w:sz w:val="20"/>
                <w:szCs w:val="20"/>
                <w:color w:val="auto"/>
              </w:rPr>
            </w:pPr>
            <w:r>
              <w:rPr>
                <w:rFonts w:ascii="Arial" w:cs="Arial" w:eastAsia="Arial" w:hAnsi="Arial"/>
                <w:sz w:val="10"/>
                <w:szCs w:val="10"/>
                <w:b w:val="1"/>
                <w:bCs w:val="1"/>
                <w:color w:val="auto"/>
                <w:w w:val="89"/>
              </w:rPr>
              <w:t>(Unaudited)</w:t>
            </w:r>
          </w:p>
        </w:tc>
        <w:tc>
          <w:tcPr>
            <w:tcW w:w="500" w:type="dxa"/>
            <w:vAlign w:val="bottom"/>
          </w:tcPr>
          <w:p>
            <w:pPr>
              <w:spacing w:after="0"/>
              <w:rPr>
                <w:sz w:val="21"/>
                <w:szCs w:val="21"/>
                <w:color w:val="auto"/>
              </w:rPr>
            </w:pPr>
          </w:p>
        </w:tc>
      </w:tr>
      <w:tr>
        <w:trPr>
          <w:trHeight w:val="139"/>
        </w:trPr>
        <w:tc>
          <w:tcPr>
            <w:tcW w:w="8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gridSpan w:val="3"/>
          </w:tcPr>
          <w:p>
            <w:pPr>
              <w:jc w:val="center"/>
              <w:ind w:right="172"/>
              <w:spacing w:after="0"/>
              <w:rPr>
                <w:sz w:val="20"/>
                <w:szCs w:val="20"/>
                <w:color w:val="auto"/>
              </w:rPr>
            </w:pPr>
            <w:r>
              <w:rPr>
                <w:rFonts w:ascii="Arial" w:cs="Arial" w:eastAsia="Arial" w:hAnsi="Arial"/>
                <w:sz w:val="10"/>
                <w:szCs w:val="10"/>
                <w:i w:val="1"/>
                <w:iCs w:val="1"/>
                <w:color w:val="auto"/>
                <w:w w:val="88"/>
              </w:rPr>
              <w:t>(in thousands)</w:t>
            </w:r>
          </w:p>
        </w:tc>
        <w:tc>
          <w:tcPr>
            <w:tcW w:w="500" w:type="dxa"/>
            <w:vAlign w:val="bottom"/>
          </w:tcPr>
          <w:p>
            <w:pPr>
              <w:spacing w:after="0"/>
              <w:rPr>
                <w:sz w:val="12"/>
                <w:szCs w:val="12"/>
                <w:color w:val="auto"/>
              </w:rPr>
            </w:pP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Operating activities:</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76"/>
        </w:trPr>
        <w:tc>
          <w:tcPr>
            <w:tcW w:w="8840" w:type="dxa"/>
            <w:vAlign w:val="bottom"/>
          </w:tcPr>
          <w:p>
            <w:pPr>
              <w:ind w:left="180"/>
              <w:spacing w:after="0"/>
              <w:rPr>
                <w:sz w:val="20"/>
                <w:szCs w:val="20"/>
                <w:color w:val="auto"/>
              </w:rPr>
            </w:pPr>
            <w:r>
              <w:rPr>
                <w:rFonts w:ascii="Arial" w:cs="Arial" w:eastAsia="Arial" w:hAnsi="Arial"/>
                <w:sz w:val="10"/>
                <w:szCs w:val="10"/>
                <w:color w:val="auto"/>
              </w:rPr>
              <w:t>Net income (loss)</w:t>
            </w: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20,096</w:t>
            </w:r>
          </w:p>
        </w:tc>
        <w:tc>
          <w:tcPr>
            <w:tcW w:w="120" w:type="dxa"/>
            <w:vAlign w:val="bottom"/>
          </w:tcPr>
          <w:p>
            <w:pPr>
              <w:spacing w:after="0"/>
              <w:rPr>
                <w:sz w:val="15"/>
                <w:szCs w:val="15"/>
                <w:color w:val="auto"/>
              </w:rPr>
            </w:pPr>
          </w:p>
        </w:tc>
        <w:tc>
          <w:tcPr>
            <w:tcW w:w="760" w:type="dxa"/>
            <w:vAlign w:val="bottom"/>
          </w:tcPr>
          <w:p>
            <w:pPr>
              <w:jc w:val="right"/>
              <w:ind w:right="632"/>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(90,564)</w:t>
            </w:r>
          </w:p>
        </w:tc>
      </w:tr>
      <w:tr>
        <w:trPr>
          <w:trHeight w:val="184"/>
        </w:trPr>
        <w:tc>
          <w:tcPr>
            <w:tcW w:w="8840" w:type="dxa"/>
            <w:vAlign w:val="bottom"/>
            <w:shd w:val="clear" w:color="auto" w:fill="CCEEFF"/>
          </w:tcPr>
          <w:p>
            <w:pPr>
              <w:ind w:left="320"/>
              <w:spacing w:after="0"/>
              <w:rPr>
                <w:sz w:val="20"/>
                <w:szCs w:val="20"/>
                <w:color w:val="auto"/>
              </w:rPr>
            </w:pPr>
            <w:r>
              <w:rPr>
                <w:rFonts w:ascii="Arial" w:cs="Arial" w:eastAsia="Arial" w:hAnsi="Arial"/>
                <w:sz w:val="10"/>
                <w:szCs w:val="10"/>
                <w:color w:val="auto"/>
              </w:rPr>
              <w:t>Adjustments to reconcile net income (loss) to net cash flows from operating activities:</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76"/>
        </w:trPr>
        <w:tc>
          <w:tcPr>
            <w:tcW w:w="8840" w:type="dxa"/>
            <w:vAlign w:val="bottom"/>
          </w:tcPr>
          <w:p>
            <w:pPr>
              <w:ind w:left="460"/>
              <w:spacing w:after="0"/>
              <w:rPr>
                <w:sz w:val="20"/>
                <w:szCs w:val="20"/>
                <w:color w:val="auto"/>
              </w:rPr>
            </w:pPr>
            <w:r>
              <w:rPr>
                <w:rFonts w:ascii="Arial" w:cs="Arial" w:eastAsia="Arial" w:hAnsi="Arial"/>
                <w:sz w:val="10"/>
                <w:szCs w:val="10"/>
                <w:color w:val="auto"/>
              </w:rPr>
              <w:t>Depreciation and amortization</w:t>
            </w:r>
          </w:p>
        </w:tc>
        <w:tc>
          <w:tcPr>
            <w:tcW w:w="72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18,246</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21,432</w:t>
            </w:r>
          </w:p>
        </w:tc>
      </w:tr>
      <w:tr>
        <w:trPr>
          <w:trHeight w:val="184"/>
        </w:trPr>
        <w:tc>
          <w:tcPr>
            <w:tcW w:w="8840" w:type="dxa"/>
            <w:vAlign w:val="bottom"/>
            <w:shd w:val="clear" w:color="auto" w:fill="CCEEFF"/>
          </w:tcPr>
          <w:p>
            <w:pPr>
              <w:ind w:left="460"/>
              <w:spacing w:after="0"/>
              <w:rPr>
                <w:sz w:val="20"/>
                <w:szCs w:val="20"/>
                <w:color w:val="auto"/>
              </w:rPr>
            </w:pPr>
            <w:r>
              <w:rPr>
                <w:rFonts w:ascii="Arial" w:cs="Arial" w:eastAsia="Arial" w:hAnsi="Arial"/>
                <w:sz w:val="10"/>
                <w:szCs w:val="10"/>
                <w:color w:val="auto"/>
              </w:rPr>
              <w:t>Amortization of debt discount and deferred financing costs</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8,595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8,864</w:t>
            </w:r>
          </w:p>
        </w:tc>
      </w:tr>
      <w:tr>
        <w:trPr>
          <w:trHeight w:val="176"/>
        </w:trPr>
        <w:tc>
          <w:tcPr>
            <w:tcW w:w="8840" w:type="dxa"/>
            <w:vAlign w:val="bottom"/>
          </w:tcPr>
          <w:p>
            <w:pPr>
              <w:ind w:left="460"/>
              <w:spacing w:after="0"/>
              <w:rPr>
                <w:sz w:val="20"/>
                <w:szCs w:val="20"/>
                <w:color w:val="auto"/>
              </w:rPr>
            </w:pPr>
            <w:r>
              <w:rPr>
                <w:rFonts w:ascii="Arial" w:cs="Arial" w:eastAsia="Arial" w:hAnsi="Arial"/>
                <w:sz w:val="10"/>
                <w:szCs w:val="10"/>
                <w:color w:val="auto"/>
              </w:rPr>
              <w:t>Amortization of prepaid commissions</w:t>
            </w:r>
          </w:p>
        </w:tc>
        <w:tc>
          <w:tcPr>
            <w:tcW w:w="72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10,684</w:t>
            </w:r>
          </w:p>
        </w:tc>
      </w:tr>
      <w:tr>
        <w:trPr>
          <w:trHeight w:val="184"/>
        </w:trPr>
        <w:tc>
          <w:tcPr>
            <w:tcW w:w="8840" w:type="dxa"/>
            <w:vAlign w:val="bottom"/>
            <w:shd w:val="clear" w:color="auto" w:fill="CCEEFF"/>
          </w:tcPr>
          <w:p>
            <w:pPr>
              <w:ind w:left="460"/>
              <w:spacing w:after="0"/>
              <w:rPr>
                <w:sz w:val="20"/>
                <w:szCs w:val="20"/>
                <w:color w:val="auto"/>
              </w:rPr>
            </w:pPr>
            <w:r>
              <w:rPr>
                <w:rFonts w:ascii="Arial" w:cs="Arial" w:eastAsia="Arial" w:hAnsi="Arial"/>
                <w:sz w:val="10"/>
                <w:szCs w:val="10"/>
                <w:color w:val="auto"/>
              </w:rPr>
              <w:t>Accretion of notes receivable discount</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(2,898)</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76"/>
        </w:trPr>
        <w:tc>
          <w:tcPr>
            <w:tcW w:w="8840" w:type="dxa"/>
            <w:vAlign w:val="bottom"/>
          </w:tcPr>
          <w:p>
            <w:pPr>
              <w:ind w:left="460"/>
              <w:spacing w:after="0"/>
              <w:rPr>
                <w:sz w:val="20"/>
                <w:szCs w:val="20"/>
                <w:color w:val="auto"/>
              </w:rPr>
            </w:pPr>
            <w:r>
              <w:rPr>
                <w:rFonts w:ascii="Arial" w:cs="Arial" w:eastAsia="Arial" w:hAnsi="Arial"/>
                <w:sz w:val="10"/>
                <w:szCs w:val="10"/>
                <w:color w:val="auto"/>
              </w:rPr>
              <w:t>Consumer loan loss provision</w:t>
            </w:r>
          </w:p>
        </w:tc>
        <w:tc>
          <w:tcPr>
            <w:tcW w:w="72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1,434</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24,157</w:t>
            </w:r>
          </w:p>
        </w:tc>
      </w:tr>
      <w:tr>
        <w:trPr>
          <w:trHeight w:val="184"/>
        </w:trPr>
        <w:tc>
          <w:tcPr>
            <w:tcW w:w="8840" w:type="dxa"/>
            <w:vAlign w:val="bottom"/>
            <w:shd w:val="clear" w:color="auto" w:fill="CCEEFF"/>
          </w:tcPr>
          <w:p>
            <w:pPr>
              <w:ind w:left="460"/>
              <w:spacing w:after="0"/>
              <w:rPr>
                <w:sz w:val="20"/>
                <w:szCs w:val="20"/>
                <w:color w:val="auto"/>
              </w:rPr>
            </w:pPr>
            <w:r>
              <w:rPr>
                <w:rFonts w:ascii="Arial" w:cs="Arial" w:eastAsia="Arial" w:hAnsi="Arial"/>
                <w:sz w:val="10"/>
                <w:szCs w:val="10"/>
                <w:color w:val="auto"/>
              </w:rPr>
              <w:t>Deferred income taxes</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(871)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(14,234)</w:t>
            </w:r>
          </w:p>
        </w:tc>
      </w:tr>
      <w:tr>
        <w:trPr>
          <w:trHeight w:val="176"/>
        </w:trPr>
        <w:tc>
          <w:tcPr>
            <w:tcW w:w="8840" w:type="dxa"/>
            <w:vAlign w:val="bottom"/>
          </w:tcPr>
          <w:p>
            <w:pPr>
              <w:ind w:left="460"/>
              <w:spacing w:after="0"/>
              <w:rPr>
                <w:sz w:val="20"/>
                <w:szCs w:val="20"/>
                <w:color w:val="auto"/>
              </w:rPr>
            </w:pPr>
            <w:r>
              <w:rPr>
                <w:rFonts w:ascii="Arial" w:cs="Arial" w:eastAsia="Arial" w:hAnsi="Arial"/>
                <w:sz w:val="10"/>
                <w:szCs w:val="10"/>
                <w:color w:val="auto"/>
              </w:rPr>
              <w:t>Impairment of goodwill</w:t>
            </w:r>
          </w:p>
        </w:tc>
        <w:tc>
          <w:tcPr>
            <w:tcW w:w="72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73,244</w:t>
            </w:r>
          </w:p>
        </w:tc>
      </w:tr>
      <w:tr>
        <w:trPr>
          <w:trHeight w:val="184"/>
        </w:trPr>
        <w:tc>
          <w:tcPr>
            <w:tcW w:w="8840" w:type="dxa"/>
            <w:vAlign w:val="bottom"/>
            <w:shd w:val="clear" w:color="auto" w:fill="CCEEFF"/>
          </w:tcPr>
          <w:p>
            <w:pPr>
              <w:ind w:left="460"/>
              <w:spacing w:after="0"/>
              <w:rPr>
                <w:sz w:val="20"/>
                <w:szCs w:val="20"/>
                <w:color w:val="auto"/>
              </w:rPr>
            </w:pPr>
            <w:r>
              <w:rPr>
                <w:rFonts w:ascii="Arial" w:cs="Arial" w:eastAsia="Arial" w:hAnsi="Arial"/>
                <w:sz w:val="10"/>
                <w:szCs w:val="10"/>
                <w:color w:val="auto"/>
              </w:rPr>
              <w:t>Other adjustments</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(48)</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(2,002)</w:t>
            </w:r>
          </w:p>
        </w:tc>
      </w:tr>
      <w:tr>
        <w:trPr>
          <w:trHeight w:val="176"/>
        </w:trPr>
        <w:tc>
          <w:tcPr>
            <w:tcW w:w="8840" w:type="dxa"/>
            <w:vAlign w:val="bottom"/>
          </w:tcPr>
          <w:p>
            <w:pPr>
              <w:ind w:left="460"/>
              <w:spacing w:after="0"/>
              <w:rPr>
                <w:sz w:val="20"/>
                <w:szCs w:val="20"/>
                <w:color w:val="auto"/>
              </w:rPr>
            </w:pPr>
            <w:r>
              <w:rPr>
                <w:rFonts w:ascii="Arial" w:cs="Arial" w:eastAsia="Arial" w:hAnsi="Arial"/>
                <w:sz w:val="10"/>
                <w:szCs w:val="10"/>
                <w:color w:val="auto"/>
              </w:rPr>
              <w:t>Loss on sale or disposal of assets</w:t>
            </w:r>
          </w:p>
        </w:tc>
        <w:tc>
          <w:tcPr>
            <w:tcW w:w="72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641</w:t>
            </w:r>
          </w:p>
        </w:tc>
      </w:tr>
      <w:tr>
        <w:trPr>
          <w:trHeight w:val="184"/>
        </w:trPr>
        <w:tc>
          <w:tcPr>
            <w:tcW w:w="8840" w:type="dxa"/>
            <w:vAlign w:val="bottom"/>
            <w:shd w:val="clear" w:color="auto" w:fill="CCEEFF"/>
          </w:tcPr>
          <w:p>
            <w:pPr>
              <w:ind w:left="460"/>
              <w:spacing w:after="0"/>
              <w:rPr>
                <w:sz w:val="20"/>
                <w:szCs w:val="20"/>
                <w:color w:val="auto"/>
              </w:rPr>
            </w:pPr>
            <w:r>
              <w:rPr>
                <w:rFonts w:ascii="Arial" w:cs="Arial" w:eastAsia="Arial" w:hAnsi="Arial"/>
                <w:sz w:val="10"/>
                <w:szCs w:val="10"/>
                <w:color w:val="auto"/>
              </w:rPr>
              <w:t>Stock compensation</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5,145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3,206</w:t>
            </w:r>
          </w:p>
        </w:tc>
      </w:tr>
      <w:tr>
        <w:trPr>
          <w:trHeight w:val="176"/>
        </w:trPr>
        <w:tc>
          <w:tcPr>
            <w:tcW w:w="8840" w:type="dxa"/>
            <w:vAlign w:val="bottom"/>
          </w:tcPr>
          <w:p>
            <w:pPr>
              <w:ind w:left="460"/>
              <w:spacing w:after="0"/>
              <w:rPr>
                <w:sz w:val="20"/>
                <w:szCs w:val="20"/>
                <w:color w:val="auto"/>
              </w:rPr>
            </w:pPr>
            <w:r>
              <w:rPr>
                <w:rFonts w:ascii="Arial" w:cs="Arial" w:eastAsia="Arial" w:hAnsi="Arial"/>
                <w:sz w:val="10"/>
                <w:szCs w:val="10"/>
                <w:color w:val="auto"/>
              </w:rPr>
              <w:t>Income from investment in unconsolidated affiliate</w:t>
            </w:r>
          </w:p>
        </w:tc>
        <w:tc>
          <w:tcPr>
            <w:tcW w:w="7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0"/>
                <w:szCs w:val="10"/>
                <w:color w:val="auto"/>
              </w:rPr>
              <w:t>(3,768)</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(5,626)</w:t>
            </w:r>
          </w:p>
        </w:tc>
      </w:tr>
      <w:tr>
        <w:trPr>
          <w:trHeight w:val="184"/>
        </w:trPr>
        <w:tc>
          <w:tcPr>
            <w:tcW w:w="88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Changes in operating assets and liabilities:</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76"/>
        </w:trPr>
        <w:tc>
          <w:tcPr>
            <w:tcW w:w="8840" w:type="dxa"/>
            <w:vAlign w:val="bottom"/>
          </w:tcPr>
          <w:p>
            <w:pPr>
              <w:ind w:left="320"/>
              <w:spacing w:after="0"/>
              <w:rPr>
                <w:sz w:val="20"/>
                <w:szCs w:val="20"/>
                <w:color w:val="auto"/>
              </w:rPr>
            </w:pPr>
            <w:r>
              <w:rPr>
                <w:rFonts w:ascii="Arial" w:cs="Arial" w:eastAsia="Arial" w:hAnsi="Arial"/>
                <w:sz w:val="10"/>
                <w:szCs w:val="10"/>
                <w:color w:val="auto"/>
              </w:rPr>
              <w:t>Service charges and fees receivable</w:t>
            </w:r>
          </w:p>
        </w:tc>
        <w:tc>
          <w:tcPr>
            <w:tcW w:w="72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604</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8,363</w:t>
            </w:r>
          </w:p>
        </w:tc>
      </w:tr>
      <w:tr>
        <w:trPr>
          <w:trHeight w:val="184"/>
        </w:trPr>
        <w:tc>
          <w:tcPr>
            <w:tcW w:w="8840" w:type="dxa"/>
            <w:vAlign w:val="bottom"/>
            <w:shd w:val="clear" w:color="auto" w:fill="CCEEFF"/>
          </w:tcPr>
          <w:p>
            <w:pPr>
              <w:ind w:left="320"/>
              <w:spacing w:after="0"/>
              <w:rPr>
                <w:sz w:val="20"/>
                <w:szCs w:val="20"/>
                <w:color w:val="auto"/>
              </w:rPr>
            </w:pPr>
            <w:r>
              <w:rPr>
                <w:rFonts w:ascii="Arial" w:cs="Arial" w:eastAsia="Arial" w:hAnsi="Arial"/>
                <w:sz w:val="10"/>
                <w:szCs w:val="10"/>
                <w:color w:val="auto"/>
              </w:rPr>
              <w:t>Inventory</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1,470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(1,349)</w:t>
            </w:r>
          </w:p>
        </w:tc>
      </w:tr>
      <w:tr>
        <w:trPr>
          <w:trHeight w:val="176"/>
        </w:trPr>
        <w:tc>
          <w:tcPr>
            <w:tcW w:w="8840" w:type="dxa"/>
            <w:vAlign w:val="bottom"/>
          </w:tcPr>
          <w:p>
            <w:pPr>
              <w:ind w:left="320"/>
              <w:spacing w:after="0"/>
              <w:rPr>
                <w:sz w:val="20"/>
                <w:szCs w:val="20"/>
                <w:color w:val="auto"/>
              </w:rPr>
            </w:pPr>
            <w:r>
              <w:rPr>
                <w:rFonts w:ascii="Arial" w:cs="Arial" w:eastAsia="Arial" w:hAnsi="Arial"/>
                <w:sz w:val="10"/>
                <w:szCs w:val="10"/>
                <w:color w:val="auto"/>
              </w:rPr>
              <w:t>Prepaid expenses, other current assets and other assets</w:t>
            </w:r>
          </w:p>
        </w:tc>
        <w:tc>
          <w:tcPr>
            <w:tcW w:w="72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1,261</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(4,983)</w:t>
            </w:r>
          </w:p>
        </w:tc>
      </w:tr>
      <w:tr>
        <w:trPr>
          <w:trHeight w:val="184"/>
        </w:trPr>
        <w:tc>
          <w:tcPr>
            <w:tcW w:w="8840" w:type="dxa"/>
            <w:vAlign w:val="bottom"/>
            <w:shd w:val="clear" w:color="auto" w:fill="CCEEFF"/>
          </w:tcPr>
          <w:p>
            <w:pPr>
              <w:ind w:left="320"/>
              <w:spacing w:after="0"/>
              <w:rPr>
                <w:sz w:val="20"/>
                <w:szCs w:val="20"/>
                <w:color w:val="auto"/>
              </w:rPr>
            </w:pPr>
            <w:r>
              <w:rPr>
                <w:rFonts w:ascii="Arial" w:cs="Arial" w:eastAsia="Arial" w:hAnsi="Arial"/>
                <w:sz w:val="10"/>
                <w:szCs w:val="10"/>
                <w:color w:val="auto"/>
              </w:rPr>
              <w:t>Accounts payable, accrued expenses and other liabilities</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(29,464)</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(20,497)</w:t>
            </w:r>
          </w:p>
        </w:tc>
      </w:tr>
      <w:tr>
        <w:trPr>
          <w:trHeight w:val="176"/>
        </w:trPr>
        <w:tc>
          <w:tcPr>
            <w:tcW w:w="8840" w:type="dxa"/>
            <w:vAlign w:val="bottom"/>
          </w:tcPr>
          <w:p>
            <w:pPr>
              <w:ind w:left="320"/>
              <w:spacing w:after="0"/>
              <w:rPr>
                <w:sz w:val="20"/>
                <w:szCs w:val="20"/>
                <w:color w:val="auto"/>
              </w:rPr>
            </w:pPr>
            <w:r>
              <w:rPr>
                <w:rFonts w:ascii="Arial" w:cs="Arial" w:eastAsia="Arial" w:hAnsi="Arial"/>
                <w:sz w:val="10"/>
                <w:szCs w:val="10"/>
                <w:color w:val="auto"/>
              </w:rPr>
              <w:t>Customer layaway deposits</w:t>
            </w:r>
          </w:p>
        </w:tc>
        <w:tc>
          <w:tcPr>
            <w:tcW w:w="72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288</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781</w:t>
            </w:r>
          </w:p>
        </w:tc>
      </w:tr>
      <w:tr>
        <w:trPr>
          <w:trHeight w:val="184"/>
        </w:trPr>
        <w:tc>
          <w:tcPr>
            <w:tcW w:w="8840" w:type="dxa"/>
            <w:vAlign w:val="bottom"/>
            <w:shd w:val="clear" w:color="auto" w:fill="CCEEFF"/>
          </w:tcPr>
          <w:p>
            <w:pPr>
              <w:ind w:left="320"/>
              <w:spacing w:after="0"/>
              <w:rPr>
                <w:sz w:val="20"/>
                <w:szCs w:val="20"/>
                <w:color w:val="auto"/>
              </w:rPr>
            </w:pPr>
            <w:r>
              <w:rPr>
                <w:rFonts w:ascii="Arial" w:cs="Arial" w:eastAsia="Arial" w:hAnsi="Arial"/>
                <w:sz w:val="10"/>
                <w:szCs w:val="10"/>
                <w:color w:val="auto"/>
              </w:rPr>
              <w:t>Income taxes receivable and payable, current, net of excess tax benefit from stock compensation</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9,873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51,990</w:t>
            </w:r>
          </w:p>
        </w:tc>
      </w:tr>
      <w:tr>
        <w:trPr>
          <w:trHeight w:val="176"/>
        </w:trPr>
        <w:tc>
          <w:tcPr>
            <w:tcW w:w="8840" w:type="dxa"/>
            <w:vAlign w:val="bottom"/>
          </w:tcPr>
          <w:p>
            <w:pPr>
              <w:ind w:left="180"/>
              <w:spacing w:after="0"/>
              <w:rPr>
                <w:sz w:val="20"/>
                <w:szCs w:val="20"/>
                <w:color w:val="auto"/>
              </w:rPr>
            </w:pPr>
            <w:r>
              <w:rPr>
                <w:rFonts w:ascii="Arial" w:cs="Arial" w:eastAsia="Arial" w:hAnsi="Arial"/>
                <w:sz w:val="10"/>
                <w:szCs w:val="10"/>
                <w:color w:val="auto"/>
              </w:rPr>
              <w:t>Payments of restructuring charges</w:t>
            </w:r>
          </w:p>
        </w:tc>
        <w:tc>
          <w:tcPr>
            <w:tcW w:w="72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(8,367)</w:t>
            </w:r>
          </w:p>
        </w:tc>
      </w:tr>
      <w:tr>
        <w:trPr>
          <w:trHeight w:val="180"/>
        </w:trPr>
        <w:tc>
          <w:tcPr>
            <w:tcW w:w="88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Dividends from unconsolidated affiliate</w:t>
            </w:r>
          </w:p>
        </w:tc>
        <w:tc>
          <w:tcPr>
            <w:tcW w:w="7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2,197</w:t>
            </w:r>
          </w:p>
        </w:tc>
      </w:tr>
      <w:tr>
        <w:trPr>
          <w:trHeight w:val="160"/>
        </w:trPr>
        <w:tc>
          <w:tcPr>
            <w:tcW w:w="8840" w:type="dxa"/>
            <w:vAlign w:val="bottom"/>
          </w:tcPr>
          <w:p>
            <w:pPr>
              <w:ind w:left="540"/>
              <w:spacing w:after="0"/>
              <w:rPr>
                <w:sz w:val="20"/>
                <w:szCs w:val="20"/>
                <w:color w:val="auto"/>
              </w:rPr>
            </w:pPr>
            <w:r>
              <w:rPr>
                <w:rFonts w:ascii="Arial" w:cs="Arial" w:eastAsia="Arial" w:hAnsi="Arial"/>
                <w:sz w:val="10"/>
                <w:szCs w:val="10"/>
                <w:color w:val="auto"/>
              </w:rPr>
              <w:t>Net cash provided by operating activities</w:t>
            </w:r>
          </w:p>
        </w:tc>
        <w:tc>
          <w:tcPr>
            <w:tcW w:w="7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29,974</w:t>
            </w: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57,937</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Investing activities:</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76"/>
        </w:trPr>
        <w:tc>
          <w:tcPr>
            <w:tcW w:w="8840" w:type="dxa"/>
            <w:vAlign w:val="bottom"/>
          </w:tcPr>
          <w:p>
            <w:pPr>
              <w:ind w:left="180"/>
              <w:spacing w:after="0"/>
              <w:rPr>
                <w:sz w:val="20"/>
                <w:szCs w:val="20"/>
                <w:color w:val="auto"/>
              </w:rPr>
            </w:pPr>
            <w:r>
              <w:rPr>
                <w:rFonts w:ascii="Arial" w:cs="Arial" w:eastAsia="Arial" w:hAnsi="Arial"/>
                <w:sz w:val="10"/>
                <w:szCs w:val="10"/>
                <w:color w:val="auto"/>
              </w:rPr>
              <w:t>Loans made</w:t>
            </w:r>
          </w:p>
        </w:tc>
        <w:tc>
          <w:tcPr>
            <w:tcW w:w="7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0"/>
                <w:szCs w:val="10"/>
                <w:color w:val="auto"/>
              </w:rPr>
              <w:t>(472,676)</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w w:val="93"/>
              </w:rPr>
              <w:t>(497,255)</w:t>
            </w:r>
          </w:p>
        </w:tc>
      </w:tr>
      <w:tr>
        <w:trPr>
          <w:trHeight w:val="184"/>
        </w:trPr>
        <w:tc>
          <w:tcPr>
            <w:tcW w:w="88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Loans repaid</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288,833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9"/>
              </w:rPr>
              <w:t>324,478</w:t>
            </w:r>
          </w:p>
        </w:tc>
      </w:tr>
      <w:tr>
        <w:trPr>
          <w:trHeight w:val="176"/>
        </w:trPr>
        <w:tc>
          <w:tcPr>
            <w:tcW w:w="8840" w:type="dxa"/>
            <w:vAlign w:val="bottom"/>
          </w:tcPr>
          <w:p>
            <w:pPr>
              <w:ind w:left="180"/>
              <w:spacing w:after="0"/>
              <w:rPr>
                <w:sz w:val="20"/>
                <w:szCs w:val="20"/>
                <w:color w:val="auto"/>
              </w:rPr>
            </w:pPr>
            <w:r>
              <w:rPr>
                <w:rFonts w:ascii="Arial" w:cs="Arial" w:eastAsia="Arial" w:hAnsi="Arial"/>
                <w:sz w:val="10"/>
                <w:szCs w:val="10"/>
                <w:color w:val="auto"/>
              </w:rPr>
              <w:t>Recovery of pawn loan principal through sale of forfeited collateral</w:t>
            </w:r>
          </w:p>
        </w:tc>
        <w:tc>
          <w:tcPr>
            <w:tcW w:w="72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187,819</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w w:val="99"/>
              </w:rPr>
              <w:t>173,710</w:t>
            </w:r>
          </w:p>
        </w:tc>
      </w:tr>
      <w:tr>
        <w:trPr>
          <w:trHeight w:val="184"/>
        </w:trPr>
        <w:tc>
          <w:tcPr>
            <w:tcW w:w="88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Additions to property and equipment</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(9,340)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(6,470)</w:t>
            </w:r>
          </w:p>
        </w:tc>
      </w:tr>
      <w:tr>
        <w:trPr>
          <w:trHeight w:val="176"/>
        </w:trPr>
        <w:tc>
          <w:tcPr>
            <w:tcW w:w="8840" w:type="dxa"/>
            <w:vAlign w:val="bottom"/>
          </w:tcPr>
          <w:p>
            <w:pPr>
              <w:ind w:left="180"/>
              <w:spacing w:after="0"/>
              <w:rPr>
                <w:sz w:val="20"/>
                <w:szCs w:val="20"/>
                <w:color w:val="auto"/>
              </w:rPr>
            </w:pPr>
            <w:r>
              <w:rPr>
                <w:rFonts w:ascii="Arial" w:cs="Arial" w:eastAsia="Arial" w:hAnsi="Arial"/>
                <w:sz w:val="10"/>
                <w:szCs w:val="10"/>
                <w:color w:val="auto"/>
              </w:rPr>
              <w:t>Acquisitions, net of cash acquired</w:t>
            </w:r>
          </w:p>
        </w:tc>
        <w:tc>
          <w:tcPr>
            <w:tcW w:w="72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(6,000)</w:t>
            </w:r>
          </w:p>
        </w:tc>
      </w:tr>
      <w:tr>
        <w:trPr>
          <w:trHeight w:val="180"/>
        </w:trPr>
        <w:tc>
          <w:tcPr>
            <w:tcW w:w="88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Principal collections on notes receivable</w:t>
            </w:r>
          </w:p>
        </w:tc>
        <w:tc>
          <w:tcPr>
            <w:tcW w:w="7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23,336</w:t>
            </w:r>
          </w:p>
        </w:tc>
        <w:tc>
          <w:tcPr>
            <w:tcW w:w="12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60"/>
        </w:trPr>
        <w:tc>
          <w:tcPr>
            <w:tcW w:w="8840" w:type="dxa"/>
            <w:vAlign w:val="bottom"/>
          </w:tcPr>
          <w:p>
            <w:pPr>
              <w:ind w:left="540"/>
              <w:spacing w:after="0"/>
              <w:rPr>
                <w:sz w:val="20"/>
                <w:szCs w:val="20"/>
                <w:color w:val="auto"/>
              </w:rPr>
            </w:pPr>
            <w:r>
              <w:rPr>
                <w:rFonts w:ascii="Arial" w:cs="Arial" w:eastAsia="Arial" w:hAnsi="Arial"/>
                <w:sz w:val="10"/>
                <w:szCs w:val="10"/>
                <w:color w:val="auto"/>
              </w:rPr>
              <w:t>Net cash provided by (used in) investing activities</w:t>
            </w:r>
          </w:p>
        </w:tc>
        <w:tc>
          <w:tcPr>
            <w:tcW w:w="720" w:type="dxa"/>
            <w:vAlign w:val="bottom"/>
          </w:tcPr>
          <w:p>
            <w:pPr>
              <w:spacing w:after="0"/>
              <w:rPr>
                <w:sz w:val="13"/>
                <w:szCs w:val="13"/>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17,972</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(11,537)</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Financing activities:</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76"/>
        </w:trPr>
        <w:tc>
          <w:tcPr>
            <w:tcW w:w="8840" w:type="dxa"/>
            <w:vAlign w:val="bottom"/>
          </w:tcPr>
          <w:p>
            <w:pPr>
              <w:ind w:left="180"/>
              <w:spacing w:after="0"/>
              <w:rPr>
                <w:sz w:val="20"/>
                <w:szCs w:val="20"/>
                <w:color w:val="auto"/>
              </w:rPr>
            </w:pPr>
            <w:r>
              <w:rPr>
                <w:rFonts w:ascii="Arial" w:cs="Arial" w:eastAsia="Arial" w:hAnsi="Arial"/>
                <w:sz w:val="10"/>
                <w:szCs w:val="10"/>
                <w:color w:val="auto"/>
              </w:rPr>
              <w:t>Taxes paid related to net share settlement of equity awards</w:t>
            </w:r>
          </w:p>
        </w:tc>
        <w:tc>
          <w:tcPr>
            <w:tcW w:w="7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0"/>
                <w:szCs w:val="10"/>
                <w:color w:val="auto"/>
              </w:rPr>
              <w:t>(767)</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4"/>
        </w:trPr>
        <w:tc>
          <w:tcPr>
            <w:tcW w:w="88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Payout of deferred consideration</w:t>
            </w:r>
          </w:p>
        </w:tc>
        <w:tc>
          <w:tcPr>
            <w:tcW w:w="7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(14,875)</w:t>
            </w:r>
          </w:p>
        </w:tc>
      </w:tr>
      <w:tr>
        <w:trPr>
          <w:trHeight w:val="176"/>
        </w:trPr>
        <w:tc>
          <w:tcPr>
            <w:tcW w:w="8840" w:type="dxa"/>
            <w:vAlign w:val="bottom"/>
          </w:tcPr>
          <w:p>
            <w:pPr>
              <w:ind w:left="180"/>
              <w:spacing w:after="0"/>
              <w:rPr>
                <w:sz w:val="20"/>
                <w:szCs w:val="20"/>
                <w:color w:val="auto"/>
              </w:rPr>
            </w:pPr>
            <w:r>
              <w:rPr>
                <w:rFonts w:ascii="Arial" w:cs="Arial" w:eastAsia="Arial" w:hAnsi="Arial"/>
                <w:sz w:val="10"/>
                <w:szCs w:val="10"/>
                <w:color w:val="auto"/>
              </w:rPr>
              <w:t>Repurchase of redeemable common stock issued due to acquisitions</w:t>
            </w:r>
          </w:p>
        </w:tc>
        <w:tc>
          <w:tcPr>
            <w:tcW w:w="72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(11,750)</w:t>
            </w:r>
          </w:p>
        </w:tc>
      </w:tr>
      <w:tr>
        <w:trPr>
          <w:trHeight w:val="184"/>
        </w:trPr>
        <w:tc>
          <w:tcPr>
            <w:tcW w:w="88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Proceeds from settlement of forward currency contracts</w:t>
            </w:r>
          </w:p>
        </w:tc>
        <w:tc>
          <w:tcPr>
            <w:tcW w:w="7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3,557</w:t>
            </w:r>
          </w:p>
        </w:tc>
      </w:tr>
      <w:tr>
        <w:trPr>
          <w:trHeight w:val="176"/>
        </w:trPr>
        <w:tc>
          <w:tcPr>
            <w:tcW w:w="8840" w:type="dxa"/>
            <w:vAlign w:val="bottom"/>
          </w:tcPr>
          <w:p>
            <w:pPr>
              <w:ind w:left="180"/>
              <w:spacing w:after="0"/>
              <w:rPr>
                <w:sz w:val="20"/>
                <w:szCs w:val="20"/>
                <w:color w:val="auto"/>
              </w:rPr>
            </w:pPr>
            <w:r>
              <w:rPr>
                <w:rFonts w:ascii="Arial" w:cs="Arial" w:eastAsia="Arial" w:hAnsi="Arial"/>
                <w:sz w:val="10"/>
                <w:szCs w:val="10"/>
                <w:color w:val="auto"/>
              </w:rPr>
              <w:t>Change in restricted cash</w:t>
            </w:r>
          </w:p>
        </w:tc>
        <w:tc>
          <w:tcPr>
            <w:tcW w:w="72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2,710</w:t>
            </w:r>
          </w:p>
        </w:tc>
      </w:tr>
      <w:tr>
        <w:trPr>
          <w:trHeight w:val="184"/>
        </w:trPr>
        <w:tc>
          <w:tcPr>
            <w:tcW w:w="88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Proceeds from borrowings, net of issuance costs</w:t>
            </w:r>
          </w:p>
        </w:tc>
        <w:tc>
          <w:tcPr>
            <w:tcW w:w="7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16,442</w:t>
            </w:r>
          </w:p>
        </w:tc>
      </w:tr>
      <w:tr>
        <w:trPr>
          <w:trHeight w:val="176"/>
        </w:trPr>
        <w:tc>
          <w:tcPr>
            <w:tcW w:w="8840" w:type="dxa"/>
            <w:vAlign w:val="bottom"/>
          </w:tcPr>
          <w:p>
            <w:pPr>
              <w:ind w:left="180"/>
              <w:spacing w:after="0"/>
              <w:rPr>
                <w:sz w:val="20"/>
                <w:szCs w:val="20"/>
                <w:color w:val="auto"/>
              </w:rPr>
            </w:pPr>
            <w:r>
              <w:rPr>
                <w:rFonts w:ascii="Arial" w:cs="Arial" w:eastAsia="Arial" w:hAnsi="Arial"/>
                <w:sz w:val="10"/>
                <w:szCs w:val="10"/>
                <w:color w:val="auto"/>
              </w:rPr>
              <w:t>Payments on borrowings</w:t>
            </w:r>
          </w:p>
        </w:tc>
        <w:tc>
          <w:tcPr>
            <w:tcW w:w="72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(63,994)</w:t>
            </w:r>
          </w:p>
        </w:tc>
      </w:tr>
      <w:tr>
        <w:trPr>
          <w:trHeight w:val="164"/>
        </w:trPr>
        <w:tc>
          <w:tcPr>
            <w:tcW w:w="88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0"/>
                <w:szCs w:val="10"/>
                <w:color w:val="auto"/>
              </w:rPr>
              <w:t>Net cash used in financing activities</w:t>
            </w:r>
          </w:p>
        </w:tc>
        <w:tc>
          <w:tcPr>
            <w:tcW w:w="7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(767)</w:t>
            </w: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(67,910)</w:t>
            </w:r>
          </w:p>
        </w:tc>
      </w:tr>
      <w:tr>
        <w:trPr>
          <w:trHeight w:val="176"/>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Effect of exchange rate changes on cash and cash equivalents</w:t>
            </w: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813</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(6,506)</w:t>
            </w:r>
          </w:p>
        </w:tc>
      </w:tr>
      <w:tr>
        <w:trPr>
          <w:trHeight w:val="16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increase (decrease) in cash and cash equivalents</w:t>
            </w: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47,992</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(28,016)</w:t>
            </w:r>
          </w:p>
        </w:tc>
      </w:tr>
      <w:tr>
        <w:trPr>
          <w:trHeight w:val="176"/>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Cash and cash equivalents at beginning of period</w:t>
            </w: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65,737</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59,124</w:t>
            </w:r>
          </w:p>
        </w:tc>
      </w:tr>
      <w:tr>
        <w:trPr>
          <w:trHeight w:val="17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Cash and cash equivalents at end of period</w:t>
            </w:r>
          </w:p>
        </w:tc>
        <w:tc>
          <w:tcPr>
            <w:tcW w:w="7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113,729</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31,108</w:t>
            </w:r>
          </w:p>
        </w:tc>
      </w:tr>
      <w:tr>
        <w:trPr>
          <w:trHeight w:val="163"/>
        </w:trPr>
        <w:tc>
          <w:tcPr>
            <w:tcW w:w="8840" w:type="dxa"/>
            <w:vAlign w:val="bottom"/>
          </w:tcPr>
          <w:p>
            <w:pPr>
              <w:ind w:left="20"/>
              <w:spacing w:after="0"/>
              <w:rPr>
                <w:sz w:val="20"/>
                <w:szCs w:val="20"/>
                <w:color w:val="auto"/>
              </w:rPr>
            </w:pPr>
            <w:r>
              <w:rPr>
                <w:rFonts w:ascii="Arial" w:cs="Arial" w:eastAsia="Arial" w:hAnsi="Arial"/>
                <w:sz w:val="10"/>
                <w:szCs w:val="10"/>
                <w:color w:val="auto"/>
              </w:rPr>
              <w:t>Non-cash investing and financing activities:</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4"/>
        </w:trPr>
        <w:tc>
          <w:tcPr>
            <w:tcW w:w="88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Pawn loans forfeited and transferred to inventory</w:t>
            </w:r>
          </w:p>
        </w:tc>
        <w:tc>
          <w:tcPr>
            <w:tcW w:w="720" w:type="dxa"/>
            <w:vAlign w:val="bottom"/>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182,682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32"/>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9"/>
              </w:rPr>
              <w:t>179,394</w:t>
            </w:r>
          </w:p>
        </w:tc>
      </w:tr>
      <w:tr>
        <w:trPr>
          <w:trHeight w:val="172"/>
        </w:trPr>
        <w:tc>
          <w:tcPr>
            <w:tcW w:w="8840" w:type="dxa"/>
            <w:vAlign w:val="bottom"/>
          </w:tcPr>
          <w:p>
            <w:pPr>
              <w:ind w:left="180"/>
              <w:spacing w:after="0"/>
              <w:rPr>
                <w:sz w:val="20"/>
                <w:szCs w:val="20"/>
                <w:color w:val="auto"/>
              </w:rPr>
            </w:pPr>
            <w:r>
              <w:rPr>
                <w:rFonts w:ascii="Arial" w:cs="Arial" w:eastAsia="Arial" w:hAnsi="Arial"/>
                <w:sz w:val="10"/>
                <w:szCs w:val="10"/>
                <w:color w:val="auto"/>
              </w:rPr>
              <w:t>Dividend reinvestment acquisition of additional ownership in unconsolidated affiliate</w:t>
            </w:r>
          </w:p>
        </w:tc>
        <w:tc>
          <w:tcPr>
            <w:tcW w:w="72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1,153</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128" w:right="199" w:bottom="1440" w:gutter="0" w:footer="0" w:header="0"/>
        </w:sectPr>
      </w:pPr>
    </w:p>
    <w:bookmarkStart w:id="7" w:name="page8"/>
    <w:bookmarkEnd w:id="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EZCORP,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Interim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June 30, 2017</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ORGANIZATION AND 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Business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When used in this report, the terms “we,” “us,” “our,” “EZCORP” and the “Company” mean EZCORP, Inc. and its consolidated subsidiaries, collectively.</w:t>
      </w:r>
    </w:p>
    <w:p>
      <w:pPr>
        <w:spacing w:after="0" w:line="114"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We are a leading provider of pawn loans in the United States and Mexico.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9. All intercompany accounts and transactions have been eliminated in consolidation.</w:t>
      </w:r>
    </w:p>
    <w:p>
      <w:pPr>
        <w:spacing w:after="0" w:line="89"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The accompanying financial statements should be read in conjunction with the consolidated financial statements and notes included in our Annual Report on Form 10-K for the year ended September 30, 2016. The balance sheet as of September 30, 2016 has been derived from the audited financial statements at that date but does not include all of the information and footnotes required by GAAP for complete financial statements.</w:t>
      </w:r>
    </w:p>
    <w:p>
      <w:pPr>
        <w:spacing w:after="0" w:line="56"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Our business is subject to seasonal variations, and operating results for the three and nine months ended June 30, 2017 and 2016 (the "current quarter" and "current nine-months" and "prior-year quarter" and "prior-year nine-months," respectively) are not necessarily indicative of the results of operations for the full fiscal year.</w:t>
      </w:r>
    </w:p>
    <w:p>
      <w:pPr>
        <w:spacing w:after="0" w:line="79"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There have been no changes in significant accounting policies as described in our Annual Report on Form 10-K for the year ended September 30, 2016, other than those described below, and we have eliminated certain disclosures previously presented in our historical financial statements that we do not consider material to the overall financial statements presented herein.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Reclassifications to Prior Period Financial Statements</w:t>
      </w:r>
    </w:p>
    <w:p>
      <w:pPr>
        <w:spacing w:after="0" w:line="11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Certain reclassifications of prior period amounts have been made. These reclassifications, other than those pertaining to discontinued operations discussed in Note 9, the adoption of Financial Accounting Standards Board ("FASB") Accounting Standards Updates ("ASUs") discussed below and immaterial corrections for the nine months ended June 30, 2016 discussed in "Part II, Item 8 — Financial Statements and Supplementary Data — Note 2" of our Annual Report on Form 10-K for the year ended September 30, 2016, were made to conform to the current period presentation.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 and Assumptions</w:t>
      </w:r>
    </w:p>
    <w:p>
      <w:pPr>
        <w:spacing w:after="0" w:line="114" w:lineRule="exact"/>
        <w:rPr>
          <w:sz w:val="20"/>
          <w:szCs w:val="20"/>
          <w:color w:val="auto"/>
        </w:rPr>
      </w:pPr>
    </w:p>
    <w:p>
      <w:pPr>
        <w:ind w:right="160"/>
        <w:spacing w:after="0" w:line="290" w:lineRule="auto"/>
        <w:rPr>
          <w:sz w:val="20"/>
          <w:szCs w:val="20"/>
          <w:color w:val="auto"/>
        </w:rPr>
      </w:pPr>
      <w:r>
        <w:rPr>
          <w:rFonts w:ascii="Arial" w:cs="Arial" w:eastAsia="Arial" w:hAnsi="Arial"/>
          <w:sz w:val="11"/>
          <w:szCs w:val="11"/>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inventories,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Policies</w:t>
      </w:r>
    </w:p>
    <w:p>
      <w:pPr>
        <w:spacing w:after="0" w:line="114" w:lineRule="exact"/>
        <w:rPr>
          <w:sz w:val="20"/>
          <w:szCs w:val="20"/>
          <w:color w:val="auto"/>
        </w:rPr>
      </w:pPr>
    </w:p>
    <w:p>
      <w:pPr>
        <w:jc w:val="both"/>
        <w:ind w:left="420" w:right="300" w:hanging="212"/>
        <w:spacing w:after="0" w:line="263"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early adopted ASU 2016-09, Compensation — Stock Compensation (Topic 718): Improvements to Employee Share-Based Payment Accounting during the quarter ended December 31, 2016. This ASU simplifies several aspects of the accounting for share-based payment transactions, including income tax consequences, calculation of the dilutive impact of awards, classification of awards as either equity or liabilities and classification on the statement of cash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60"/>
          </w:cols>
          <w:pgMar w:left="220" w:top="128" w:right="219" w:bottom="1440" w:gutter="0" w:footer="0" w:header="0"/>
        </w:sectPr>
      </w:pPr>
    </w:p>
    <w:bookmarkStart w:id="8" w:name="page9"/>
    <w:bookmarkEnd w:id="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84" w:lineRule="exact"/>
        <w:rPr>
          <w:sz w:val="20"/>
          <w:szCs w:val="20"/>
          <w:color w:val="auto"/>
        </w:rPr>
      </w:pPr>
    </w:p>
    <w:p>
      <w:pPr>
        <w:ind w:left="420" w:right="120"/>
        <w:spacing w:after="0" w:line="310" w:lineRule="auto"/>
        <w:rPr>
          <w:sz w:val="20"/>
          <w:szCs w:val="20"/>
          <w:color w:val="auto"/>
        </w:rPr>
      </w:pPr>
      <w:r>
        <w:rPr>
          <w:rFonts w:ascii="Arial" w:cs="Arial" w:eastAsia="Arial" w:hAnsi="Arial"/>
          <w:sz w:val="12"/>
          <w:szCs w:val="12"/>
          <w:color w:val="auto"/>
        </w:rPr>
        <w:t>flows. We prospectively applied the requirement to present excess tax benefits as an operating activity on the statement of cash flows. Further, we continue to estimate the number of award forfeitures in recording costs for share-based awards. The financial impact of adopting ASU 2016-09 was a $0.4 million income tax benefit during the three and nine months ended June 30, 2017 for excess tax benefits on vested awards which previously would have been recorded to "Additional paid-in capital" prior to adoption of ASU 2016-09.</w:t>
      </w:r>
    </w:p>
    <w:p>
      <w:pPr>
        <w:spacing w:after="0" w:line="69" w:lineRule="exact"/>
        <w:rPr>
          <w:sz w:val="20"/>
          <w:szCs w:val="20"/>
          <w:color w:val="auto"/>
        </w:rPr>
      </w:pPr>
    </w:p>
    <w:p>
      <w:pPr>
        <w:ind w:left="420" w:hanging="212"/>
        <w:spacing w:after="0" w:line="263"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further adopted ASU 2015-11, Inventory (Topic 330): Simplifying the Measurement of Inventory, ASU 2015-05, Intangibles — Goodwill and Other — Internal-Use Software (Subtopic 350-40): Customer's Accounting for Fees Paid in a Cloud Computing Arrangement and ASU 2014-15, Presentation of Financial Statements — Going Concern (Subtopic 205-40) during the quarter ended December 31, 2016. The impacts of adoption for each ASU are as follows:</w:t>
      </w:r>
    </w:p>
    <w:p>
      <w:pPr>
        <w:spacing w:after="0" w:line="86" w:lineRule="exact"/>
        <w:rPr>
          <w:rFonts w:ascii="Arial" w:cs="Arial" w:eastAsia="Arial" w:hAnsi="Arial"/>
          <w:sz w:val="12"/>
          <w:szCs w:val="12"/>
          <w:color w:val="auto"/>
        </w:rPr>
      </w:pPr>
    </w:p>
    <w:p>
      <w:pPr>
        <w:ind w:left="860" w:right="40" w:hanging="219"/>
        <w:spacing w:after="0" w:line="298" w:lineRule="auto"/>
        <w:tabs>
          <w:tab w:leader="none" w:pos="860" w:val="left"/>
        </w:tabs>
        <w:numPr>
          <w:ilvl w:val="1"/>
          <w:numId w:val="4"/>
        </w:numPr>
        <w:rPr>
          <w:rFonts w:ascii="Arial" w:cs="Arial" w:eastAsia="Arial" w:hAnsi="Arial"/>
          <w:sz w:val="11"/>
          <w:szCs w:val="11"/>
          <w:color w:val="auto"/>
        </w:rPr>
      </w:pPr>
      <w:r>
        <w:rPr>
          <w:rFonts w:ascii="Arial" w:cs="Arial" w:eastAsia="Arial" w:hAnsi="Arial"/>
          <w:sz w:val="11"/>
          <w:szCs w:val="11"/>
          <w:color w:val="auto"/>
        </w:rPr>
        <w:t>We early adopted ASU 2015-11 during the quarter ended December 31, 2016 on a prospective basis, and such adoption did not have a material impact on our consolidated financial position, results of operations or cash flows. We now measure our inventories at the lower of cost or net realizable value, where net realizable value is "estimated selling prices in the ordinary course of business, less reasonably predictable costs of completion, disposal, and transportation." Inventory was previously required to be measured at the lower of cost or market value, where the measurement of market value had several potential outcomes.</w:t>
      </w:r>
    </w:p>
    <w:p>
      <w:pPr>
        <w:spacing w:after="0" w:line="69" w:lineRule="exact"/>
        <w:rPr>
          <w:rFonts w:ascii="Arial" w:cs="Arial" w:eastAsia="Arial" w:hAnsi="Arial"/>
          <w:sz w:val="11"/>
          <w:szCs w:val="11"/>
          <w:color w:val="auto"/>
        </w:rPr>
      </w:pPr>
    </w:p>
    <w:p>
      <w:pPr>
        <w:ind w:left="860" w:right="40" w:hanging="219"/>
        <w:spacing w:after="0" w:line="259" w:lineRule="auto"/>
        <w:tabs>
          <w:tab w:leader="none" w:pos="860" w:val="left"/>
        </w:tabs>
        <w:numPr>
          <w:ilvl w:val="1"/>
          <w:numId w:val="4"/>
        </w:numPr>
        <w:rPr>
          <w:rFonts w:ascii="Arial" w:cs="Arial" w:eastAsia="Arial" w:hAnsi="Arial"/>
          <w:sz w:val="12"/>
          <w:szCs w:val="12"/>
          <w:color w:val="auto"/>
        </w:rPr>
      </w:pPr>
      <w:r>
        <w:rPr>
          <w:rFonts w:ascii="Arial" w:cs="Arial" w:eastAsia="Arial" w:hAnsi="Arial"/>
          <w:sz w:val="12"/>
          <w:szCs w:val="12"/>
          <w:color w:val="auto"/>
        </w:rPr>
        <w:t>We adopted ASU 2015-05 during the quarter ended December 31, 2016 on a prospective basis for all arrangements entered into or materially modified after adoption of the ASU, and such adoption did not have a material impact on our consolidated financial position, results of operations or cash flows. We now consider whether cloud computing arrangements include a software license. If a cloud computing arrangement includes a software license, then we account for the software license element of the arrangement consistent with the acquisition of other software licenses. If a cloud computing arrangement does not include a software license, we account for the arrangement as a service contract.</w:t>
      </w:r>
    </w:p>
    <w:p>
      <w:pPr>
        <w:spacing w:after="0" w:line="88" w:lineRule="exact"/>
        <w:rPr>
          <w:rFonts w:ascii="Arial" w:cs="Arial" w:eastAsia="Arial" w:hAnsi="Arial"/>
          <w:sz w:val="12"/>
          <w:szCs w:val="12"/>
          <w:color w:val="auto"/>
        </w:rPr>
      </w:pPr>
    </w:p>
    <w:p>
      <w:pPr>
        <w:ind w:left="860" w:right="20" w:hanging="219"/>
        <w:spacing w:after="0" w:line="276" w:lineRule="auto"/>
        <w:tabs>
          <w:tab w:leader="none" w:pos="860" w:val="left"/>
        </w:tabs>
        <w:numPr>
          <w:ilvl w:val="1"/>
          <w:numId w:val="4"/>
        </w:numPr>
        <w:rPr>
          <w:rFonts w:ascii="Arial" w:cs="Arial" w:eastAsia="Arial" w:hAnsi="Arial"/>
          <w:sz w:val="12"/>
          <w:szCs w:val="12"/>
          <w:color w:val="auto"/>
        </w:rPr>
      </w:pPr>
      <w:r>
        <w:rPr>
          <w:rFonts w:ascii="Arial" w:cs="Arial" w:eastAsia="Arial" w:hAnsi="Arial"/>
          <w:sz w:val="12"/>
          <w:szCs w:val="12"/>
          <w:color w:val="auto"/>
        </w:rPr>
        <w:t>We early adopted ASU 2014-15 during the quarter ended December 31, 2016. Upon adoption of the ASU, management has the responsibility to evaluate whether there is substantial doubt about our ability to continue as a going concern for a period of one year after the date that the financial statements are issued (or available to be issued) or to provide related footnote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 and Significant Accounting Policies</w:t>
      </w:r>
    </w:p>
    <w:p>
      <w:pPr>
        <w:spacing w:after="0" w:line="114" w:lineRule="exact"/>
        <w:rPr>
          <w:sz w:val="20"/>
          <w:szCs w:val="20"/>
          <w:color w:val="auto"/>
        </w:rPr>
      </w:pPr>
    </w:p>
    <w:p>
      <w:pPr>
        <w:ind w:left="420" w:right="40" w:hanging="212"/>
        <w:spacing w:after="0" w:line="259"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March 2016, the FASB issued ASU 2016-06, Derivatives and Hedging (Topic 815): Contingent Put and Call Options in Debt Instruments a consensus of the FASB Emerging Issues Task Force. This ASU clarifies what steps are required when assessing whether the economic characteristics and risks of call (put) options are clearly and closely related to the economic characteristics and risks of their debt hosts, which is one of the criteria for bifurcating an embedded derivative. Early adoption is permitted based upon guidance issued within the ASU and we plan to adopt the ASU in our fourth quarter of fiscal 2017. We do not anticipate that the adoption of ASU 2016-06 will have a material effect on our financial position, results of operations or cash flows.</w:t>
      </w:r>
    </w:p>
    <w:p>
      <w:pPr>
        <w:spacing w:after="0" w:line="88" w:lineRule="exact"/>
        <w:rPr>
          <w:rFonts w:ascii="Arial" w:cs="Arial" w:eastAsia="Arial" w:hAnsi="Arial"/>
          <w:sz w:val="12"/>
          <w:szCs w:val="12"/>
          <w:color w:val="auto"/>
        </w:rPr>
      </w:pPr>
    </w:p>
    <w:p>
      <w:pPr>
        <w:ind w:left="420" w:right="40" w:hanging="212"/>
        <w:spacing w:after="0" w:line="259"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May 2017, the FASB issued ASU 2017-09, Compensation — Stock Compensation (Topic 718). This ASU provides guidance about which changes to the terms or conditions of a share-based payment award require an entity to apply modification accounting. The provisions of this ASU are effective for fiscal years, and interim periods within those fiscal years, beginning after December 15, 2017. Early adoption is permitted based upon guidance issued within the ASU. A reporting entity should apply the amendment to awards modified after the adoption date on a prospective basis. We do not anticipate that the adoption of ASU 2017-09 will have a material effect on our financial position, results of operations or cash flows.</w:t>
      </w:r>
    </w:p>
    <w:p>
      <w:pPr>
        <w:spacing w:after="0" w:line="88" w:lineRule="exact"/>
        <w:rPr>
          <w:rFonts w:ascii="Arial" w:cs="Arial" w:eastAsia="Arial" w:hAnsi="Arial"/>
          <w:sz w:val="12"/>
          <w:szCs w:val="12"/>
          <w:color w:val="auto"/>
        </w:rPr>
      </w:pPr>
    </w:p>
    <w:p>
      <w:pPr>
        <w:ind w:left="420" w:right="60" w:hanging="212"/>
        <w:spacing w:after="0" w:line="283" w:lineRule="auto"/>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 January 2017, the FASB issued ASU 2017-04, Intangibles — Goodwill and Other (Topic 350): Simplifying the Test for Goodwill Impairment. This ASU eliminates Step 2 from the goodwill impairment test which previously required measurement of any goodwill impairment loss by comparing the implied fair value of a reporting unit’s goodwill with the carrying amount of that goodwill. Under the new standard, an entity should perform its annual, or interim, goodwill impairment test by comparing the fair value of a reporting unit with its carrying amount and recognize an impairment charge for the amount by which the carrying amount exceeds the reporting unit’s fair value, without exceeding the total amount of goodwill allocated to that reporting unit. The provisions of this ASU are effective for fiscal years beginning after December 15, 2019, and any interim goodwill impairment tests within those fiscal years. Early adoption is permitted for interim or annual goodwill impairment tests performed on testing dates after January 1, 2017. A reporting entity should apply the amendment on a prospective basis. We currently anticipate adoption of ASU 2017-04 in the fourth quarter of our fiscal 2017 with no anticipated material impact on our consolidated financial position, results of operations or cash flows.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128" w:right="199" w:bottom="1440" w:gutter="0" w:footer="0" w:header="0"/>
        </w:sectPr>
      </w:pPr>
    </w:p>
    <w:bookmarkStart w:id="9" w:name="page10"/>
    <w:bookmarkEnd w:id="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right="60" w:hanging="212"/>
        <w:spacing w:after="0" w:line="255"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beginning after December 15, 2018, and interim periods within those fiscal years. Early adoption is permitted based upon guidance issued within the ASU. Although we are in the process of evaluating the impact of adopting ASU 2016-02 on our consolidated financial position, results of operations and cash flows, we anticipate a material impact on our consolidated financial position. Additionally, we are evaluating the disclosure requirements under this ASU and are identifying and preparing to implement changes to our accounting policies, practices and controls to support adoption of the ASU and are evaluating upgrades to our third party software solution concurrently with our adoption. We believe we are following an appropriate timeline to allow for proper recognition, presentation and disclosure upon adoption of the ASU which is effective for our fiscal 2020.</w:t>
      </w:r>
    </w:p>
    <w:p>
      <w:pPr>
        <w:spacing w:after="0" w:line="93" w:lineRule="exact"/>
        <w:rPr>
          <w:rFonts w:ascii="Arial" w:cs="Arial" w:eastAsia="Arial" w:hAnsi="Arial"/>
          <w:sz w:val="12"/>
          <w:szCs w:val="12"/>
          <w:color w:val="auto"/>
        </w:rPr>
      </w:pPr>
    </w:p>
    <w:p>
      <w:pPr>
        <w:ind w:left="420" w:hanging="212"/>
        <w:spacing w:after="0" w:line="281" w:lineRule="auto"/>
        <w:tabs>
          <w:tab w:leader="none" w:pos="42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May 2014, the FASB issued ASU 2014-09, Revenue from Contracts with Customers (Topic 606). In August 2015, the FASB issued ASU 2015-14, Revenue from Contracts with Customers (Topic 606) to defer the effective date to December 15, 2017 for annual reporting periods beginning after that date, with early adoption permitted, but not before the original effective date of December 15, 2016. The core principle of ASU 2014-09, and the subsequently issued ASUs modifying or clarifying ASU 2014-09, is that an entity should recognize revenue to depict the transfer of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standard allows for two methods of adoption: (a) full retrospective adoption, meaning the standard is applied to all periods presented, or (b) modified retrospective adoption, meaning the cumulative effect of applying the new standard is recognized as an adjustment to the opening retained earnings balance.</w:t>
      </w:r>
    </w:p>
    <w:p>
      <w:pPr>
        <w:spacing w:after="0" w:line="80" w:lineRule="exact"/>
        <w:rPr>
          <w:rFonts w:ascii="Arial" w:cs="Arial" w:eastAsia="Arial" w:hAnsi="Arial"/>
          <w:sz w:val="11"/>
          <w:szCs w:val="11"/>
          <w:color w:val="auto"/>
        </w:rPr>
      </w:pPr>
    </w:p>
    <w:p>
      <w:pPr>
        <w:ind w:left="420" w:right="80"/>
        <w:spacing w:after="0" w:line="259" w:lineRule="auto"/>
        <w:rPr>
          <w:rFonts w:ascii="Arial" w:cs="Arial" w:eastAsia="Arial" w:hAnsi="Arial"/>
          <w:sz w:val="11"/>
          <w:szCs w:val="11"/>
          <w:color w:val="auto"/>
        </w:rPr>
      </w:pPr>
      <w:r>
        <w:rPr>
          <w:rFonts w:ascii="Arial" w:cs="Arial" w:eastAsia="Arial" w:hAnsi="Arial"/>
          <w:sz w:val="12"/>
          <w:szCs w:val="12"/>
          <w:color w:val="auto"/>
        </w:rPr>
        <w:t>We are evaluating the impact that will result from adopting ASU 2014-09 on our consolidated financial position, results of operations, and cash flows. We currently anticipate adopting the ASU using the modified retrospective method. We do not believe the adoption will have an impact on our pawn service charge revenue recognition as we do not believe such charges are within the scope of the ASU. Further, we have not identified any impacts to our financial statements that we believe will be material as a result of the adoption of the ASU for other revenue streams, although we continue to evaluate the impact of adoption. We believe we are following an appropriate timeline to allow for proper recognition, presentation and disclosure upon adoption of the ASU which is effective for our fiscal 2019.</w:t>
      </w:r>
    </w:p>
    <w:p>
      <w:pPr>
        <w:spacing w:after="0" w:line="8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Please refer to Note 1, Summary of Significant Accounting Policies, of Notes to Consolidated Financial Statements included in "Part II, Item 8 — Financial Statements and Supplementary Data" of our Annual Report on Form 10-K for the year ended September 30, 2016 for discussion of our significant accounting policies and other accounting pronouncements issued but not yet adopted.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40"/>
          </w:cols>
          <w:pgMar w:left="220" w:top="128" w:right="239" w:bottom="1440" w:gutter="0" w:footer="0" w:header="0"/>
        </w:sectPr>
      </w:pPr>
    </w:p>
    <w:bookmarkStart w:id="10" w:name="page11"/>
    <w:bookmarkEnd w:id="10"/>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 EARNINGS PER SHARE</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Components of basic and diluted earnings per share and excluded antidilutive potential common shares are as follows: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2780" w:type="dxa"/>
            <w:vAlign w:val="bottom"/>
            <w:gridSpan w:val="6"/>
          </w:tcPr>
          <w:p>
            <w:pPr>
              <w:ind w:left="720"/>
              <w:spacing w:after="0"/>
              <w:rPr>
                <w:sz w:val="20"/>
                <w:szCs w:val="20"/>
                <w:color w:val="auto"/>
              </w:rPr>
            </w:pPr>
            <w:r>
              <w:rPr>
                <w:rFonts w:ascii="Arial" w:cs="Arial" w:eastAsia="Arial" w:hAnsi="Arial"/>
                <w:sz w:val="10"/>
                <w:szCs w:val="10"/>
                <w:b w:val="1"/>
                <w:bCs w:val="1"/>
                <w:color w:val="auto"/>
              </w:rPr>
              <w:t>Three Months Ended June 30,</w:t>
            </w:r>
          </w:p>
        </w:tc>
        <w:tc>
          <w:tcPr>
            <w:tcW w:w="300" w:type="dxa"/>
            <w:vAlign w:val="bottom"/>
          </w:tcPr>
          <w:p>
            <w:pPr>
              <w:spacing w:after="0"/>
              <w:rPr>
                <w:sz w:val="11"/>
                <w:szCs w:val="11"/>
                <w:color w:val="auto"/>
              </w:rPr>
            </w:pPr>
          </w:p>
        </w:tc>
        <w:tc>
          <w:tcPr>
            <w:tcW w:w="2320" w:type="dxa"/>
            <w:vAlign w:val="bottom"/>
            <w:gridSpan w:val="4"/>
          </w:tcPr>
          <w:p>
            <w:pPr>
              <w:jc w:val="right"/>
              <w:ind w:right="661"/>
              <w:spacing w:after="0"/>
              <w:rPr>
                <w:sz w:val="20"/>
                <w:szCs w:val="20"/>
                <w:color w:val="auto"/>
              </w:rPr>
            </w:pPr>
            <w:r>
              <w:rPr>
                <w:rFonts w:ascii="Arial" w:cs="Arial" w:eastAsia="Arial" w:hAnsi="Arial"/>
                <w:sz w:val="10"/>
                <w:szCs w:val="10"/>
                <w:b w:val="1"/>
                <w:bCs w:val="1"/>
                <w:color w:val="auto"/>
              </w:rPr>
              <w:t>Nine Months Ended June 30,</w:t>
            </w:r>
          </w:p>
        </w:tc>
      </w:tr>
      <w:tr>
        <w:trPr>
          <w:trHeight w:val="169"/>
        </w:trPr>
        <w:tc>
          <w:tcPr>
            <w:tcW w:w="60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2016</w:t>
            </w:r>
          </w:p>
        </w:tc>
      </w:tr>
      <w:tr>
        <w:trPr>
          <w:trHeight w:val="205"/>
        </w:trPr>
        <w:tc>
          <w:tcPr>
            <w:tcW w:w="6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60" w:type="dxa"/>
            <w:vAlign w:val="bottom"/>
            <w:gridSpan w:val="5"/>
          </w:tcPr>
          <w:p>
            <w:pPr>
              <w:ind w:left="220"/>
              <w:spacing w:after="0"/>
              <w:rPr>
                <w:sz w:val="20"/>
                <w:szCs w:val="20"/>
                <w:color w:val="auto"/>
              </w:rPr>
            </w:pPr>
            <w:r>
              <w:rPr>
                <w:rFonts w:ascii="Arial" w:cs="Arial" w:eastAsia="Arial" w:hAnsi="Arial"/>
                <w:sz w:val="10"/>
                <w:szCs w:val="10"/>
                <w:i w:val="1"/>
                <w:iCs w:val="1"/>
                <w:color w:val="auto"/>
              </w:rPr>
              <w:t>(in thousands, except per share amounts)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from continuing operations attributable to EZCORP (A)</w:t>
            </w:r>
          </w:p>
        </w:tc>
        <w:tc>
          <w:tcPr>
            <w:tcW w:w="780" w:type="dxa"/>
            <w:vAlign w:val="bottom"/>
            <w:shd w:val="clear" w:color="auto" w:fill="CCEEFF"/>
          </w:tcPr>
          <w:p>
            <w:pPr>
              <w:jc w:val="right"/>
              <w:ind w:right="64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2,904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22,316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8,954</w:t>
            </w:r>
          </w:p>
        </w:tc>
      </w:tr>
      <w:tr>
        <w:trPr>
          <w:trHeight w:val="171"/>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Loss from discontinued operations, net of tax (B)</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(265)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(8,593)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(1,868)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(92,929)</w:t>
            </w:r>
          </w:p>
        </w:tc>
      </w:tr>
      <w:tr>
        <w:trPr>
          <w:trHeight w:val="185"/>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Net income (loss) attributable to EZCORP (C)</w:t>
            </w:r>
          </w:p>
        </w:tc>
        <w:tc>
          <w:tcPr>
            <w:tcW w:w="78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5,260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(5,689)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20,448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(83,975)</w:t>
            </w:r>
          </w:p>
        </w:tc>
      </w:tr>
      <w:tr>
        <w:trPr>
          <w:trHeight w:val="81"/>
        </w:trPr>
        <w:tc>
          <w:tcPr>
            <w:tcW w:w="6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Weighted-average outstanding shares of common stock (D)</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54,295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53,980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54,247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54,574</w:t>
            </w:r>
          </w:p>
        </w:tc>
      </w:tr>
      <w:tr>
        <w:trPr>
          <w:trHeight w:val="171"/>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Dilutive effect of restricted stock</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212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116</w:t>
            </w:r>
          </w:p>
        </w:tc>
      </w:tr>
      <w:tr>
        <w:trPr>
          <w:trHeight w:val="185"/>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Weighted-average common stock and common stock equivalents (E)</w:t>
            </w:r>
          </w:p>
        </w:tc>
        <w:tc>
          <w:tcPr>
            <w:tcW w:w="7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7"/>
              </w:rPr>
              <w:t>54,367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54,192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54,310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54,690</w:t>
            </w:r>
          </w:p>
        </w:tc>
      </w:tr>
      <w:tr>
        <w:trPr>
          <w:trHeight w:val="81"/>
        </w:trPr>
        <w:tc>
          <w:tcPr>
            <w:tcW w:w="6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Basic earnings (loss) per share attributable to EZCORP:</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6080" w:type="dxa"/>
            <w:vAlign w:val="bottom"/>
          </w:tcPr>
          <w:p>
            <w:pPr>
              <w:ind w:left="180"/>
              <w:spacing w:after="0"/>
              <w:rPr>
                <w:sz w:val="20"/>
                <w:szCs w:val="20"/>
                <w:color w:val="auto"/>
              </w:rPr>
            </w:pPr>
            <w:r>
              <w:rPr>
                <w:rFonts w:ascii="Arial" w:cs="Arial" w:eastAsia="Arial" w:hAnsi="Arial"/>
                <w:sz w:val="12"/>
                <w:szCs w:val="12"/>
                <w:color w:val="auto"/>
              </w:rPr>
              <w:t>Continuing operations (A / D)</w:t>
            </w:r>
          </w:p>
        </w:tc>
        <w:tc>
          <w:tcPr>
            <w:tcW w:w="780" w:type="dxa"/>
            <w:vAlign w:val="bottom"/>
          </w:tcPr>
          <w:p>
            <w:pPr>
              <w:jc w:val="right"/>
              <w:ind w:right="643"/>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0.10</w:t>
            </w:r>
          </w:p>
        </w:tc>
        <w:tc>
          <w:tcPr>
            <w:tcW w:w="10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0.05</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0.41</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0.16</w:t>
            </w:r>
          </w:p>
        </w:tc>
      </w:tr>
      <w:tr>
        <w:trPr>
          <w:trHeight w:val="180"/>
        </w:trPr>
        <w:tc>
          <w:tcPr>
            <w:tcW w:w="6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Discontinued operations (B / D)</w:t>
            </w:r>
          </w:p>
        </w:tc>
        <w:tc>
          <w:tcPr>
            <w:tcW w:w="7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(0.16)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(0.03)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(1.70)</w:t>
            </w:r>
          </w:p>
        </w:tc>
      </w:tr>
      <w:tr>
        <w:trPr>
          <w:trHeight w:val="185"/>
        </w:trPr>
        <w:tc>
          <w:tcPr>
            <w:tcW w:w="60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Basic earnings (loss) per share (C / D)</w:t>
            </w:r>
          </w:p>
        </w:tc>
        <w:tc>
          <w:tcPr>
            <w:tcW w:w="78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0.10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(0.11)</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0.38</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(1.54)</w:t>
            </w:r>
          </w:p>
        </w:tc>
      </w:tr>
      <w:tr>
        <w:trPr>
          <w:trHeight w:val="81"/>
        </w:trPr>
        <w:tc>
          <w:tcPr>
            <w:tcW w:w="60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171"/>
        </w:trPr>
        <w:tc>
          <w:tcPr>
            <w:tcW w:w="6080" w:type="dxa"/>
            <w:vAlign w:val="bottom"/>
          </w:tcPr>
          <w:p>
            <w:pPr>
              <w:ind w:left="20"/>
              <w:spacing w:after="0"/>
              <w:rPr>
                <w:sz w:val="20"/>
                <w:szCs w:val="20"/>
                <w:color w:val="auto"/>
              </w:rPr>
            </w:pPr>
            <w:r>
              <w:rPr>
                <w:rFonts w:ascii="Arial" w:cs="Arial" w:eastAsia="Arial" w:hAnsi="Arial"/>
                <w:sz w:val="12"/>
                <w:szCs w:val="12"/>
                <w:color w:val="auto"/>
              </w:rPr>
              <w:t>Diluted earnings (loss) per share attributable to EZCORP:</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Continuing operations (A / E)</w:t>
            </w:r>
          </w:p>
        </w:tc>
        <w:tc>
          <w:tcPr>
            <w:tcW w:w="780" w:type="dxa"/>
            <w:vAlign w:val="bottom"/>
            <w:shd w:val="clear" w:color="auto" w:fill="CCEEFF"/>
          </w:tcPr>
          <w:p>
            <w:pPr>
              <w:jc w:val="right"/>
              <w:ind w:right="64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0.05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0.41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0.16</w:t>
            </w:r>
          </w:p>
        </w:tc>
      </w:tr>
      <w:tr>
        <w:trPr>
          <w:trHeight w:val="171"/>
        </w:trPr>
        <w:tc>
          <w:tcPr>
            <w:tcW w:w="6080" w:type="dxa"/>
            <w:vAlign w:val="bottom"/>
          </w:tcPr>
          <w:p>
            <w:pPr>
              <w:ind w:left="180"/>
              <w:spacing w:after="0"/>
              <w:rPr>
                <w:sz w:val="20"/>
                <w:szCs w:val="20"/>
                <w:color w:val="auto"/>
              </w:rPr>
            </w:pPr>
            <w:r>
              <w:rPr>
                <w:rFonts w:ascii="Arial" w:cs="Arial" w:eastAsia="Arial" w:hAnsi="Arial"/>
                <w:sz w:val="12"/>
                <w:szCs w:val="12"/>
                <w:color w:val="auto"/>
              </w:rPr>
              <w:t>Discontinued operations (B / E)</w:t>
            </w:r>
          </w:p>
        </w:tc>
        <w:tc>
          <w:tcPr>
            <w:tcW w:w="7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(0.16)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(0.03)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(1.70)</w:t>
            </w:r>
          </w:p>
        </w:tc>
      </w:tr>
      <w:tr>
        <w:trPr>
          <w:trHeight w:val="185"/>
        </w:trPr>
        <w:tc>
          <w:tcPr>
            <w:tcW w:w="60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Diluted earnings (loss) per share (C / E)</w:t>
            </w:r>
          </w:p>
        </w:tc>
        <w:tc>
          <w:tcPr>
            <w:tcW w:w="780" w:type="dxa"/>
            <w:vAlign w:val="bottom"/>
            <w:tcBorders>
              <w:top w:val="single" w:sz="8" w:color="auto"/>
              <w:bottom w:val="single" w:sz="8" w:color="auto"/>
            </w:tcBorders>
            <w:shd w:val="clear" w:color="auto" w:fill="CCEEFF"/>
          </w:tcPr>
          <w:p>
            <w:pPr>
              <w:jc w:val="right"/>
              <w:ind w:right="643"/>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(0.11)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0.38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(1.54)</w:t>
            </w:r>
          </w:p>
        </w:tc>
      </w:tr>
      <w:tr>
        <w:trPr>
          <w:trHeight w:val="81"/>
        </w:trPr>
        <w:tc>
          <w:tcPr>
            <w:tcW w:w="6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Potential common shares excluded from the calculation of diluted earnings (loss) per share above:</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6080" w:type="dxa"/>
            <w:vAlign w:val="bottom"/>
          </w:tcPr>
          <w:p>
            <w:pPr>
              <w:ind w:left="180"/>
              <w:spacing w:after="0"/>
              <w:rPr>
                <w:sz w:val="20"/>
                <w:szCs w:val="20"/>
                <w:color w:val="auto"/>
              </w:rPr>
            </w:pPr>
            <w:r>
              <w:rPr>
                <w:rFonts w:ascii="Arial" w:cs="Arial" w:eastAsia="Arial" w:hAnsi="Arial"/>
                <w:sz w:val="12"/>
                <w:szCs w:val="12"/>
                <w:color w:val="auto"/>
              </w:rPr>
              <w:t>Restricted stock*</w:t>
            </w:r>
          </w:p>
        </w:tc>
        <w:tc>
          <w:tcPr>
            <w:tcW w:w="78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2,418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2,109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2,435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1,259</w:t>
            </w:r>
          </w:p>
        </w:tc>
      </w:tr>
      <w:tr>
        <w:trPr>
          <w:trHeight w:val="180"/>
        </w:trPr>
        <w:tc>
          <w:tcPr>
            <w:tcW w:w="6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Warrants**</w:t>
            </w: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7"/>
              </w:rPr>
              <w:t>12,138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14,317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12,138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14,317</w:t>
            </w:r>
          </w:p>
        </w:tc>
      </w:tr>
      <w:tr>
        <w:trPr>
          <w:trHeight w:val="185"/>
        </w:trPr>
        <w:tc>
          <w:tcPr>
            <w:tcW w:w="6080" w:type="dxa"/>
            <w:vAlign w:val="bottom"/>
          </w:tcPr>
          <w:p>
            <w:pPr>
              <w:ind w:left="320"/>
              <w:spacing w:after="0"/>
              <w:rPr>
                <w:sz w:val="20"/>
                <w:szCs w:val="20"/>
                <w:color w:val="auto"/>
              </w:rPr>
            </w:pPr>
            <w:r>
              <w:rPr>
                <w:rFonts w:ascii="Arial" w:cs="Arial" w:eastAsia="Arial" w:hAnsi="Arial"/>
                <w:sz w:val="12"/>
                <w:szCs w:val="12"/>
                <w:color w:val="auto"/>
              </w:rPr>
              <w:t>Total potential common shares excluded</w:t>
            </w: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7"/>
              </w:rPr>
              <w:t>14,556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16,426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14,573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15,576</w:t>
            </w:r>
          </w:p>
        </w:tc>
      </w:tr>
    </w:tbl>
    <w:p>
      <w:pPr>
        <w:spacing w:after="0" w:line="96" w:lineRule="exact"/>
        <w:rPr>
          <w:sz w:val="20"/>
          <w:szCs w:val="20"/>
          <w:color w:val="auto"/>
        </w:rPr>
      </w:pPr>
    </w:p>
    <w:p>
      <w:pPr>
        <w:ind w:left="8" w:right="2040" w:hanging="8"/>
        <w:spacing w:after="0" w:line="639" w:lineRule="auto"/>
        <w:tabs>
          <w:tab w:leader="none" w:pos="224" w:val="left"/>
        </w:tabs>
        <w:numPr>
          <w:ilvl w:val="0"/>
          <w:numId w:val="7"/>
        </w:numPr>
        <w:rPr>
          <w:rFonts w:ascii="Arial" w:cs="Arial" w:eastAsia="Arial" w:hAnsi="Arial"/>
          <w:sz w:val="8"/>
          <w:szCs w:val="8"/>
          <w:color w:val="auto"/>
        </w:rPr>
      </w:pPr>
      <w:r>
        <w:rPr>
          <w:rFonts w:ascii="Arial" w:cs="Arial" w:eastAsia="Arial" w:hAnsi="Arial"/>
          <w:sz w:val="8"/>
          <w:szCs w:val="8"/>
          <w:color w:val="auto"/>
        </w:rPr>
        <w:t>Includes antidilutive share-based awards as well as performance-based and market conditioned share-based awards that are contingently issuable, but for which the condition for issuance has not been met as of the end of the reporting period. ** See Note 5 for discussion of the terms and conditions of these potential common shares and Note 10 for settlement of a portion of the Cash Convertible Notes Warrants subsequent to June 30, 2017.</w:t>
      </w:r>
    </w:p>
    <w:p>
      <w:pPr>
        <w:jc w:val="center"/>
        <w:ind w:right="-7"/>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8"/>
          </w:cols>
          <w:pgMar w:left="212" w:top="128" w:right="199" w:bottom="1440" w:gutter="0" w:footer="0" w:header="0"/>
        </w:sectPr>
      </w:pPr>
    </w:p>
    <w:bookmarkStart w:id="11" w:name="page12"/>
    <w:bookmarkEnd w:id="11"/>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3: STRATEGIC INVESTMENTS</w:t>
      </w:r>
    </w:p>
    <w:p>
      <w:pPr>
        <w:spacing w:after="0" w:line="118" w:lineRule="exact"/>
        <w:rPr>
          <w:sz w:val="20"/>
          <w:szCs w:val="20"/>
          <w:color w:val="auto"/>
        </w:rPr>
      </w:pPr>
    </w:p>
    <w:p>
      <w:pPr>
        <w:ind w:left="8" w:right="440"/>
        <w:spacing w:after="0" w:line="276" w:lineRule="auto"/>
        <w:rPr>
          <w:sz w:val="20"/>
          <w:szCs w:val="20"/>
          <w:color w:val="auto"/>
        </w:rPr>
      </w:pPr>
      <w:r>
        <w:rPr>
          <w:rFonts w:ascii="Arial" w:cs="Arial" w:eastAsia="Arial" w:hAnsi="Arial"/>
          <w:sz w:val="12"/>
          <w:szCs w:val="12"/>
          <w:color w:val="auto"/>
        </w:rPr>
        <w:t>As of June 30, 2017, we owned 156,552,484 shares, or approximately 32%, of our unconsolidated affiliate Cash Converters International Limited ("Cash Converters International"). The following tables present summary financial information for Cash Converters International’s most recently reported results as of June 30, 2017 after translation to U.S. dollars:</w:t>
      </w:r>
    </w:p>
    <w:p>
      <w:pPr>
        <w:spacing w:after="0" w:line="73"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86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6"/>
              </w:rPr>
              <w:t>December 31,</w:t>
            </w:r>
          </w:p>
        </w:tc>
        <w:tc>
          <w:tcPr>
            <w:tcW w:w="780" w:type="dxa"/>
            <w:vAlign w:val="bottom"/>
            <w:tcBorders>
              <w:bottom w:val="single" w:sz="8" w:color="auto"/>
            </w:tcBorders>
          </w:tcPr>
          <w:p>
            <w:pPr>
              <w:spacing w:after="0"/>
              <w:rPr>
                <w:sz w:val="11"/>
                <w:szCs w:val="11"/>
                <w:color w:val="auto"/>
              </w:rPr>
            </w:pPr>
          </w:p>
        </w:tc>
      </w:tr>
      <w:tr>
        <w:trPr>
          <w:trHeight w:val="169"/>
        </w:trPr>
        <w:tc>
          <w:tcPr>
            <w:tcW w:w="86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w w:val="80"/>
              </w:rPr>
              <w:t>2015</w:t>
            </w:r>
          </w:p>
        </w:tc>
      </w:tr>
      <w:tr>
        <w:trPr>
          <w:trHeight w:val="205"/>
        </w:trPr>
        <w:tc>
          <w:tcPr>
            <w:tcW w:w="8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Arial" w:cs="Arial" w:eastAsia="Arial" w:hAnsi="Arial"/>
                <w:sz w:val="10"/>
                <w:szCs w:val="10"/>
                <w:i w:val="1"/>
                <w:iCs w:val="1"/>
                <w:color w:val="auto"/>
                <w:w w:val="85"/>
              </w:rPr>
              <w:t>(in thousands)</w:t>
            </w:r>
          </w:p>
        </w:tc>
        <w:tc>
          <w:tcPr>
            <w:tcW w:w="780" w:type="dxa"/>
            <w:vAlign w:val="bottom"/>
          </w:tcPr>
          <w:p>
            <w:pPr>
              <w:spacing w:after="0"/>
              <w:rPr>
                <w:sz w:val="17"/>
                <w:szCs w:val="17"/>
                <w:color w:val="auto"/>
              </w:rPr>
            </w:pPr>
          </w:p>
        </w:tc>
      </w:tr>
      <w:tr>
        <w:trPr>
          <w:trHeight w:val="184"/>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780" w:type="dxa"/>
            <w:vAlign w:val="bottom"/>
            <w:shd w:val="clear" w:color="auto" w:fill="CCEEFF"/>
          </w:tcPr>
          <w:p>
            <w:pPr>
              <w:jc w:val="right"/>
              <w:ind w:right="643"/>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158,235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176,105</w:t>
            </w:r>
          </w:p>
        </w:tc>
      </w:tr>
      <w:tr>
        <w:trPr>
          <w:trHeight w:val="171"/>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Non-current assets</w:t>
            </w:r>
          </w:p>
        </w:tc>
        <w:tc>
          <w:tcPr>
            <w:tcW w:w="7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141,218</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143,466</w:t>
            </w:r>
          </w:p>
        </w:tc>
      </w:tr>
      <w:tr>
        <w:trPr>
          <w:trHeight w:val="185"/>
        </w:trPr>
        <w:tc>
          <w:tcPr>
            <w:tcW w:w="8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assets</w:t>
            </w:r>
          </w:p>
        </w:tc>
        <w:tc>
          <w:tcPr>
            <w:tcW w:w="78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299,453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319,571</w:t>
            </w:r>
          </w:p>
        </w:tc>
      </w:tr>
      <w:tr>
        <w:trPr>
          <w:trHeight w:val="81"/>
        </w:trPr>
        <w:tc>
          <w:tcPr>
            <w:tcW w:w="8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80"/>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780" w:type="dxa"/>
            <w:vAlign w:val="bottom"/>
            <w:shd w:val="clear" w:color="auto" w:fill="CCEEFF"/>
          </w:tcPr>
          <w:p>
            <w:pPr>
              <w:jc w:val="right"/>
              <w:ind w:right="643"/>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70,468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68,857</w:t>
            </w:r>
          </w:p>
        </w:tc>
      </w:tr>
      <w:tr>
        <w:trPr>
          <w:trHeight w:val="171"/>
        </w:trPr>
        <w:tc>
          <w:tcPr>
            <w:tcW w:w="8600" w:type="dxa"/>
            <w:vAlign w:val="bottom"/>
          </w:tcPr>
          <w:p>
            <w:pPr>
              <w:ind w:left="20"/>
              <w:spacing w:after="0"/>
              <w:rPr>
                <w:sz w:val="20"/>
                <w:szCs w:val="20"/>
                <w:color w:val="auto"/>
              </w:rPr>
            </w:pPr>
            <w:r>
              <w:rPr>
                <w:rFonts w:ascii="Arial" w:cs="Arial" w:eastAsia="Arial" w:hAnsi="Arial"/>
                <w:sz w:val="12"/>
                <w:szCs w:val="12"/>
                <w:color w:val="auto"/>
              </w:rPr>
              <w:t>Non-current liabilities</w:t>
            </w:r>
          </w:p>
        </w:tc>
        <w:tc>
          <w:tcPr>
            <w:tcW w:w="780" w:type="dxa"/>
            <w:vAlign w:val="bottom"/>
          </w:tcPr>
          <w:p>
            <w:pPr>
              <w:spacing w:after="0"/>
              <w:rPr>
                <w:sz w:val="14"/>
                <w:szCs w:val="14"/>
                <w:color w:val="auto"/>
              </w:rPr>
            </w:pP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48,181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48,263</w:t>
            </w:r>
          </w:p>
        </w:tc>
      </w:tr>
      <w:tr>
        <w:trPr>
          <w:trHeight w:val="189"/>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Shareholders’ equity:</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71"/>
        </w:trPr>
        <w:tc>
          <w:tcPr>
            <w:tcW w:w="8600" w:type="dxa"/>
            <w:vAlign w:val="bottom"/>
          </w:tcPr>
          <w:p>
            <w:pPr>
              <w:ind w:left="180"/>
              <w:spacing w:after="0"/>
              <w:rPr>
                <w:sz w:val="20"/>
                <w:szCs w:val="20"/>
                <w:color w:val="auto"/>
              </w:rPr>
            </w:pPr>
            <w:r>
              <w:rPr>
                <w:rFonts w:ascii="Arial" w:cs="Arial" w:eastAsia="Arial" w:hAnsi="Arial"/>
                <w:sz w:val="12"/>
                <w:szCs w:val="12"/>
                <w:color w:val="auto"/>
              </w:rPr>
              <w:t>Equity attributable to owners of the parent</w:t>
            </w:r>
          </w:p>
        </w:tc>
        <w:tc>
          <w:tcPr>
            <w:tcW w:w="780" w:type="dxa"/>
            <w:vAlign w:val="bottom"/>
          </w:tcPr>
          <w:p>
            <w:pPr>
              <w:jc w:val="right"/>
              <w:ind w:right="643"/>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180,803</w:t>
            </w:r>
          </w:p>
        </w:tc>
        <w:tc>
          <w:tcPr>
            <w:tcW w:w="100" w:type="dxa"/>
            <w:vAlign w:val="bottom"/>
          </w:tcPr>
          <w:p>
            <w:pPr>
              <w:spacing w:after="0"/>
              <w:rPr>
                <w:sz w:val="14"/>
                <w:szCs w:val="14"/>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202,450</w:t>
            </w:r>
          </w:p>
        </w:tc>
      </w:tr>
      <w:tr>
        <w:trPr>
          <w:trHeight w:val="180"/>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Noncontrolling interest</w:t>
            </w:r>
          </w:p>
        </w:tc>
        <w:tc>
          <w:tcPr>
            <w:tcW w:w="7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w:t>
            </w:r>
          </w:p>
        </w:tc>
      </w:tr>
      <w:tr>
        <w:trPr>
          <w:trHeight w:val="196"/>
        </w:trPr>
        <w:tc>
          <w:tcPr>
            <w:tcW w:w="8600" w:type="dxa"/>
            <w:vAlign w:val="bottom"/>
          </w:tcPr>
          <w:p>
            <w:pPr>
              <w:ind w:left="320"/>
              <w:spacing w:after="0"/>
              <w:rPr>
                <w:sz w:val="20"/>
                <w:szCs w:val="20"/>
                <w:color w:val="auto"/>
              </w:rPr>
            </w:pPr>
            <w:r>
              <w:rPr>
                <w:rFonts w:ascii="Arial" w:cs="Arial" w:eastAsia="Arial" w:hAnsi="Arial"/>
                <w:sz w:val="12"/>
                <w:szCs w:val="12"/>
                <w:color w:val="auto"/>
              </w:rPr>
              <w:t>Total liabilities and shareholders’ equity</w:t>
            </w:r>
          </w:p>
        </w:tc>
        <w:tc>
          <w:tcPr>
            <w:tcW w:w="780" w:type="dxa"/>
            <w:vAlign w:val="bottom"/>
            <w:tcBorders>
              <w:bottom w:val="single" w:sz="8" w:color="auto"/>
            </w:tcBorders>
          </w:tcPr>
          <w:p>
            <w:pPr>
              <w:jc w:val="right"/>
              <w:ind w:right="643"/>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299,453</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319,571</w:t>
            </w:r>
          </w:p>
        </w:tc>
      </w:tr>
      <w:tr>
        <w:trPr>
          <w:trHeight w:val="210"/>
        </w:trPr>
        <w:tc>
          <w:tcPr>
            <w:tcW w:w="86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7"/>
              </w:rPr>
              <w:t>Half Year Ended December 31,</w:t>
            </w:r>
          </w:p>
        </w:tc>
        <w:tc>
          <w:tcPr>
            <w:tcW w:w="780" w:type="dxa"/>
            <w:vAlign w:val="bottom"/>
            <w:tcBorders>
              <w:bottom w:val="single" w:sz="8" w:color="auto"/>
            </w:tcBorders>
          </w:tcPr>
          <w:p>
            <w:pPr>
              <w:spacing w:after="0"/>
              <w:rPr>
                <w:sz w:val="18"/>
                <w:szCs w:val="18"/>
                <w:color w:val="auto"/>
              </w:rPr>
            </w:pPr>
          </w:p>
        </w:tc>
      </w:tr>
      <w:tr>
        <w:trPr>
          <w:trHeight w:val="169"/>
        </w:trPr>
        <w:tc>
          <w:tcPr>
            <w:tcW w:w="86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w w:val="80"/>
              </w:rPr>
              <w:t>2015</w:t>
            </w:r>
          </w:p>
        </w:tc>
      </w:tr>
      <w:tr>
        <w:trPr>
          <w:trHeight w:val="205"/>
        </w:trPr>
        <w:tc>
          <w:tcPr>
            <w:tcW w:w="8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Arial" w:cs="Arial" w:eastAsia="Arial" w:hAnsi="Arial"/>
                <w:sz w:val="10"/>
                <w:szCs w:val="10"/>
                <w:i w:val="1"/>
                <w:iCs w:val="1"/>
                <w:color w:val="auto"/>
                <w:w w:val="85"/>
              </w:rPr>
              <w:t>(in thousands)</w:t>
            </w:r>
          </w:p>
        </w:tc>
        <w:tc>
          <w:tcPr>
            <w:tcW w:w="780" w:type="dxa"/>
            <w:vAlign w:val="bottom"/>
          </w:tcPr>
          <w:p>
            <w:pPr>
              <w:spacing w:after="0"/>
              <w:rPr>
                <w:sz w:val="17"/>
                <w:szCs w:val="17"/>
                <w:color w:val="auto"/>
              </w:rPr>
            </w:pPr>
          </w:p>
        </w:tc>
      </w:tr>
      <w:tr>
        <w:trPr>
          <w:trHeight w:val="184"/>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revenues*</w:t>
            </w:r>
          </w:p>
        </w:tc>
        <w:tc>
          <w:tcPr>
            <w:tcW w:w="780" w:type="dxa"/>
            <w:vAlign w:val="bottom"/>
            <w:shd w:val="clear" w:color="auto" w:fill="CCEEFF"/>
          </w:tcPr>
          <w:p>
            <w:pPr>
              <w:jc w:val="right"/>
              <w:ind w:right="643"/>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108,161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110,219</w:t>
            </w:r>
          </w:p>
        </w:tc>
      </w:tr>
      <w:tr>
        <w:trPr>
          <w:trHeight w:val="171"/>
        </w:trPr>
        <w:tc>
          <w:tcPr>
            <w:tcW w:w="860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780" w:type="dxa"/>
            <w:vAlign w:val="bottom"/>
          </w:tcPr>
          <w:p>
            <w:pPr>
              <w:spacing w:after="0"/>
              <w:rPr>
                <w:sz w:val="14"/>
                <w:szCs w:val="14"/>
                <w:color w:val="auto"/>
              </w:rPr>
            </w:pP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74,343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81,139</w:t>
            </w:r>
          </w:p>
        </w:tc>
      </w:tr>
      <w:tr>
        <w:trPr>
          <w:trHeight w:val="189"/>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profit</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8,633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11,483</w:t>
            </w:r>
          </w:p>
        </w:tc>
      </w:tr>
    </w:tbl>
    <w:p>
      <w:pPr>
        <w:spacing w:after="0" w:line="96" w:lineRule="exact"/>
        <w:rPr>
          <w:sz w:val="20"/>
          <w:szCs w:val="20"/>
          <w:color w:val="auto"/>
        </w:rPr>
      </w:pPr>
    </w:p>
    <w:p>
      <w:pPr>
        <w:ind w:left="208" w:right="380" w:hanging="208"/>
        <w:spacing w:after="0" w:line="239" w:lineRule="auto"/>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Cash Converters International announced during its fiscal 2016 that certain of its United Kingdom operations would be discontinued, including a historical recasting of such operations as discontinued operations. We have recast the above information pertaining to the half year ended December 31, 2015 to reflect this historical recasting.</w:t>
      </w:r>
    </w:p>
    <w:p>
      <w:pPr>
        <w:spacing w:after="0" w:line="99"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During the nine months ended June 30, 2017, the fair value of our investment in Cash Converters International declined below its carrying value. We considered the guidance in FASB Accounting Standards Codification ("ASC") 320-10-S99-1 in evaluating whether the impairment was other-than-temporary and whether to measure and recognize any other-than-temporary impairment. We noted the primary factors in determining that the decline in fair value was not other-than-temporary were the length of time and the extent to which the market value has been less than cost as well as our intent and ability to hold our investment in Cash Converters International for a period of time sufficient to allow for any anticipated recovery in market value. We do not believe the decline in fair value is other-than-temporary.</w:t>
      </w:r>
    </w:p>
    <w:p>
      <w:pPr>
        <w:spacing w:after="0" w:line="89" w:lineRule="exact"/>
        <w:rPr>
          <w:sz w:val="20"/>
          <w:szCs w:val="20"/>
          <w:color w:val="auto"/>
        </w:rPr>
      </w:pPr>
    </w:p>
    <w:p>
      <w:pPr>
        <w:ind w:left="8" w:right="100"/>
        <w:spacing w:after="0" w:line="263" w:lineRule="auto"/>
        <w:rPr>
          <w:sz w:val="20"/>
          <w:szCs w:val="20"/>
          <w:color w:val="auto"/>
        </w:rPr>
      </w:pPr>
      <w:r>
        <w:rPr>
          <w:rFonts w:ascii="Arial" w:cs="Arial" w:eastAsia="Arial" w:hAnsi="Arial"/>
          <w:sz w:val="12"/>
          <w:szCs w:val="12"/>
          <w:color w:val="auto"/>
        </w:rPr>
        <w:t>We continue to monitor the fair value of our investment in Cash Converters International for other-than-temporary impairments in future reporting periods and may record an impairment charge should the fair value of our investment in Cash Converters International remain below its carrying value for an extended period of time. We have previously recorded impairments on our investment in Cash Converters International in fiscal 2016 and 2015. See Note 4 for the fair value and carrying value of our investment in Cash Converters International.</w:t>
      </w: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48"/>
          </w:cols>
          <w:pgMar w:left="212" w:top="128" w:right="239" w:bottom="1440" w:gutter="0" w:footer="0" w:header="0"/>
        </w:sectPr>
      </w:pPr>
    </w:p>
    <w:bookmarkStart w:id="12" w:name="page13"/>
    <w:bookmarkEnd w:id="1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FAIR VALUE MEASUREMENTS</w:t>
      </w:r>
    </w:p>
    <w:p>
      <w:pPr>
        <w:spacing w:after="0" w:line="118"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In accordance with ASC 820-10, our assets and liabilities discussed below are classified in one of the following three categories based on the inputs used to develop their fair values: Level 1 — Quoted market prices in active markets for identical assets or liabilities; Level 2 — Other observable market-based inputs or unobservable inputs that are corroborated by market data; and Level 3 — Unobservable inputs that are not corroborated by market data.</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Recurring Fair Value Measurements</w:t>
      </w:r>
    </w:p>
    <w:p>
      <w:pPr>
        <w:spacing w:after="0" w:line="114"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The tables below present our financial assets (liabilities) that were carried and measured at fair value on a recurring basis, exclusive of amounts attributable to Prestaciones Finmart, S.A.P.I. de C.V., SOFOM, E.N.R. ("Grupo Finmart"), which we divested in September 2016:</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Financial Assets (Liabilities)</w:t>
            </w:r>
          </w:p>
        </w:tc>
        <w:tc>
          <w:tcPr>
            <w:tcW w:w="120" w:type="dxa"/>
            <w:vAlign w:val="bottom"/>
          </w:tcPr>
          <w:p>
            <w:pPr>
              <w:spacing w:after="0"/>
              <w:rPr>
                <w:sz w:val="11"/>
                <w:szCs w:val="11"/>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Balance Sheet Location</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June 30, 2017</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June 30, 2016</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w w:val="87"/>
              </w:rPr>
              <w:t>September 30, 2016</w:t>
            </w:r>
          </w:p>
        </w:tc>
      </w:tr>
      <w:tr>
        <w:trPr>
          <w:trHeight w:val="250"/>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84"/>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Guarantee asset — Level 3</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Prepaid expenses and other current assets</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1,209</w:t>
            </w:r>
          </w:p>
        </w:tc>
      </w:tr>
      <w:tr>
        <w:trPr>
          <w:trHeight w:val="171"/>
        </w:trPr>
        <w:tc>
          <w:tcPr>
            <w:tcW w:w="4020" w:type="dxa"/>
            <w:vAlign w:val="bottom"/>
            <w:gridSpan w:val="2"/>
          </w:tcPr>
          <w:p>
            <w:pPr>
              <w:ind w:left="20"/>
              <w:spacing w:after="0"/>
              <w:rPr>
                <w:sz w:val="20"/>
                <w:szCs w:val="20"/>
                <w:color w:val="auto"/>
              </w:rPr>
            </w:pPr>
            <w:r>
              <w:rPr>
                <w:rFonts w:ascii="Arial" w:cs="Arial" w:eastAsia="Arial" w:hAnsi="Arial"/>
                <w:sz w:val="12"/>
                <w:szCs w:val="12"/>
                <w:color w:val="auto"/>
              </w:rPr>
              <w:t>Guarantee liability — Level 3</w:t>
            </w:r>
          </w:p>
        </w:tc>
        <w:tc>
          <w:tcPr>
            <w:tcW w:w="3800" w:type="dxa"/>
            <w:vAlign w:val="bottom"/>
            <w:gridSpan w:val="2"/>
          </w:tcPr>
          <w:p>
            <w:pPr>
              <w:ind w:left="20"/>
              <w:spacing w:after="0"/>
              <w:rPr>
                <w:sz w:val="20"/>
                <w:szCs w:val="20"/>
                <w:color w:val="auto"/>
              </w:rPr>
            </w:pPr>
            <w:r>
              <w:rPr>
                <w:rFonts w:ascii="Arial" w:cs="Arial" w:eastAsia="Arial" w:hAnsi="Arial"/>
                <w:sz w:val="12"/>
                <w:szCs w:val="12"/>
                <w:color w:val="auto"/>
              </w:rPr>
              <w:t>Accounts payable, accrued expenses and other current liabilities</w:t>
            </w:r>
          </w:p>
        </w:tc>
        <w:tc>
          <w:tcPr>
            <w:tcW w:w="180" w:type="dxa"/>
            <w:vAlign w:val="bottom"/>
          </w:tcPr>
          <w:p>
            <w:pPr>
              <w:spacing w:after="0"/>
              <w:rPr>
                <w:sz w:val="14"/>
                <w:szCs w:val="14"/>
                <w:color w:val="auto"/>
              </w:rPr>
            </w:pPr>
          </w:p>
        </w:tc>
        <w:tc>
          <w:tcPr>
            <w:tcW w:w="980" w:type="dxa"/>
            <w:vAlign w:val="bottom"/>
          </w:tcPr>
          <w:p>
            <w:pPr>
              <w:jc w:val="right"/>
              <w:ind w:right="22"/>
              <w:spacing w:after="0"/>
              <w:rPr>
                <w:sz w:val="20"/>
                <w:szCs w:val="20"/>
                <w:color w:val="auto"/>
              </w:rPr>
            </w:pPr>
            <w:r>
              <w:rPr>
                <w:rFonts w:ascii="Arial" w:cs="Arial" w:eastAsia="Arial" w:hAnsi="Arial"/>
                <w:sz w:val="12"/>
                <w:szCs w:val="12"/>
                <w:color w:val="auto"/>
              </w:rPr>
              <w:t>(310)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(1,258)</w:t>
            </w:r>
          </w:p>
        </w:tc>
      </w:tr>
      <w:tr>
        <w:trPr>
          <w:trHeight w:val="18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Convertible Notes Hedges — Level 2</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assets, net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5,900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16,200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37,692</w:t>
            </w:r>
          </w:p>
        </w:tc>
      </w:tr>
      <w:tr>
        <w:trPr>
          <w:trHeight w:val="171"/>
        </w:trPr>
        <w:tc>
          <w:tcPr>
            <w:tcW w:w="4020" w:type="dxa"/>
            <w:vAlign w:val="bottom"/>
            <w:gridSpan w:val="2"/>
          </w:tcPr>
          <w:p>
            <w:pPr>
              <w:ind w:left="20"/>
              <w:spacing w:after="0"/>
              <w:rPr>
                <w:sz w:val="20"/>
                <w:szCs w:val="20"/>
                <w:color w:val="auto"/>
              </w:rPr>
            </w:pPr>
            <w:r>
              <w:rPr>
                <w:rFonts w:ascii="Arial" w:cs="Arial" w:eastAsia="Arial" w:hAnsi="Arial"/>
                <w:sz w:val="12"/>
                <w:szCs w:val="12"/>
                <w:color w:val="auto"/>
              </w:rPr>
              <w:t>Cash Convertible Notes Embedded Derivative — Level 2</w:t>
            </w:r>
          </w:p>
        </w:tc>
        <w:tc>
          <w:tcPr>
            <w:tcW w:w="3800" w:type="dxa"/>
            <w:vAlign w:val="bottom"/>
            <w:gridSpan w:val="2"/>
          </w:tcPr>
          <w:p>
            <w:pPr>
              <w:ind w:left="20"/>
              <w:spacing w:after="0"/>
              <w:rPr>
                <w:sz w:val="20"/>
                <w:szCs w:val="20"/>
                <w:color w:val="auto"/>
              </w:rPr>
            </w:pPr>
            <w:r>
              <w:rPr>
                <w:rFonts w:ascii="Arial" w:cs="Arial" w:eastAsia="Arial" w:hAnsi="Arial"/>
                <w:sz w:val="12"/>
                <w:szCs w:val="12"/>
                <w:color w:val="auto"/>
              </w:rPr>
              <w:t>Long-term debt, net</w:t>
            </w:r>
          </w:p>
        </w:tc>
        <w:tc>
          <w:tcPr>
            <w:tcW w:w="180" w:type="dxa"/>
            <w:vAlign w:val="bottom"/>
          </w:tcPr>
          <w:p>
            <w:pPr>
              <w:spacing w:after="0"/>
              <w:rPr>
                <w:sz w:val="14"/>
                <w:szCs w:val="14"/>
                <w:color w:val="auto"/>
              </w:rPr>
            </w:pPr>
          </w:p>
        </w:tc>
        <w:tc>
          <w:tcPr>
            <w:tcW w:w="980" w:type="dxa"/>
            <w:vAlign w:val="bottom"/>
          </w:tcPr>
          <w:p>
            <w:pPr>
              <w:jc w:val="right"/>
              <w:ind w:right="22"/>
              <w:spacing w:after="0"/>
              <w:rPr>
                <w:sz w:val="20"/>
                <w:szCs w:val="20"/>
                <w:color w:val="auto"/>
              </w:rPr>
            </w:pPr>
            <w:r>
              <w:rPr>
                <w:rFonts w:ascii="Arial" w:cs="Arial" w:eastAsia="Arial" w:hAnsi="Arial"/>
                <w:sz w:val="12"/>
                <w:szCs w:val="12"/>
                <w:color w:val="auto"/>
              </w:rPr>
              <w:t>(5,900)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2"/>
                <w:szCs w:val="12"/>
                <w:color w:val="auto"/>
              </w:rPr>
              <w:t>(16,200)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(37,692)</w:t>
            </w:r>
          </w:p>
        </w:tc>
      </w:tr>
      <w:tr>
        <w:trPr>
          <w:trHeight w:val="18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Convertible Notes Warrants — Level 3</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Accounts payable, accrued expenses and other current liabilities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(523)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bl>
    <w:p>
      <w:pPr>
        <w:spacing w:after="0" w:line="99"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We initially measured the guarantee asset and liability at fair value and are subsequently amortizing the guarantees based upon the principal payments received on the associated notes receivable, which approximates the fair value of the guarantees on a recurring basis. See discussion of settlement subsequent to June 30, 2017 in Note 10.</w:t>
      </w:r>
    </w:p>
    <w:p>
      <w:pPr>
        <w:spacing w:after="0" w:line="79"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We measured the fair value of the Cash Convertible Notes Hedges and the Cash Convertible Notes Embedded Derivative using the Black-Scholes-Merton model based on observable Level 1 and Level 2 inputs such as conversion price of underlying shares, current share price, implied volatility, risk free interest rate and other factors. As of June 30, 2017 the volatility input was revised downward to 44% based on observed market inputs. As of June 30, 2016 and September 30, 2016 these inputs included volatilities of 53% to 55%.</w:t>
      </w:r>
    </w:p>
    <w:p>
      <w:pPr>
        <w:spacing w:after="0" w:line="87" w:lineRule="exact"/>
        <w:rPr>
          <w:sz w:val="20"/>
          <w:szCs w:val="20"/>
          <w:color w:val="auto"/>
        </w:rPr>
      </w:pPr>
    </w:p>
    <w:p>
      <w:pPr>
        <w:jc w:val="both"/>
        <w:ind w:right="60"/>
        <w:spacing w:after="0" w:line="259" w:lineRule="auto"/>
        <w:rPr>
          <w:sz w:val="20"/>
          <w:szCs w:val="20"/>
          <w:color w:val="auto"/>
        </w:rPr>
      </w:pPr>
      <w:r>
        <w:rPr>
          <w:rFonts w:ascii="Arial" w:cs="Arial" w:eastAsia="Arial" w:hAnsi="Arial"/>
          <w:sz w:val="12"/>
          <w:szCs w:val="12"/>
          <w:color w:val="auto"/>
        </w:rPr>
        <w:t>We executed agreements dated as of June 29, 2017 to cash settle a portion of the Cash Convertible Notes Hedges and Cash Convertible Notes Warrants pertaining to the partial repayment of the Cash Convertible Notes in July 2017. Based on the negotiated cash settlement amount with our counterparties in July 2017, we realized a volatility of approximately 32% to 34%, reducing the amount received on the amounts recorded above as of June 30, 2017. As of June 30, 2017, we reclassified the portion of Cash Convertible Notes Warrants which were cash settled in July 2017 from equity to a liability at its current fair value, including inputs for current share price and trading volume. See Note 5 and Note 10 for additional discussion.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There were no transfers in or out of Level 1 or Level 2 for financial assets or liabilities measured at fair value on a recurring basis during the periods presented.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128" w:right="199" w:bottom="1440" w:gutter="0" w:footer="0" w:header="0"/>
        </w:sectPr>
      </w:pPr>
    </w:p>
    <w:bookmarkStart w:id="13" w:name="page14"/>
    <w:bookmarkEnd w:id="1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Assets and Liabilities Not Measured at Fair Value</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 tables below present our financial assets and liabilities that were not measured at fair value (including those discussed below the following tables) on a recurring basis, exclusive of amounts attributable to Grupo Finmart: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7"/>
              </w:rPr>
              <w:t>Carrying Value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0"/>
                <w:szCs w:val="10"/>
                <w:b w:val="1"/>
                <w:bCs w:val="1"/>
                <w:color w:val="auto"/>
              </w:rPr>
              <w:t>Estimated Fair Value</w:t>
            </w:r>
          </w:p>
        </w:tc>
        <w:tc>
          <w:tcPr>
            <w:tcW w:w="8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r>
        <w:trPr>
          <w:trHeight w:val="169"/>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89"/>
              </w:rPr>
              <w:t>Fair Value Measurement Using</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69"/>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2"/>
              </w:rPr>
              <w:t>June 30, 2017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343"/>
              <w:spacing w:after="0"/>
              <w:rPr>
                <w:sz w:val="20"/>
                <w:szCs w:val="20"/>
                <w:color w:val="auto"/>
              </w:rPr>
            </w:pPr>
            <w:r>
              <w:rPr>
                <w:rFonts w:ascii="Arial" w:cs="Arial" w:eastAsia="Arial" w:hAnsi="Arial"/>
                <w:sz w:val="10"/>
                <w:szCs w:val="10"/>
                <w:b w:val="1"/>
                <w:bCs w:val="1"/>
                <w:color w:val="auto"/>
              </w:rPr>
              <w:t>June 30, 2017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360"/>
              <w:spacing w:after="0"/>
              <w:rPr>
                <w:sz w:val="20"/>
                <w:szCs w:val="20"/>
                <w:color w:val="auto"/>
              </w:rPr>
            </w:pPr>
            <w:r>
              <w:rPr>
                <w:rFonts w:ascii="Arial" w:cs="Arial" w:eastAsia="Arial" w:hAnsi="Arial"/>
                <w:sz w:val="10"/>
                <w:szCs w:val="10"/>
                <w:b w:val="1"/>
                <w:bCs w:val="1"/>
                <w:color w:val="auto"/>
              </w:rPr>
              <w:t>Level 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3"/>
          </w:tcPr>
          <w:p>
            <w:pPr>
              <w:ind w:left="120"/>
              <w:spacing w:after="0"/>
              <w:rPr>
                <w:sz w:val="20"/>
                <w:szCs w:val="20"/>
                <w:color w:val="auto"/>
              </w:rPr>
            </w:pPr>
            <w:r>
              <w:rPr>
                <w:rFonts w:ascii="Arial" w:cs="Arial" w:eastAsia="Arial" w:hAnsi="Arial"/>
                <w:sz w:val="10"/>
                <w:szCs w:val="10"/>
                <w:b w:val="1"/>
                <w:bCs w:val="1"/>
                <w:color w:val="auto"/>
              </w:rPr>
              <w:t>Level 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0"/>
                <w:szCs w:val="10"/>
                <w:b w:val="1"/>
                <w:bCs w:val="1"/>
                <w:color w:val="auto"/>
              </w:rPr>
              <w:t>Level 3</w:t>
            </w:r>
          </w:p>
        </w:tc>
      </w:tr>
      <w:tr>
        <w:trPr>
          <w:trHeight w:val="251"/>
        </w:trPr>
        <w:tc>
          <w:tcPr>
            <w:tcW w:w="4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i w:val="1"/>
                <w:iCs w:val="1"/>
                <w:color w:val="auto"/>
              </w:rPr>
              <w:t>(in thousands)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r>
      <w:tr>
        <w:trPr>
          <w:trHeight w:val="18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Financial assets:</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1"/>
        </w:trPr>
        <w:tc>
          <w:tcPr>
            <w:tcW w:w="4480" w:type="dxa"/>
            <w:vAlign w:val="bottom"/>
            <w:gridSpan w:val="2"/>
          </w:tcPr>
          <w:p>
            <w:pPr>
              <w:ind w:left="180"/>
              <w:spacing w:after="0"/>
              <w:rPr>
                <w:sz w:val="20"/>
                <w:szCs w:val="20"/>
                <w:color w:val="auto"/>
              </w:rPr>
            </w:pPr>
            <w:r>
              <w:rPr>
                <w:rFonts w:ascii="Arial" w:cs="Arial" w:eastAsia="Arial" w:hAnsi="Arial"/>
                <w:sz w:val="12"/>
                <w:szCs w:val="12"/>
                <w:color w:val="auto"/>
              </w:rPr>
              <w:t>Notes receivable, net</w:t>
            </w:r>
          </w:p>
        </w:tc>
        <w:tc>
          <w:tcPr>
            <w:tcW w:w="180" w:type="dxa"/>
            <w:vAlign w:val="bottom"/>
          </w:tcPr>
          <w:p>
            <w:pPr>
              <w:jc w:val="right"/>
              <w:ind w:right="43"/>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44"/>
              <w:spacing w:after="0"/>
              <w:rPr>
                <w:sz w:val="20"/>
                <w:szCs w:val="20"/>
                <w:color w:val="auto"/>
              </w:rPr>
            </w:pPr>
            <w:r>
              <w:rPr>
                <w:rFonts w:ascii="Arial" w:cs="Arial" w:eastAsia="Arial" w:hAnsi="Arial"/>
                <w:sz w:val="12"/>
                <w:szCs w:val="12"/>
                <w:color w:val="auto"/>
              </w:rPr>
              <w:t>63,277</w:t>
            </w:r>
          </w:p>
        </w:tc>
        <w:tc>
          <w:tcPr>
            <w:tcW w:w="20" w:type="dxa"/>
            <w:vAlign w:val="bottom"/>
          </w:tcPr>
          <w:p>
            <w:pPr>
              <w:spacing w:after="0"/>
              <w:rPr>
                <w:sz w:val="14"/>
                <w:szCs w:val="14"/>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43"/>
              <w:spacing w:after="0"/>
              <w:rPr>
                <w:sz w:val="20"/>
                <w:szCs w:val="20"/>
                <w:color w:val="auto"/>
              </w:rPr>
            </w:pPr>
            <w:r>
              <w:rPr>
                <w:rFonts w:ascii="Arial" w:cs="Arial" w:eastAsia="Arial" w:hAnsi="Arial"/>
                <w:sz w:val="12"/>
                <w:szCs w:val="12"/>
                <w:color w:val="auto"/>
              </w:rPr>
              <w:t>65,570</w:t>
            </w:r>
          </w:p>
        </w:tc>
        <w:tc>
          <w:tcPr>
            <w:tcW w:w="2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3"/>
              <w:spacing w:after="0"/>
              <w:rPr>
                <w:sz w:val="20"/>
                <w:szCs w:val="20"/>
                <w:color w:val="auto"/>
              </w:rPr>
            </w:pPr>
            <w:r>
              <w:rPr>
                <w:rFonts w:ascii="Arial" w:cs="Arial" w:eastAsia="Arial" w:hAnsi="Arial"/>
                <w:sz w:val="12"/>
                <w:szCs w:val="12"/>
                <w:color w:val="auto"/>
              </w:rPr>
              <w:t>65,570</w:t>
            </w:r>
          </w:p>
        </w:tc>
        <w:tc>
          <w:tcPr>
            <w:tcW w:w="40" w:type="dxa"/>
            <w:vAlign w:val="bottom"/>
          </w:tcPr>
          <w:p>
            <w:pPr>
              <w:spacing w:after="0"/>
              <w:rPr>
                <w:sz w:val="14"/>
                <w:szCs w:val="14"/>
                <w:color w:val="auto"/>
              </w:rPr>
            </w:pPr>
          </w:p>
        </w:tc>
      </w:tr>
      <w:tr>
        <w:trPr>
          <w:trHeight w:val="189"/>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Investment in unconsolidated affiliate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41,725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37,306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2"/>
                <w:szCs w:val="12"/>
                <w:color w:val="auto"/>
              </w:rPr>
              <w:t>37,306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81"/>
        </w:trPr>
        <w:tc>
          <w:tcPr>
            <w:tcW w:w="4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Financial liabilities:</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1"/>
        </w:trPr>
        <w:tc>
          <w:tcPr>
            <w:tcW w:w="4480" w:type="dxa"/>
            <w:vAlign w:val="bottom"/>
            <w:gridSpan w:val="2"/>
          </w:tcPr>
          <w:p>
            <w:pPr>
              <w:ind w:left="180"/>
              <w:spacing w:after="0"/>
              <w:rPr>
                <w:sz w:val="20"/>
                <w:szCs w:val="20"/>
                <w:color w:val="auto"/>
              </w:rPr>
            </w:pPr>
            <w:r>
              <w:rPr>
                <w:rFonts w:ascii="Arial" w:cs="Arial" w:eastAsia="Arial" w:hAnsi="Arial"/>
                <w:sz w:val="12"/>
                <w:szCs w:val="12"/>
                <w:color w:val="auto"/>
              </w:rPr>
              <w:t>Cash Convertible Notes</w:t>
            </w:r>
          </w:p>
        </w:tc>
        <w:tc>
          <w:tcPr>
            <w:tcW w:w="180" w:type="dxa"/>
            <w:vAlign w:val="bottom"/>
          </w:tcPr>
          <w:p>
            <w:pPr>
              <w:jc w:val="right"/>
              <w:ind w:right="43"/>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44"/>
              <w:spacing w:after="0"/>
              <w:rPr>
                <w:sz w:val="20"/>
                <w:szCs w:val="20"/>
                <w:color w:val="auto"/>
              </w:rPr>
            </w:pPr>
            <w:r>
              <w:rPr>
                <w:rFonts w:ascii="Arial" w:cs="Arial" w:eastAsia="Arial" w:hAnsi="Arial"/>
                <w:sz w:val="12"/>
                <w:szCs w:val="12"/>
                <w:color w:val="auto"/>
              </w:rPr>
              <w:t>206,279</w:t>
            </w:r>
          </w:p>
        </w:tc>
        <w:tc>
          <w:tcPr>
            <w:tcW w:w="20" w:type="dxa"/>
            <w:vAlign w:val="bottom"/>
          </w:tcPr>
          <w:p>
            <w:pPr>
              <w:spacing w:after="0"/>
              <w:rPr>
                <w:sz w:val="14"/>
                <w:szCs w:val="14"/>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43"/>
              <w:spacing w:after="0"/>
              <w:rPr>
                <w:sz w:val="20"/>
                <w:szCs w:val="20"/>
                <w:color w:val="auto"/>
              </w:rPr>
            </w:pPr>
            <w:r>
              <w:rPr>
                <w:rFonts w:ascii="Arial" w:cs="Arial" w:eastAsia="Arial" w:hAnsi="Arial"/>
                <w:sz w:val="12"/>
                <w:szCs w:val="12"/>
                <w:color w:val="auto"/>
              </w:rPr>
              <w:t>218,500</w:t>
            </w:r>
          </w:p>
        </w:tc>
        <w:tc>
          <w:tcPr>
            <w:tcW w:w="2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218,500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89"/>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Term Loan Facility</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48,235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48,159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48,159</w:t>
            </w:r>
          </w:p>
        </w:tc>
        <w:tc>
          <w:tcPr>
            <w:tcW w:w="40" w:type="dxa"/>
            <w:vAlign w:val="bottom"/>
            <w:shd w:val="clear" w:color="auto" w:fill="CCEEFF"/>
          </w:tcPr>
          <w:p>
            <w:pPr>
              <w:spacing w:after="0"/>
              <w:rPr>
                <w:sz w:val="16"/>
                <w:szCs w:val="16"/>
                <w:color w:val="auto"/>
              </w:rPr>
            </w:pPr>
          </w:p>
        </w:tc>
      </w:tr>
      <w:tr>
        <w:trPr>
          <w:trHeight w:val="266"/>
        </w:trPr>
        <w:tc>
          <w:tcPr>
            <w:tcW w:w="4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180"/>
              <w:spacing w:after="0"/>
              <w:rPr>
                <w:sz w:val="20"/>
                <w:szCs w:val="20"/>
                <w:color w:val="auto"/>
              </w:rPr>
            </w:pPr>
            <w:r>
              <w:rPr>
                <w:rFonts w:ascii="Arial" w:cs="Arial" w:eastAsia="Arial" w:hAnsi="Arial"/>
                <w:sz w:val="10"/>
                <w:szCs w:val="10"/>
                <w:b w:val="1"/>
                <w:bCs w:val="1"/>
                <w:color w:val="auto"/>
              </w:rPr>
              <w:t>Carrying Value</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gridSpan w:val="5"/>
          </w:tcPr>
          <w:p>
            <w:pPr>
              <w:jc w:val="right"/>
              <w:ind w:right="100"/>
              <w:spacing w:after="0"/>
              <w:rPr>
                <w:sz w:val="20"/>
                <w:szCs w:val="20"/>
                <w:color w:val="auto"/>
              </w:rPr>
            </w:pPr>
            <w:r>
              <w:rPr>
                <w:rFonts w:ascii="Arial" w:cs="Arial" w:eastAsia="Arial" w:hAnsi="Arial"/>
                <w:sz w:val="10"/>
                <w:szCs w:val="10"/>
                <w:b w:val="1"/>
                <w:bCs w:val="1"/>
                <w:color w:val="auto"/>
              </w:rPr>
              <w:t>Estimated Fair Value</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69"/>
        </w:trPr>
        <w:tc>
          <w:tcPr>
            <w:tcW w:w="44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gridSpan w:val="6"/>
          </w:tcPr>
          <w:p>
            <w:pPr>
              <w:ind w:left="60"/>
              <w:spacing w:after="0"/>
              <w:rPr>
                <w:sz w:val="20"/>
                <w:szCs w:val="20"/>
                <w:color w:val="auto"/>
              </w:rPr>
            </w:pPr>
            <w:r>
              <w:rPr>
                <w:rFonts w:ascii="Arial" w:cs="Arial" w:eastAsia="Arial" w:hAnsi="Arial"/>
                <w:sz w:val="10"/>
                <w:szCs w:val="10"/>
                <w:b w:val="1"/>
                <w:bCs w:val="1"/>
                <w:color w:val="auto"/>
                <w:w w:val="91"/>
              </w:rPr>
              <w:t>Fair Value Measurement Using</w:t>
            </w:r>
          </w:p>
        </w:tc>
        <w:tc>
          <w:tcPr>
            <w:tcW w:w="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4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June 30, 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June 30, 2016</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5"/>
              <w:spacing w:after="0"/>
              <w:rPr>
                <w:sz w:val="20"/>
                <w:szCs w:val="20"/>
                <w:color w:val="auto"/>
              </w:rPr>
            </w:pPr>
            <w:r>
              <w:rPr>
                <w:rFonts w:ascii="Arial" w:cs="Arial" w:eastAsia="Arial" w:hAnsi="Arial"/>
                <w:sz w:val="10"/>
                <w:szCs w:val="10"/>
                <w:b w:val="1"/>
                <w:bCs w:val="1"/>
                <w:color w:val="auto"/>
              </w:rPr>
              <w:t>Level 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Level 2</w:t>
            </w:r>
          </w:p>
        </w:tc>
        <w:tc>
          <w:tcPr>
            <w:tcW w:w="10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Level 3</w:t>
            </w:r>
          </w:p>
        </w:tc>
        <w:tc>
          <w:tcPr>
            <w:tcW w:w="40" w:type="dxa"/>
            <w:vAlign w:val="bottom"/>
          </w:tcPr>
          <w:p>
            <w:pPr>
              <w:spacing w:after="0"/>
              <w:rPr>
                <w:sz w:val="14"/>
                <w:szCs w:val="14"/>
                <w:color w:val="auto"/>
              </w:rPr>
            </w:pPr>
          </w:p>
        </w:tc>
      </w:tr>
      <w:tr>
        <w:trPr>
          <w:trHeight w:val="251"/>
        </w:trPr>
        <w:tc>
          <w:tcPr>
            <w:tcW w:w="4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0"/>
                <w:szCs w:val="10"/>
                <w:i w:val="1"/>
                <w:iCs w:val="1"/>
                <w:color w:val="auto"/>
                <w:w w:val="94"/>
              </w:rPr>
              <w:t>(in thousands)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8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Financial assets:</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4480" w:type="dxa"/>
            <w:vAlign w:val="bottom"/>
            <w:gridSpan w:val="2"/>
          </w:tcPr>
          <w:p>
            <w:pPr>
              <w:ind w:left="180"/>
              <w:spacing w:after="0"/>
              <w:rPr>
                <w:sz w:val="20"/>
                <w:szCs w:val="20"/>
                <w:color w:val="auto"/>
              </w:rPr>
            </w:pPr>
            <w:r>
              <w:rPr>
                <w:rFonts w:ascii="Arial" w:cs="Arial" w:eastAsia="Arial" w:hAnsi="Arial"/>
                <w:sz w:val="12"/>
                <w:szCs w:val="12"/>
                <w:color w:val="auto"/>
              </w:rPr>
              <w:t>Investment in unconsolidated affiliate</w:t>
            </w:r>
          </w:p>
        </w:tc>
        <w:tc>
          <w:tcPr>
            <w:tcW w:w="180" w:type="dxa"/>
            <w:vAlign w:val="bottom"/>
          </w:tcPr>
          <w:p>
            <w:pPr>
              <w:jc w:val="right"/>
              <w:ind w:right="63"/>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4"/>
              <w:spacing w:after="0"/>
              <w:rPr>
                <w:sz w:val="20"/>
                <w:szCs w:val="20"/>
                <w:color w:val="auto"/>
              </w:rPr>
            </w:pPr>
            <w:r>
              <w:rPr>
                <w:rFonts w:ascii="Arial" w:cs="Arial" w:eastAsia="Arial" w:hAnsi="Arial"/>
                <w:sz w:val="12"/>
                <w:szCs w:val="12"/>
                <w:color w:val="auto"/>
              </w:rPr>
              <w:t>56,843</w:t>
            </w:r>
          </w:p>
        </w:tc>
        <w:tc>
          <w:tcPr>
            <w:tcW w:w="20" w:type="dxa"/>
            <w:vAlign w:val="bottom"/>
          </w:tcPr>
          <w:p>
            <w:pPr>
              <w:spacing w:after="0"/>
              <w:rPr>
                <w:sz w:val="14"/>
                <w:szCs w:val="14"/>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63"/>
              <w:spacing w:after="0"/>
              <w:rPr>
                <w:sz w:val="20"/>
                <w:szCs w:val="20"/>
                <w:color w:val="auto"/>
              </w:rPr>
            </w:pPr>
            <w:r>
              <w:rPr>
                <w:rFonts w:ascii="Arial" w:cs="Arial" w:eastAsia="Arial" w:hAnsi="Arial"/>
                <w:sz w:val="12"/>
                <w:szCs w:val="12"/>
                <w:color w:val="auto"/>
              </w:rPr>
              <w:t>49,149</w:t>
            </w:r>
          </w:p>
        </w:tc>
        <w:tc>
          <w:tcPr>
            <w:tcW w:w="2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45"/>
              <w:spacing w:after="0"/>
              <w:rPr>
                <w:sz w:val="20"/>
                <w:szCs w:val="20"/>
                <w:color w:val="auto"/>
              </w:rPr>
            </w:pPr>
            <w:r>
              <w:rPr>
                <w:rFonts w:ascii="Arial" w:cs="Arial" w:eastAsia="Arial" w:hAnsi="Arial"/>
                <w:sz w:val="12"/>
                <w:szCs w:val="12"/>
                <w:color w:val="auto"/>
              </w:rPr>
              <w:t>49,149</w:t>
            </w:r>
          </w:p>
        </w:tc>
        <w:tc>
          <w:tcPr>
            <w:tcW w:w="40" w:type="dxa"/>
            <w:vAlign w:val="bottom"/>
          </w:tcPr>
          <w:p>
            <w:pPr>
              <w:spacing w:after="0"/>
              <w:rPr>
                <w:sz w:val="14"/>
                <w:szCs w:val="14"/>
                <w:color w:val="auto"/>
              </w:rPr>
            </w:pPr>
          </w:p>
        </w:tc>
        <w:tc>
          <w:tcPr>
            <w:tcW w:w="480" w:type="dxa"/>
            <w:vAlign w:val="bottom"/>
            <w:gridSpan w:val="3"/>
          </w:tcPr>
          <w:p>
            <w:pPr>
              <w:ind w:left="100"/>
              <w:spacing w:after="0"/>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r>
      <w:tr>
        <w:trPr>
          <w:trHeight w:val="90"/>
        </w:trPr>
        <w:tc>
          <w:tcPr>
            <w:tcW w:w="4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r>
      <w:tr>
        <w:trPr>
          <w:trHeight w:val="171"/>
        </w:trPr>
        <w:tc>
          <w:tcPr>
            <w:tcW w:w="4480" w:type="dxa"/>
            <w:vAlign w:val="bottom"/>
            <w:gridSpan w:val="2"/>
          </w:tcPr>
          <w:p>
            <w:pPr>
              <w:ind w:left="20"/>
              <w:spacing w:after="0"/>
              <w:rPr>
                <w:sz w:val="20"/>
                <w:szCs w:val="20"/>
                <w:color w:val="auto"/>
              </w:rPr>
            </w:pPr>
            <w:r>
              <w:rPr>
                <w:rFonts w:ascii="Arial" w:cs="Arial" w:eastAsia="Arial" w:hAnsi="Arial"/>
                <w:sz w:val="12"/>
                <w:szCs w:val="12"/>
                <w:color w:val="auto"/>
              </w:rPr>
              <w:t>Financial liabilities: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Cash Convertible Notes</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195,221</w:t>
            </w:r>
          </w:p>
        </w:tc>
        <w:tc>
          <w:tcPr>
            <w:tcW w:w="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190,762</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190,762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6"/>
                <w:szCs w:val="16"/>
                <w:color w:val="auto"/>
              </w:rPr>
            </w:pPr>
          </w:p>
        </w:tc>
      </w:tr>
      <w:tr>
        <w:trPr>
          <w:trHeight w:val="266"/>
        </w:trPr>
        <w:tc>
          <w:tcPr>
            <w:tcW w:w="4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7"/>
              </w:rPr>
              <w:t>Carrying Value</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0"/>
                <w:szCs w:val="10"/>
                <w:b w:val="1"/>
                <w:bCs w:val="1"/>
                <w:color w:val="auto"/>
              </w:rPr>
              <w:t>Estimated Fair Value</w:t>
            </w:r>
          </w:p>
        </w:tc>
        <w:tc>
          <w:tcPr>
            <w:tcW w:w="8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169"/>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89"/>
              </w:rPr>
              <w:t>Fair Value Measurement Using</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69"/>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5"/>
              </w:rPr>
              <w:t>September 30, 2016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223"/>
              <w:spacing w:after="0"/>
              <w:rPr>
                <w:sz w:val="20"/>
                <w:szCs w:val="20"/>
                <w:color w:val="auto"/>
              </w:rPr>
            </w:pPr>
            <w:r>
              <w:rPr>
                <w:rFonts w:ascii="Arial" w:cs="Arial" w:eastAsia="Arial" w:hAnsi="Arial"/>
                <w:sz w:val="10"/>
                <w:szCs w:val="10"/>
                <w:b w:val="1"/>
                <w:bCs w:val="1"/>
                <w:color w:val="auto"/>
                <w:w w:val="96"/>
              </w:rPr>
              <w:t>September 30, 2016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360"/>
              <w:spacing w:after="0"/>
              <w:rPr>
                <w:sz w:val="20"/>
                <w:szCs w:val="20"/>
                <w:color w:val="auto"/>
              </w:rPr>
            </w:pPr>
            <w:r>
              <w:rPr>
                <w:rFonts w:ascii="Arial" w:cs="Arial" w:eastAsia="Arial" w:hAnsi="Arial"/>
                <w:sz w:val="10"/>
                <w:szCs w:val="10"/>
                <w:b w:val="1"/>
                <w:bCs w:val="1"/>
                <w:color w:val="auto"/>
              </w:rPr>
              <w:t>Level 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3"/>
          </w:tcPr>
          <w:p>
            <w:pPr>
              <w:ind w:left="120"/>
              <w:spacing w:after="0"/>
              <w:rPr>
                <w:sz w:val="20"/>
                <w:szCs w:val="20"/>
                <w:color w:val="auto"/>
              </w:rPr>
            </w:pPr>
            <w:r>
              <w:rPr>
                <w:rFonts w:ascii="Arial" w:cs="Arial" w:eastAsia="Arial" w:hAnsi="Arial"/>
                <w:sz w:val="10"/>
                <w:szCs w:val="10"/>
                <w:b w:val="1"/>
                <w:bCs w:val="1"/>
                <w:color w:val="auto"/>
              </w:rPr>
              <w:t>Level 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0"/>
                <w:szCs w:val="10"/>
                <w:b w:val="1"/>
                <w:bCs w:val="1"/>
                <w:color w:val="auto"/>
              </w:rPr>
              <w:t>Level 3</w:t>
            </w:r>
          </w:p>
        </w:tc>
      </w:tr>
      <w:tr>
        <w:trPr>
          <w:trHeight w:val="251"/>
        </w:trPr>
        <w:tc>
          <w:tcPr>
            <w:tcW w:w="4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i w:val="1"/>
                <w:iCs w:val="1"/>
                <w:color w:val="auto"/>
              </w:rPr>
              <w:t>(in thousands)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r>
      <w:tr>
        <w:trPr>
          <w:trHeight w:val="18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Financial assets:</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1"/>
        </w:trPr>
        <w:tc>
          <w:tcPr>
            <w:tcW w:w="4480" w:type="dxa"/>
            <w:vAlign w:val="bottom"/>
            <w:gridSpan w:val="2"/>
          </w:tcPr>
          <w:p>
            <w:pPr>
              <w:ind w:left="180"/>
              <w:spacing w:after="0"/>
              <w:rPr>
                <w:sz w:val="20"/>
                <w:szCs w:val="20"/>
                <w:color w:val="auto"/>
              </w:rPr>
            </w:pPr>
            <w:r>
              <w:rPr>
                <w:rFonts w:ascii="Arial" w:cs="Arial" w:eastAsia="Arial" w:hAnsi="Arial"/>
                <w:sz w:val="12"/>
                <w:szCs w:val="12"/>
                <w:color w:val="auto"/>
              </w:rPr>
              <w:t>Notes receivable, net</w:t>
            </w:r>
          </w:p>
        </w:tc>
        <w:tc>
          <w:tcPr>
            <w:tcW w:w="180" w:type="dxa"/>
            <w:vAlign w:val="bottom"/>
          </w:tcPr>
          <w:p>
            <w:pPr>
              <w:jc w:val="right"/>
              <w:ind w:right="43"/>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44"/>
              <w:spacing w:after="0"/>
              <w:rPr>
                <w:sz w:val="20"/>
                <w:szCs w:val="20"/>
                <w:color w:val="auto"/>
              </w:rPr>
            </w:pPr>
            <w:r>
              <w:rPr>
                <w:rFonts w:ascii="Arial" w:cs="Arial" w:eastAsia="Arial" w:hAnsi="Arial"/>
                <w:sz w:val="12"/>
                <w:szCs w:val="12"/>
                <w:color w:val="auto"/>
              </w:rPr>
              <w:t>83,065</w:t>
            </w:r>
          </w:p>
        </w:tc>
        <w:tc>
          <w:tcPr>
            <w:tcW w:w="20" w:type="dxa"/>
            <w:vAlign w:val="bottom"/>
          </w:tcPr>
          <w:p>
            <w:pPr>
              <w:spacing w:after="0"/>
              <w:rPr>
                <w:sz w:val="14"/>
                <w:szCs w:val="14"/>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43"/>
              <w:spacing w:after="0"/>
              <w:rPr>
                <w:sz w:val="20"/>
                <w:szCs w:val="20"/>
                <w:color w:val="auto"/>
              </w:rPr>
            </w:pPr>
            <w:r>
              <w:rPr>
                <w:rFonts w:ascii="Arial" w:cs="Arial" w:eastAsia="Arial" w:hAnsi="Arial"/>
                <w:sz w:val="12"/>
                <w:szCs w:val="12"/>
                <w:color w:val="auto"/>
              </w:rPr>
              <w:t>83,065</w:t>
            </w:r>
          </w:p>
        </w:tc>
        <w:tc>
          <w:tcPr>
            <w:tcW w:w="2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3"/>
              <w:spacing w:after="0"/>
              <w:rPr>
                <w:sz w:val="20"/>
                <w:szCs w:val="20"/>
                <w:color w:val="auto"/>
              </w:rPr>
            </w:pPr>
            <w:r>
              <w:rPr>
                <w:rFonts w:ascii="Arial" w:cs="Arial" w:eastAsia="Arial" w:hAnsi="Arial"/>
                <w:sz w:val="12"/>
                <w:szCs w:val="12"/>
                <w:color w:val="auto"/>
              </w:rPr>
              <w:t>83,065</w:t>
            </w:r>
          </w:p>
        </w:tc>
        <w:tc>
          <w:tcPr>
            <w:tcW w:w="40" w:type="dxa"/>
            <w:vAlign w:val="bottom"/>
          </w:tcPr>
          <w:p>
            <w:pPr>
              <w:spacing w:after="0"/>
              <w:rPr>
                <w:sz w:val="14"/>
                <w:szCs w:val="14"/>
                <w:color w:val="auto"/>
              </w:rPr>
            </w:pPr>
          </w:p>
        </w:tc>
      </w:tr>
      <w:tr>
        <w:trPr>
          <w:trHeight w:val="189"/>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Investment in unconsolidated affiliate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37,128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37,128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2"/>
                <w:szCs w:val="12"/>
                <w:color w:val="auto"/>
              </w:rPr>
              <w:t>37,128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81"/>
        </w:trPr>
        <w:tc>
          <w:tcPr>
            <w:tcW w:w="448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Financial liabilities:</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1"/>
        </w:trPr>
        <w:tc>
          <w:tcPr>
            <w:tcW w:w="4480" w:type="dxa"/>
            <w:vAlign w:val="bottom"/>
            <w:gridSpan w:val="2"/>
          </w:tcPr>
          <w:p>
            <w:pPr>
              <w:ind w:left="180"/>
              <w:spacing w:after="0"/>
              <w:rPr>
                <w:sz w:val="20"/>
                <w:szCs w:val="20"/>
                <w:color w:val="auto"/>
              </w:rPr>
            </w:pPr>
            <w:r>
              <w:rPr>
                <w:rFonts w:ascii="Arial" w:cs="Arial" w:eastAsia="Arial" w:hAnsi="Arial"/>
                <w:sz w:val="12"/>
                <w:szCs w:val="12"/>
                <w:color w:val="auto"/>
              </w:rPr>
              <w:t>Cash Convertible Notes</w:t>
            </w:r>
          </w:p>
        </w:tc>
        <w:tc>
          <w:tcPr>
            <w:tcW w:w="180" w:type="dxa"/>
            <w:vAlign w:val="bottom"/>
          </w:tcPr>
          <w:p>
            <w:pPr>
              <w:jc w:val="right"/>
              <w:ind w:right="43"/>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44"/>
              <w:spacing w:after="0"/>
              <w:rPr>
                <w:sz w:val="20"/>
                <w:szCs w:val="20"/>
                <w:color w:val="auto"/>
              </w:rPr>
            </w:pPr>
            <w:r>
              <w:rPr>
                <w:rFonts w:ascii="Arial" w:cs="Arial" w:eastAsia="Arial" w:hAnsi="Arial"/>
                <w:sz w:val="12"/>
                <w:szCs w:val="12"/>
                <w:color w:val="auto"/>
              </w:rPr>
              <w:t>197,954</w:t>
            </w:r>
          </w:p>
        </w:tc>
        <w:tc>
          <w:tcPr>
            <w:tcW w:w="20" w:type="dxa"/>
            <w:vAlign w:val="bottom"/>
          </w:tcPr>
          <w:p>
            <w:pPr>
              <w:spacing w:after="0"/>
              <w:rPr>
                <w:sz w:val="14"/>
                <w:szCs w:val="14"/>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43"/>
              <w:spacing w:after="0"/>
              <w:rPr>
                <w:sz w:val="20"/>
                <w:szCs w:val="20"/>
                <w:color w:val="auto"/>
              </w:rPr>
            </w:pPr>
            <w:r>
              <w:rPr>
                <w:rFonts w:ascii="Arial" w:cs="Arial" w:eastAsia="Arial" w:hAnsi="Arial"/>
                <w:sz w:val="12"/>
                <w:szCs w:val="12"/>
                <w:color w:val="auto"/>
              </w:rPr>
              <w:t>227,332</w:t>
            </w:r>
          </w:p>
        </w:tc>
        <w:tc>
          <w:tcPr>
            <w:tcW w:w="2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227,332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89"/>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Term Loan Facility</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47,965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48,688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48,688</w:t>
            </w:r>
          </w:p>
        </w:tc>
        <w:tc>
          <w:tcPr>
            <w:tcW w:w="40" w:type="dxa"/>
            <w:vAlign w:val="bottom"/>
            <w:shd w:val="clear" w:color="auto" w:fill="CCEEFF"/>
          </w:tcPr>
          <w:p>
            <w:pPr>
              <w:spacing w:after="0"/>
              <w:rPr>
                <w:sz w:val="16"/>
                <w:szCs w:val="16"/>
                <w:color w:val="auto"/>
              </w:rPr>
            </w:pPr>
          </w:p>
        </w:tc>
      </w:tr>
    </w:tbl>
    <w:p>
      <w:pPr>
        <w:spacing w:after="0" w:line="99" w:lineRule="exact"/>
        <w:rPr>
          <w:sz w:val="20"/>
          <w:szCs w:val="20"/>
          <w:color w:val="auto"/>
        </w:rPr>
      </w:pPr>
    </w:p>
    <w:p>
      <w:pPr>
        <w:jc w:val="both"/>
        <w:ind w:right="60"/>
        <w:spacing w:after="0" w:line="340" w:lineRule="auto"/>
        <w:rPr>
          <w:sz w:val="20"/>
          <w:szCs w:val="20"/>
          <w:color w:val="auto"/>
        </w:rPr>
      </w:pPr>
      <w:r>
        <w:rPr>
          <w:rFonts w:ascii="Arial" w:cs="Arial" w:eastAsia="Arial" w:hAnsi="Arial"/>
          <w:sz w:val="10"/>
          <w:szCs w:val="10"/>
          <w:color w:val="auto"/>
        </w:rPr>
        <w:t>Based on the short-term nature of cash and cash equivalents, pawn loans, pawn service charges receivable and current consumer loans, fees and interest receivable, we estimate that their carrying value approximates fair value. We consider our cash and cash equivalents to be measured using Level 1 inputs and our pawn loans, pawn service charges receivable and current consumer loans, fees and interest receivable to be measured using Level 3 inputs. Significant increases or decreases in the underlying assumptions used to value pawn loans, pawn service charges receivable and current consumer loans, fees and interest receivable could significantly increase or decrease these fair value estimates.</w:t>
      </w:r>
    </w:p>
    <w:p>
      <w:pPr>
        <w:spacing w:after="0" w:line="52"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We measured the fair value of the notes receivable under a discounted cash flow approach considering the synthetic credit ratings for Grupo Finmart and Alpha Holding, S.A. de C.V. (“AlphaCredit”), as applicable and as determined with external consultation, with discount rates ranging primarily from 8% to 15%. Certain of the significant inputs used for the valuation were not observable in the market. Significant increases or decreases in the underlying assumptions used to value the notes receivable could significantly increase or decrease these fair value estimates.</w:t>
      </w:r>
    </w:p>
    <w:p>
      <w:pPr>
        <w:spacing w:after="0" w:line="87" w:lineRule="exact"/>
        <w:rPr>
          <w:sz w:val="20"/>
          <w:szCs w:val="20"/>
          <w:color w:val="auto"/>
        </w:rPr>
      </w:pPr>
    </w:p>
    <w:p>
      <w:pPr>
        <w:ind w:right="440"/>
        <w:spacing w:after="0" w:line="263" w:lineRule="auto"/>
        <w:rPr>
          <w:sz w:val="20"/>
          <w:szCs w:val="20"/>
          <w:color w:val="auto"/>
        </w:rPr>
      </w:pPr>
      <w:r>
        <w:rPr>
          <w:rFonts w:ascii="Arial" w:cs="Arial" w:eastAsia="Arial" w:hAnsi="Arial"/>
          <w:sz w:val="12"/>
          <w:szCs w:val="12"/>
          <w:color w:val="auto"/>
        </w:rPr>
        <w:t>The inputs used to generate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128" w:right="199" w:bottom="1440" w:gutter="0" w:footer="0" w:header="0"/>
        </w:sectPr>
      </w:pPr>
    </w:p>
    <w:bookmarkStart w:id="14" w:name="page15"/>
    <w:bookmarkEnd w:id="14"/>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left="8" w:right="40"/>
        <w:spacing w:after="0" w:line="323" w:lineRule="auto"/>
        <w:rPr>
          <w:sz w:val="20"/>
          <w:szCs w:val="20"/>
          <w:color w:val="auto"/>
        </w:rPr>
      </w:pPr>
      <w:r>
        <w:rPr>
          <w:rFonts w:ascii="Arial" w:cs="Arial" w:eastAsia="Arial" w:hAnsi="Arial"/>
          <w:sz w:val="11"/>
          <w:szCs w:val="11"/>
          <w:color w:val="auto"/>
        </w:rPr>
        <w:t>We measured the fair value of the Cash Convertible Notes using quoted price inputs from Bloomberg. The Cash Convertible Notes are not actively traded and thus the price inputs represent a Level 2 measurement. As the Cash Convertible Notes are not actively traded, the quoted price inputs obtained from Bloomberg are highly variable from day to day and thus the fair value estimates disclosed above could significantly increase or decrease.</w:t>
      </w:r>
    </w:p>
    <w:p>
      <w:pPr>
        <w:spacing w:after="0" w:line="56" w:lineRule="exact"/>
        <w:rPr>
          <w:sz w:val="20"/>
          <w:szCs w:val="20"/>
          <w:color w:val="auto"/>
        </w:rPr>
      </w:pPr>
    </w:p>
    <w:p>
      <w:pPr>
        <w:ind w:left="8" w:right="80"/>
        <w:spacing w:after="0" w:line="298" w:lineRule="auto"/>
        <w:rPr>
          <w:sz w:val="20"/>
          <w:szCs w:val="20"/>
          <w:color w:val="auto"/>
        </w:rPr>
      </w:pPr>
      <w:r>
        <w:rPr>
          <w:rFonts w:ascii="Arial" w:cs="Arial" w:eastAsia="Arial" w:hAnsi="Arial"/>
          <w:sz w:val="11"/>
          <w:szCs w:val="11"/>
          <w:color w:val="auto"/>
        </w:rPr>
        <w:t>We measured the fair value of the Term Loan Facility under a discounted cash flow approach considering our synthetic credit rating, including inputs that are not observable in the market, with discount rates up to approximately 9%. A 50 basis point increase or decrease in the calculated credit spread based on our underlying synthetic credit rating would increase or decrease the fair value of our Term Loan Facility by approximately $1.2 million. The fair value of the Term Loan Facility approximated its carrying value, inclusive of issuance costs and exclusive of deferred financing costs, as of September 30, 2016. See Note 5 and Note 10 for additional discussion.</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Notes Receivable from Grupo Finmart Divestiture</w:t>
      </w:r>
    </w:p>
    <w:p>
      <w:pPr>
        <w:spacing w:after="0" w:line="114" w:lineRule="exact"/>
        <w:rPr>
          <w:sz w:val="20"/>
          <w:szCs w:val="20"/>
          <w:color w:val="auto"/>
        </w:rPr>
      </w:pPr>
    </w:p>
    <w:p>
      <w:pPr>
        <w:ind w:left="8" w:right="100"/>
        <w:spacing w:after="0" w:line="259" w:lineRule="auto"/>
        <w:rPr>
          <w:sz w:val="20"/>
          <w:szCs w:val="20"/>
          <w:color w:val="auto"/>
        </w:rPr>
      </w:pPr>
      <w:r>
        <w:rPr>
          <w:rFonts w:ascii="Arial" w:cs="Arial" w:eastAsia="Arial" w:hAnsi="Arial"/>
          <w:sz w:val="12"/>
          <w:szCs w:val="12"/>
          <w:color w:val="auto"/>
        </w:rPr>
        <w:t>Subsequent to the sale of Grupo Finmart in September 2016, we determined that we retained a variable interest in Grupo Finmart, including notes receivable and a guarantee liability of the future cash outflows of certain Grupo Finmart foreign exchange forward contracts with a backup guarantee provided by AlphaCredit for any payments we make under the guarantee. We determined that we are not the primary beneficiary of Grupo Finmart subsequent to its disposition as we lack a controlling financial interest in Grupo Finmart. As of June 30, 2017, we had a total gross outstanding balance on our notes receivable of $67.1 million. We have collected $8.2 million and $23.3 million, respectively, in principal on these notes receivable during the three and nine months ended June 30, 2017.</w:t>
      </w:r>
    </w:p>
    <w:p>
      <w:pPr>
        <w:spacing w:after="0" w:line="8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presents the carrying amount and classification of the assets and liabilities pertaining to our variable interest compared to the maximum exposure to loss for each asset and liability:</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Borders>
              <w:bottom w:val="single" w:sz="8" w:color="auto"/>
            </w:tcBorders>
            <w:gridSpan w:val="3"/>
          </w:tcPr>
          <w:p>
            <w:pPr>
              <w:ind w:left="1060"/>
              <w:spacing w:after="0"/>
              <w:rPr>
                <w:sz w:val="20"/>
                <w:szCs w:val="20"/>
                <w:color w:val="auto"/>
              </w:rPr>
            </w:pPr>
            <w:r>
              <w:rPr>
                <w:rFonts w:ascii="Arial" w:cs="Arial" w:eastAsia="Arial" w:hAnsi="Arial"/>
                <w:sz w:val="10"/>
                <w:szCs w:val="10"/>
                <w:b w:val="1"/>
                <w:bCs w:val="1"/>
                <w:color w:val="auto"/>
              </w:rPr>
              <w:t>June 30, 2017</w:t>
            </w:r>
          </w:p>
        </w:tc>
        <w:tc>
          <w:tcPr>
            <w:tcW w:w="120" w:type="dxa"/>
            <w:vAlign w:val="bottom"/>
          </w:tcPr>
          <w:p>
            <w:pPr>
              <w:spacing w:after="0"/>
              <w:rPr>
                <w:sz w:val="11"/>
                <w:szCs w:val="11"/>
                <w:color w:val="auto"/>
              </w:rPr>
            </w:pPr>
          </w:p>
        </w:tc>
        <w:tc>
          <w:tcPr>
            <w:tcW w:w="2600" w:type="dxa"/>
            <w:vAlign w:val="bottom"/>
            <w:tcBorders>
              <w:bottom w:val="single" w:sz="8" w:color="auto"/>
            </w:tcBorders>
            <w:gridSpan w:val="3"/>
          </w:tcPr>
          <w:p>
            <w:pPr>
              <w:ind w:left="900"/>
              <w:spacing w:after="0"/>
              <w:rPr>
                <w:sz w:val="20"/>
                <w:szCs w:val="20"/>
                <w:color w:val="auto"/>
              </w:rPr>
            </w:pPr>
            <w:r>
              <w:rPr>
                <w:rFonts w:ascii="Arial" w:cs="Arial" w:eastAsia="Arial" w:hAnsi="Arial"/>
                <w:sz w:val="10"/>
                <w:szCs w:val="10"/>
                <w:b w:val="1"/>
                <w:bCs w:val="1"/>
                <w:color w:val="auto"/>
              </w:rPr>
              <w:t>September 30, 2016</w:t>
            </w:r>
          </w:p>
        </w:tc>
        <w:tc>
          <w:tcPr>
            <w:tcW w:w="0" w:type="dxa"/>
            <w:vAlign w:val="bottom"/>
          </w:tcPr>
          <w:p>
            <w:pPr>
              <w:spacing w:after="0"/>
              <w:rPr>
                <w:sz w:val="1"/>
                <w:szCs w:val="1"/>
                <w:color w:val="auto"/>
              </w:rPr>
            </w:pPr>
          </w:p>
        </w:tc>
      </w:tr>
      <w:tr>
        <w:trPr>
          <w:trHeight w:val="96"/>
        </w:trPr>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7"/>
              </w:rPr>
              <w:t>Asset (Liability) Recorded in</w:t>
            </w:r>
          </w:p>
        </w:tc>
        <w:tc>
          <w:tcPr>
            <w:tcW w:w="14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w w:val="99"/>
              </w:rPr>
              <w:t>Maximum Exposure to Loss</w:t>
            </w:r>
          </w:p>
        </w:tc>
        <w:tc>
          <w:tcPr>
            <w:tcW w:w="136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87"/>
              </w:rPr>
              <w:t>Asset (Liability) Recorded in</w:t>
            </w:r>
          </w:p>
        </w:tc>
        <w:tc>
          <w:tcPr>
            <w:tcW w:w="1240" w:type="dxa"/>
            <w:vAlign w:val="bottom"/>
            <w:vMerge w:val="restart"/>
          </w:tcPr>
          <w:p>
            <w:pPr>
              <w:ind w:left="40"/>
              <w:spacing w:after="0"/>
              <w:rPr>
                <w:sz w:val="20"/>
                <w:szCs w:val="20"/>
                <w:color w:val="auto"/>
              </w:rPr>
            </w:pPr>
            <w:r>
              <w:rPr>
                <w:rFonts w:ascii="Arial" w:cs="Arial" w:eastAsia="Arial" w:hAnsi="Arial"/>
                <w:sz w:val="10"/>
                <w:szCs w:val="10"/>
                <w:b w:val="1"/>
                <w:bCs w:val="1"/>
                <w:color w:val="auto"/>
                <w:w w:val="88"/>
              </w:rPr>
              <w:t>Maximum Exposure to Loss</w:t>
            </w:r>
          </w:p>
        </w:tc>
        <w:tc>
          <w:tcPr>
            <w:tcW w:w="0" w:type="dxa"/>
            <w:vAlign w:val="bottom"/>
          </w:tcPr>
          <w:p>
            <w:pPr>
              <w:spacing w:after="0"/>
              <w:rPr>
                <w:sz w:val="1"/>
                <w:szCs w:val="1"/>
                <w:color w:val="auto"/>
              </w:rPr>
            </w:pPr>
          </w:p>
        </w:tc>
      </w:tr>
      <w:tr>
        <w:trPr>
          <w:trHeight w:val="70"/>
        </w:trPr>
        <w:tc>
          <w:tcPr>
            <w:tcW w:w="17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Instrument</w:t>
            </w:r>
          </w:p>
        </w:tc>
        <w:tc>
          <w:tcPr>
            <w:tcW w:w="120" w:type="dxa"/>
            <w:vAlign w:val="bottom"/>
            <w:vMerge w:val="restart"/>
          </w:tcPr>
          <w:p>
            <w:pPr>
              <w:spacing w:after="0"/>
              <w:rPr>
                <w:sz w:val="6"/>
                <w:szCs w:val="6"/>
                <w:color w:val="auto"/>
              </w:rPr>
            </w:pPr>
          </w:p>
        </w:tc>
        <w:tc>
          <w:tcPr>
            <w:tcW w:w="41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Balance Sheet Location</w:t>
            </w:r>
          </w:p>
        </w:tc>
        <w:tc>
          <w:tcPr>
            <w:tcW w:w="120" w:type="dxa"/>
            <w:vAlign w:val="bottom"/>
            <w:vMerge w:val="restart"/>
          </w:tcPr>
          <w:p>
            <w:pPr>
              <w:spacing w:after="0"/>
              <w:rPr>
                <w:sz w:val="6"/>
                <w:szCs w:val="6"/>
                <w:color w:val="auto"/>
              </w:rPr>
            </w:pPr>
          </w:p>
        </w:tc>
        <w:tc>
          <w:tcPr>
            <w:tcW w:w="12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4"/>
              </w:rPr>
              <w:t>Consolidated Balance Sheet</w:t>
            </w:r>
          </w:p>
        </w:tc>
        <w:tc>
          <w:tcPr>
            <w:tcW w:w="120" w:type="dxa"/>
            <w:vAlign w:val="bottom"/>
            <w:vMerge w:val="restart"/>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2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3"/>
              </w:rPr>
              <w:t>Consolidated Balance Sheet</w:t>
            </w:r>
          </w:p>
        </w:tc>
        <w:tc>
          <w:tcPr>
            <w:tcW w:w="120" w:type="dxa"/>
            <w:vAlign w:val="bottom"/>
            <w:vMerge w:val="restart"/>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7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41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29234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205740"/>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p>
      <w:pPr>
        <w:spacing w:after="0" w:line="342" w:lineRule="exact"/>
        <w:rPr>
          <w:sz w:val="20"/>
          <w:szCs w:val="20"/>
          <w:color w:val="auto"/>
        </w:rPr>
      </w:pPr>
    </w:p>
    <w:p>
      <w:pPr>
        <w:ind w:left="28"/>
        <w:spacing w:after="0"/>
        <w:rPr>
          <w:sz w:val="20"/>
          <w:szCs w:val="20"/>
          <w:color w:val="auto"/>
        </w:rPr>
      </w:pPr>
      <w:r>
        <w:rPr>
          <w:rFonts w:ascii="Arial" w:cs="Arial" w:eastAsia="Arial" w:hAnsi="Arial"/>
          <w:sz w:val="12"/>
          <w:szCs w:val="12"/>
          <w:color w:val="auto"/>
        </w:rPr>
        <w:t>Notes receivable</w:t>
      </w:r>
    </w:p>
    <w:p>
      <w:pPr>
        <w:spacing w:after="0" w:line="114" w:lineRule="exact"/>
        <w:rPr>
          <w:sz w:val="20"/>
          <w:szCs w:val="20"/>
          <w:color w:val="auto"/>
        </w:rPr>
      </w:pPr>
    </w:p>
    <w:p>
      <w:pPr>
        <w:ind w:left="28"/>
        <w:spacing w:after="0"/>
        <w:rPr>
          <w:sz w:val="20"/>
          <w:szCs w:val="20"/>
          <w:color w:val="auto"/>
        </w:rPr>
      </w:pPr>
      <w:r>
        <w:rPr>
          <w:rFonts w:ascii="Arial" w:cs="Arial" w:eastAsia="Arial" w:hAnsi="Arial"/>
          <w:sz w:val="12"/>
          <w:szCs w:val="12"/>
          <w:color w:val="auto"/>
        </w:rPr>
        <w:t>Guarantee asset</w:t>
      </w:r>
    </w:p>
    <w:p>
      <w:pPr>
        <w:spacing w:after="0" w:line="42" w:lineRule="exact"/>
        <w:rPr>
          <w:sz w:val="20"/>
          <w:szCs w:val="20"/>
          <w:color w:val="auto"/>
        </w:rPr>
      </w:pPr>
    </w:p>
    <w:p>
      <w:pPr>
        <w:ind w:left="28"/>
        <w:spacing w:after="0"/>
        <w:rPr>
          <w:sz w:val="20"/>
          <w:szCs w:val="20"/>
          <w:color w:val="auto"/>
        </w:rPr>
      </w:pPr>
      <w:r>
        <w:rPr>
          <w:rFonts w:ascii="Arial" w:cs="Arial" w:eastAsia="Arial" w:hAnsi="Arial"/>
          <w:sz w:val="11"/>
          <w:szCs w:val="11"/>
          <w:color w:val="auto"/>
        </w:rPr>
        <w:t>Guarantee liability*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4160" w:type="dxa"/>
            <w:vAlign w:val="bottom"/>
          </w:tcPr>
          <w:p>
            <w:pPr>
              <w:spacing w:after="0"/>
              <w:rPr>
                <w:sz w:val="20"/>
                <w:szCs w:val="20"/>
                <w:color w:val="auto"/>
              </w:rPr>
            </w:pPr>
            <w:r>
              <w:rPr>
                <w:rFonts w:ascii="Arial" w:cs="Arial" w:eastAsia="Arial" w:hAnsi="Arial"/>
                <w:sz w:val="12"/>
                <w:szCs w:val="12"/>
                <w:color w:val="auto"/>
                <w:w w:val="94"/>
              </w:rPr>
              <w:t>Notes receivable, net (including discount of $3.8 million and $6.7 million as of June</w:t>
            </w: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30, 2017 and September 30, 2016, respectively)</w:t>
            </w:r>
          </w:p>
        </w:tc>
        <w:tc>
          <w:tcPr>
            <w:tcW w:w="5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63,277</w:t>
            </w:r>
          </w:p>
        </w:tc>
        <w:tc>
          <w:tcPr>
            <w:tcW w:w="54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63,277</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83,065</w:t>
            </w:r>
          </w:p>
        </w:tc>
        <w:tc>
          <w:tcPr>
            <w:tcW w:w="5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83,065</w:t>
            </w:r>
          </w:p>
        </w:tc>
      </w:tr>
      <w:tr>
        <w:trPr>
          <w:trHeight w:val="180"/>
        </w:trPr>
        <w:tc>
          <w:tcPr>
            <w:tcW w:w="4160" w:type="dxa"/>
            <w:vAlign w:val="bottom"/>
          </w:tcPr>
          <w:p>
            <w:pPr>
              <w:spacing w:after="0"/>
              <w:rPr>
                <w:sz w:val="20"/>
                <w:szCs w:val="20"/>
                <w:color w:val="auto"/>
              </w:rPr>
            </w:pPr>
            <w:r>
              <w:rPr>
                <w:rFonts w:ascii="Arial" w:cs="Arial" w:eastAsia="Arial" w:hAnsi="Arial"/>
                <w:sz w:val="12"/>
                <w:szCs w:val="12"/>
                <w:color w:val="auto"/>
              </w:rPr>
              <w:t>Prepaid expenses and other current assets</w:t>
            </w:r>
          </w:p>
        </w:tc>
        <w:tc>
          <w:tcPr>
            <w:tcW w:w="520" w:type="dxa"/>
            <w:vAlign w:val="bottom"/>
          </w:tcPr>
          <w:p>
            <w:pPr>
              <w:spacing w:after="0"/>
              <w:rPr>
                <w:sz w:val="15"/>
                <w:szCs w:val="15"/>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298</w:t>
            </w:r>
          </w:p>
        </w:tc>
        <w:tc>
          <w:tcPr>
            <w:tcW w:w="540" w:type="dxa"/>
            <w:vAlign w:val="bottom"/>
          </w:tcPr>
          <w:p>
            <w:pPr>
              <w:spacing w:after="0"/>
              <w:rPr>
                <w:sz w:val="15"/>
                <w:szCs w:val="15"/>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1,209</w:t>
            </w:r>
          </w:p>
        </w:tc>
        <w:tc>
          <w:tcPr>
            <w:tcW w:w="5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4160" w:type="dxa"/>
            <w:vAlign w:val="bottom"/>
          </w:tcPr>
          <w:p>
            <w:pPr>
              <w:spacing w:after="0"/>
              <w:rPr>
                <w:sz w:val="20"/>
                <w:szCs w:val="20"/>
                <w:color w:val="auto"/>
              </w:rPr>
            </w:pPr>
            <w:r>
              <w:rPr>
                <w:rFonts w:ascii="Arial" w:cs="Arial" w:eastAsia="Arial" w:hAnsi="Arial"/>
                <w:sz w:val="12"/>
                <w:szCs w:val="12"/>
                <w:color w:val="auto"/>
              </w:rPr>
              <w:t>Accounts payable, accrued expenses and other current liabilities</w:t>
            </w:r>
          </w:p>
        </w:tc>
        <w:tc>
          <w:tcPr>
            <w:tcW w:w="52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(310)</w:t>
            </w:r>
          </w:p>
        </w:tc>
        <w:tc>
          <w:tcPr>
            <w:tcW w:w="540" w:type="dxa"/>
            <w:vAlign w:val="bottom"/>
          </w:tcPr>
          <w:p>
            <w:pPr>
              <w:spacing w:after="0"/>
              <w:rPr>
                <w:sz w:val="15"/>
                <w:szCs w:val="15"/>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5"/>
                <w:szCs w:val="15"/>
                <w:color w:val="auto"/>
              </w:rPr>
            </w:pPr>
          </w:p>
        </w:tc>
        <w:tc>
          <w:tcPr>
            <w:tcW w:w="840" w:type="dxa"/>
            <w:vAlign w:val="bottom"/>
          </w:tcPr>
          <w:p>
            <w:pPr>
              <w:jc w:val="right"/>
              <w:ind w:right="40"/>
              <w:spacing w:after="0"/>
              <w:rPr>
                <w:sz w:val="20"/>
                <w:szCs w:val="20"/>
                <w:color w:val="auto"/>
              </w:rPr>
            </w:pPr>
            <w:r>
              <w:rPr>
                <w:rFonts w:ascii="Arial" w:cs="Arial" w:eastAsia="Arial" w:hAnsi="Arial"/>
                <w:sz w:val="12"/>
                <w:szCs w:val="12"/>
                <w:color w:val="auto"/>
              </w:rPr>
              <w:t>(1,258)</w:t>
            </w:r>
          </w:p>
        </w:tc>
        <w:tc>
          <w:tcPr>
            <w:tcW w:w="5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-1185545</wp:posOffset>
            </wp:positionH>
            <wp:positionV relativeFrom="paragraph">
              <wp:posOffset>-102235</wp:posOffset>
            </wp:positionV>
            <wp:extent cx="7292340"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1148" w:space="720"/>
            <w:col w:w="9620"/>
          </w:cols>
          <w:pgMar w:left="212" w:top="128" w:right="199" w:bottom="1440" w:gutter="0" w:footer="0" w:header="0"/>
          <w:type w:val="continuous"/>
        </w:sectPr>
      </w:pPr>
    </w:p>
    <w:p>
      <w:pPr>
        <w:ind w:left="208" w:right="380" w:hanging="208"/>
        <w:spacing w:after="0" w:line="239" w:lineRule="auto"/>
        <w:tabs>
          <w:tab w:leader="none" w:pos="208" w:val="left"/>
        </w:tabs>
        <w:numPr>
          <w:ilvl w:val="0"/>
          <w:numId w:val="9"/>
        </w:numPr>
        <w:rPr>
          <w:rFonts w:ascii="Arial" w:cs="Arial" w:eastAsia="Arial" w:hAnsi="Arial"/>
          <w:sz w:val="10"/>
          <w:szCs w:val="10"/>
          <w:color w:val="auto"/>
        </w:rPr>
      </w:pPr>
      <w:r>
        <w:rPr>
          <w:rFonts w:ascii="Arial" w:cs="Arial" w:eastAsia="Arial" w:hAnsi="Arial"/>
          <w:sz w:val="10"/>
          <w:szCs w:val="10"/>
          <w:color w:val="auto"/>
        </w:rPr>
        <w:t>Maximum exposure to loss under the guarantee liability was $6.2 million and $25.3 million as of June 30, 2017 and September 30, 2016, respectively. However such amount is included within the maximum exposure to loss for the notes receivable above, as the guarantee liability is a guarantee by us of Grupo Finmart’s repayment of our notes receivable owed by Grupo Finmart. See discussion of repayment subsequent to June 30, 2017 in Note 10.</w:t>
      </w:r>
    </w:p>
    <w:p>
      <w:pPr>
        <w:spacing w:after="0" w:line="1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8"/>
          </w:cols>
          <w:pgMar w:left="212" w:top="128" w:right="199" w:bottom="1440" w:gutter="0" w:footer="0" w:header="0"/>
          <w:type w:val="continuous"/>
        </w:sectPr>
      </w:pPr>
    </w:p>
    <w:bookmarkStart w:id="15" w:name="page16"/>
    <w:bookmarkEnd w:id="15"/>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5: LONG-TERM DEBT</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tables present our long-term debt instruments outstanding as well as future principal payments due, exclusive of amounts attributable to Grupo Finmart:</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1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86"/>
              </w:rPr>
              <w:t>June 30, 2017</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6"/>
              </w:rPr>
              <w:t>June 30, 2016</w:t>
            </w: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7"/>
              </w:rPr>
              <w:t>September 30, 2016</w:t>
            </w: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96"/>
        </w:trPr>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40"/>
              <w:spacing w:after="0" w:line="96" w:lineRule="exact"/>
              <w:rPr>
                <w:sz w:val="20"/>
                <w:szCs w:val="20"/>
                <w:color w:val="auto"/>
              </w:rPr>
            </w:pPr>
            <w:r>
              <w:rPr>
                <w:rFonts w:ascii="Arial" w:cs="Arial" w:eastAsia="Arial" w:hAnsi="Arial"/>
                <w:sz w:val="10"/>
                <w:szCs w:val="10"/>
                <w:b w:val="1"/>
                <w:bCs w:val="1"/>
                <w:color w:val="auto"/>
                <w:w w:val="85"/>
              </w:rPr>
              <w:t>Debt Discount and</w:t>
            </w: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220"/>
              <w:spacing w:after="0" w:line="96" w:lineRule="exact"/>
              <w:rPr>
                <w:sz w:val="20"/>
                <w:szCs w:val="20"/>
                <w:color w:val="auto"/>
              </w:rPr>
            </w:pPr>
            <w:r>
              <w:rPr>
                <w:rFonts w:ascii="Arial" w:cs="Arial" w:eastAsia="Arial" w:hAnsi="Arial"/>
                <w:sz w:val="10"/>
                <w:szCs w:val="10"/>
                <w:b w:val="1"/>
                <w:bCs w:val="1"/>
                <w:color w:val="auto"/>
                <w:w w:val="85"/>
              </w:rPr>
              <w:t>Debt Discount and</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tcPr>
          <w:p>
            <w:pPr>
              <w:jc w:val="center"/>
              <w:ind w:right="200"/>
              <w:spacing w:after="0" w:line="96" w:lineRule="exact"/>
              <w:rPr>
                <w:sz w:val="20"/>
                <w:szCs w:val="20"/>
                <w:color w:val="auto"/>
              </w:rPr>
            </w:pPr>
            <w:r>
              <w:rPr>
                <w:rFonts w:ascii="Arial" w:cs="Arial" w:eastAsia="Arial" w:hAnsi="Arial"/>
                <w:sz w:val="10"/>
                <w:szCs w:val="10"/>
                <w:b w:val="1"/>
                <w:bCs w:val="1"/>
                <w:color w:val="auto"/>
                <w:w w:val="85"/>
              </w:rPr>
              <w:t>Debt Discount and</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128"/>
        </w:trPr>
        <w:tc>
          <w:tcPr>
            <w:tcW w:w="1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w w:val="94"/>
              </w:rPr>
              <w:t>Gross Amount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69"/>
              <w:spacing w:after="0"/>
              <w:rPr>
                <w:sz w:val="20"/>
                <w:szCs w:val="20"/>
                <w:color w:val="auto"/>
              </w:rPr>
            </w:pPr>
            <w:r>
              <w:rPr>
                <w:rFonts w:ascii="Arial" w:cs="Arial" w:eastAsia="Arial" w:hAnsi="Arial"/>
                <w:sz w:val="10"/>
                <w:szCs w:val="10"/>
                <w:b w:val="1"/>
                <w:bCs w:val="1"/>
                <w:color w:val="auto"/>
                <w:w w:val="81"/>
              </w:rPr>
              <w:t>Issuance Costs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0"/>
                <w:szCs w:val="10"/>
                <w:b w:val="1"/>
                <w:bCs w:val="1"/>
                <w:color w:val="auto"/>
                <w:w w:val="92"/>
              </w:rPr>
              <w:t>Carrying Amount</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87"/>
              <w:spacing w:after="0"/>
              <w:rPr>
                <w:sz w:val="20"/>
                <w:szCs w:val="20"/>
                <w:color w:val="auto"/>
              </w:rPr>
            </w:pPr>
            <w:r>
              <w:rPr>
                <w:rFonts w:ascii="Arial" w:cs="Arial" w:eastAsia="Arial" w:hAnsi="Arial"/>
                <w:sz w:val="10"/>
                <w:szCs w:val="10"/>
                <w:b w:val="1"/>
                <w:bCs w:val="1"/>
                <w:color w:val="auto"/>
                <w:w w:val="92"/>
              </w:rPr>
              <w:t>Gross Amount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9"/>
              <w:spacing w:after="0"/>
              <w:rPr>
                <w:sz w:val="20"/>
                <w:szCs w:val="20"/>
                <w:color w:val="auto"/>
              </w:rPr>
            </w:pPr>
            <w:r>
              <w:rPr>
                <w:rFonts w:ascii="Arial" w:cs="Arial" w:eastAsia="Arial" w:hAnsi="Arial"/>
                <w:sz w:val="10"/>
                <w:szCs w:val="10"/>
                <w:b w:val="1"/>
                <w:bCs w:val="1"/>
                <w:color w:val="auto"/>
                <w:w w:val="81"/>
              </w:rPr>
              <w:t>Issuance Costs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92"/>
              </w:rPr>
              <w:t>Carrying Amount</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w w:val="94"/>
              </w:rPr>
              <w:t>Gross Amount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9"/>
              <w:spacing w:after="0"/>
              <w:rPr>
                <w:sz w:val="20"/>
                <w:szCs w:val="20"/>
                <w:color w:val="auto"/>
              </w:rPr>
            </w:pPr>
            <w:r>
              <w:rPr>
                <w:rFonts w:ascii="Arial" w:cs="Arial" w:eastAsia="Arial" w:hAnsi="Arial"/>
                <w:sz w:val="10"/>
                <w:szCs w:val="10"/>
                <w:b w:val="1"/>
                <w:bCs w:val="1"/>
                <w:color w:val="auto"/>
                <w:w w:val="81"/>
              </w:rPr>
              <w:t>Issuance Costs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92"/>
              </w:rPr>
              <w:t>Carrying Amount</w:t>
            </w:r>
          </w:p>
        </w:tc>
      </w:tr>
      <w:tr>
        <w:trPr>
          <w:trHeight w:val="250"/>
        </w:trPr>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152"/>
        </w:trPr>
        <w:tc>
          <w:tcPr>
            <w:tcW w:w="12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9"/>
              </w:rPr>
              <w:t>2.125% Cash convertible</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38"/>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senior notes due 2019</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230,000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1"/>
                <w:szCs w:val="11"/>
                <w:color w:val="auto"/>
              </w:rPr>
              <w:t>(23,721)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206,279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230,000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1"/>
                <w:szCs w:val="11"/>
                <w:color w:val="auto"/>
              </w:rPr>
              <w:t>(34,779)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195,221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230,000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1"/>
                <w:szCs w:val="11"/>
                <w:color w:val="auto"/>
              </w:rPr>
              <w:t>(32,046)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197,954</w:t>
            </w:r>
          </w:p>
        </w:tc>
      </w:tr>
      <w:tr>
        <w:trPr>
          <w:trHeight w:val="148"/>
        </w:trPr>
        <w:tc>
          <w:tcPr>
            <w:tcW w:w="1260" w:type="dxa"/>
            <w:vAlign w:val="bottom"/>
          </w:tcPr>
          <w:p>
            <w:pPr>
              <w:ind w:left="20"/>
              <w:spacing w:after="0"/>
              <w:rPr>
                <w:sz w:val="20"/>
                <w:szCs w:val="20"/>
                <w:color w:val="auto"/>
              </w:rPr>
            </w:pPr>
            <w:r>
              <w:rPr>
                <w:rFonts w:ascii="Arial" w:cs="Arial" w:eastAsia="Arial" w:hAnsi="Arial"/>
                <w:sz w:val="11"/>
                <w:szCs w:val="11"/>
                <w:color w:val="auto"/>
              </w:rPr>
              <w:t>Cash convertible senior</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5"/>
        </w:trPr>
        <w:tc>
          <w:tcPr>
            <w:tcW w:w="1260" w:type="dxa"/>
            <w:vAlign w:val="bottom"/>
          </w:tcPr>
          <w:p>
            <w:pPr>
              <w:ind w:left="20"/>
              <w:spacing w:after="0"/>
              <w:rPr>
                <w:sz w:val="20"/>
                <w:szCs w:val="20"/>
                <w:color w:val="auto"/>
              </w:rPr>
            </w:pPr>
            <w:r>
              <w:rPr>
                <w:rFonts w:ascii="Arial" w:cs="Arial" w:eastAsia="Arial" w:hAnsi="Arial"/>
                <w:sz w:val="11"/>
                <w:szCs w:val="11"/>
                <w:color w:val="auto"/>
                <w:w w:val="93"/>
              </w:rPr>
              <w:t>notes due 2019 embedded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6"/>
        </w:trPr>
        <w:tc>
          <w:tcPr>
            <w:tcW w:w="1260" w:type="dxa"/>
            <w:vAlign w:val="bottom"/>
          </w:tcPr>
          <w:p>
            <w:pPr>
              <w:ind w:left="20"/>
              <w:spacing w:after="0"/>
              <w:rPr>
                <w:sz w:val="20"/>
                <w:szCs w:val="20"/>
                <w:color w:val="auto"/>
              </w:rPr>
            </w:pPr>
            <w:r>
              <w:rPr>
                <w:rFonts w:ascii="Arial" w:cs="Arial" w:eastAsia="Arial" w:hAnsi="Arial"/>
                <w:sz w:val="11"/>
                <w:szCs w:val="11"/>
                <w:color w:val="auto"/>
              </w:rPr>
              <w:t>derivative</w:t>
            </w:r>
          </w:p>
        </w:tc>
        <w:tc>
          <w:tcPr>
            <w:tcW w:w="140" w:type="dxa"/>
            <w:vAlign w:val="bottom"/>
          </w:tcPr>
          <w:p>
            <w:pPr>
              <w:spacing w:after="0"/>
              <w:rPr>
                <w:sz w:val="11"/>
                <w:szCs w:val="11"/>
                <w:color w:val="auto"/>
              </w:rPr>
            </w:pPr>
          </w:p>
        </w:tc>
        <w:tc>
          <w:tcPr>
            <w:tcW w:w="900" w:type="dxa"/>
            <w:vAlign w:val="bottom"/>
          </w:tcPr>
          <w:p>
            <w:pPr>
              <w:jc w:val="right"/>
              <w:ind w:right="67"/>
              <w:spacing w:after="0"/>
              <w:rPr>
                <w:sz w:val="20"/>
                <w:szCs w:val="20"/>
                <w:color w:val="auto"/>
              </w:rPr>
            </w:pPr>
            <w:r>
              <w:rPr>
                <w:rFonts w:ascii="Arial" w:cs="Arial" w:eastAsia="Arial" w:hAnsi="Arial"/>
                <w:sz w:val="11"/>
                <w:szCs w:val="11"/>
                <w:color w:val="auto"/>
              </w:rPr>
              <w:t>5,900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tcPr>
          <w:p>
            <w:pPr>
              <w:jc w:val="right"/>
              <w:ind w:right="67"/>
              <w:spacing w:after="0"/>
              <w:rPr>
                <w:sz w:val="20"/>
                <w:szCs w:val="20"/>
                <w:color w:val="auto"/>
              </w:rPr>
            </w:pPr>
            <w:r>
              <w:rPr>
                <w:rFonts w:ascii="Arial" w:cs="Arial" w:eastAsia="Arial" w:hAnsi="Arial"/>
                <w:sz w:val="11"/>
                <w:szCs w:val="11"/>
                <w:color w:val="auto"/>
              </w:rPr>
              <w:t>5,900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67"/>
              <w:spacing w:after="0"/>
              <w:rPr>
                <w:sz w:val="20"/>
                <w:szCs w:val="20"/>
                <w:color w:val="auto"/>
              </w:rPr>
            </w:pPr>
            <w:r>
              <w:rPr>
                <w:rFonts w:ascii="Arial" w:cs="Arial" w:eastAsia="Arial" w:hAnsi="Arial"/>
                <w:sz w:val="11"/>
                <w:szCs w:val="11"/>
                <w:color w:val="auto"/>
              </w:rPr>
              <w:t>16,200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tcPr>
          <w:p>
            <w:pPr>
              <w:jc w:val="right"/>
              <w:ind w:right="47"/>
              <w:spacing w:after="0"/>
              <w:rPr>
                <w:sz w:val="20"/>
                <w:szCs w:val="20"/>
                <w:color w:val="auto"/>
              </w:rPr>
            </w:pPr>
            <w:r>
              <w:rPr>
                <w:rFonts w:ascii="Arial" w:cs="Arial" w:eastAsia="Arial" w:hAnsi="Arial"/>
                <w:sz w:val="11"/>
                <w:szCs w:val="11"/>
                <w:color w:val="auto"/>
              </w:rPr>
              <w:t>16,200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Arial" w:cs="Arial" w:eastAsia="Arial" w:hAnsi="Arial"/>
                <w:sz w:val="11"/>
                <w:szCs w:val="11"/>
                <w:color w:val="auto"/>
              </w:rPr>
              <w:t>37,692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37,692</w:t>
            </w:r>
          </w:p>
        </w:tc>
      </w:tr>
      <w:tr>
        <w:trPr>
          <w:trHeight w:val="22"/>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0"/>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Term loan facility</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50,000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1"/>
                <w:szCs w:val="11"/>
                <w:color w:val="auto"/>
              </w:rPr>
              <w:t>(1,765)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48,235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50,000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1"/>
                <w:szCs w:val="11"/>
                <w:color w:val="auto"/>
              </w:rPr>
              <w:t>(2,035)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47,965</w:t>
            </w:r>
          </w:p>
        </w:tc>
      </w:tr>
      <w:tr>
        <w:trPr>
          <w:trHeight w:val="138"/>
        </w:trPr>
        <w:tc>
          <w:tcPr>
            <w:tcW w:w="1260" w:type="dxa"/>
            <w:vAlign w:val="bottom"/>
          </w:tcPr>
          <w:p>
            <w:pPr>
              <w:spacing w:after="0"/>
              <w:rPr>
                <w:sz w:val="12"/>
                <w:szCs w:val="12"/>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285,900</w:t>
            </w: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tcPr>
          <w:p>
            <w:pPr>
              <w:jc w:val="right"/>
              <w:ind w:right="29"/>
              <w:spacing w:after="0"/>
              <w:rPr>
                <w:sz w:val="20"/>
                <w:szCs w:val="20"/>
                <w:color w:val="auto"/>
              </w:rPr>
            </w:pPr>
            <w:r>
              <w:rPr>
                <w:rFonts w:ascii="Arial" w:cs="Arial" w:eastAsia="Arial" w:hAnsi="Arial"/>
                <w:sz w:val="11"/>
                <w:szCs w:val="11"/>
                <w:color w:val="auto"/>
              </w:rPr>
              <w:t>(25,486)</w:t>
            </w: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260,414</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246,200</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1"/>
                <w:szCs w:val="11"/>
                <w:color w:val="auto"/>
              </w:rPr>
              <w:t>(34,779)</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211,421</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317,692</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1"/>
                <w:szCs w:val="11"/>
                <w:color w:val="auto"/>
              </w:rPr>
              <w:t>(34,081)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283,611</w:t>
            </w:r>
          </w:p>
        </w:tc>
      </w:tr>
      <w:tr>
        <w:trPr>
          <w:trHeight w:val="29"/>
        </w:trPr>
        <w:tc>
          <w:tcPr>
            <w:tcW w:w="1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86"/>
              </w:rPr>
              <w:t>Principal Payment Schedule</w:t>
            </w: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69"/>
        </w:trPr>
        <w:tc>
          <w:tcPr>
            <w:tcW w:w="47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Total</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Less Than 1 Year</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5"/>
              <w:spacing w:after="0"/>
              <w:rPr>
                <w:sz w:val="20"/>
                <w:szCs w:val="20"/>
                <w:color w:val="auto"/>
              </w:rPr>
            </w:pPr>
            <w:r>
              <w:rPr>
                <w:rFonts w:ascii="Arial" w:cs="Arial" w:eastAsia="Arial" w:hAnsi="Arial"/>
                <w:sz w:val="10"/>
                <w:szCs w:val="10"/>
                <w:b w:val="1"/>
                <w:bCs w:val="1"/>
                <w:color w:val="auto"/>
                <w:w w:val="83"/>
              </w:rPr>
              <w:t>1 - 3 Years</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3 - 5 Years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w w:val="94"/>
              </w:rPr>
              <w:t>More Than 5 Years</w:t>
            </w:r>
          </w:p>
        </w:tc>
      </w:tr>
      <w:tr>
        <w:trPr>
          <w:trHeight w:val="250"/>
        </w:trPr>
        <w:tc>
          <w:tcPr>
            <w:tcW w:w="4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0"/>
                <w:szCs w:val="10"/>
                <w:i w:val="1"/>
                <w:iCs w:val="1"/>
                <w:color w:val="auto"/>
                <w:w w:val="88"/>
              </w:rPr>
              <w:t>(in thousands)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2.125% Cash convertible senior notes due 2019 (a) (b)</w:t>
            </w:r>
          </w:p>
        </w:tc>
        <w:tc>
          <w:tcPr>
            <w:tcW w:w="760" w:type="dxa"/>
            <w:vAlign w:val="bottom"/>
            <w:shd w:val="clear" w:color="auto" w:fill="CCEEFF"/>
          </w:tcPr>
          <w:p>
            <w:pPr>
              <w:jc w:val="right"/>
              <w:ind w:right="62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7"/>
              </w:rPr>
              <w:t>230,000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84"/>
              <w:spacing w:after="0"/>
              <w:rPr>
                <w:sz w:val="20"/>
                <w:szCs w:val="20"/>
                <w:color w:val="auto"/>
              </w:rPr>
            </w:pPr>
            <w:r>
              <w:rPr>
                <w:rFonts w:ascii="Arial" w:cs="Arial" w:eastAsia="Arial" w:hAnsi="Arial"/>
                <w:sz w:val="12"/>
                <w:szCs w:val="12"/>
                <w:color w:val="auto"/>
                <w:w w:val="8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230,000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r>
        <w:trPr>
          <w:trHeight w:val="17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Term loan facility (b)</w:t>
            </w:r>
          </w:p>
        </w:tc>
        <w:tc>
          <w:tcPr>
            <w:tcW w:w="7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50,000</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50,000</w:t>
            </w:r>
          </w:p>
        </w:tc>
      </w:tr>
      <w:tr>
        <w:trPr>
          <w:trHeight w:val="185"/>
        </w:trPr>
        <w:tc>
          <w:tcPr>
            <w:tcW w:w="47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2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7"/>
              </w:rPr>
              <w:t>280,000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230,000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50,000</w:t>
            </w:r>
          </w:p>
        </w:tc>
      </w:tr>
    </w:tbl>
    <w:p>
      <w:pPr>
        <w:spacing w:after="0" w:line="60"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0"/>
          <w:szCs w:val="10"/>
          <w:color w:val="auto"/>
        </w:rPr>
      </w:pPr>
      <w:r>
        <w:rPr>
          <w:rFonts w:ascii="Arial" w:cs="Arial" w:eastAsia="Arial" w:hAnsi="Arial"/>
          <w:sz w:val="10"/>
          <w:szCs w:val="10"/>
          <w:color w:val="auto"/>
        </w:rPr>
        <w:t>Excludes the potential impact of the embedded derivative.</w:t>
      </w:r>
    </w:p>
    <w:p>
      <w:pPr>
        <w:spacing w:after="0" w:line="65" w:lineRule="exact"/>
        <w:rPr>
          <w:rFonts w:ascii="Arial" w:cs="Arial" w:eastAsia="Arial" w:hAnsi="Arial"/>
          <w:sz w:val="10"/>
          <w:szCs w:val="10"/>
          <w:color w:val="auto"/>
        </w:rPr>
      </w:pPr>
    </w:p>
    <w:p>
      <w:pPr>
        <w:ind w:left="208" w:hanging="208"/>
        <w:spacing w:after="0"/>
        <w:tabs>
          <w:tab w:leader="none" w:pos="208" w:val="left"/>
        </w:tabs>
        <w:numPr>
          <w:ilvl w:val="0"/>
          <w:numId w:val="10"/>
        </w:numPr>
        <w:rPr>
          <w:rFonts w:ascii="Arial" w:cs="Arial" w:eastAsia="Arial" w:hAnsi="Arial"/>
          <w:sz w:val="10"/>
          <w:szCs w:val="10"/>
          <w:color w:val="auto"/>
        </w:rPr>
      </w:pPr>
      <w:r>
        <w:rPr>
          <w:rFonts w:ascii="Arial" w:cs="Arial" w:eastAsia="Arial" w:hAnsi="Arial"/>
          <w:sz w:val="10"/>
          <w:szCs w:val="10"/>
          <w:color w:val="auto"/>
        </w:rPr>
        <w:t>See discussion of repayments subsequent to June 30, 2017 in Note 10.</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252525"/>
        </w:rPr>
        <w:t>Term Loan Facility up to $100 Million</w:t>
      </w:r>
    </w:p>
    <w:p>
      <w:pPr>
        <w:spacing w:after="0" w:line="222" w:lineRule="exact"/>
        <w:rPr>
          <w:sz w:val="20"/>
          <w:szCs w:val="20"/>
          <w:color w:val="auto"/>
        </w:rPr>
      </w:pPr>
    </w:p>
    <w:p>
      <w:pPr>
        <w:ind w:left="8" w:right="80"/>
        <w:spacing w:after="0" w:line="298" w:lineRule="auto"/>
        <w:rPr>
          <w:sz w:val="20"/>
          <w:szCs w:val="20"/>
          <w:color w:val="auto"/>
        </w:rPr>
      </w:pPr>
      <w:r>
        <w:rPr>
          <w:rFonts w:ascii="Arial" w:cs="Arial" w:eastAsia="Arial" w:hAnsi="Arial"/>
          <w:sz w:val="11"/>
          <w:szCs w:val="11"/>
          <w:color w:val="auto"/>
        </w:rPr>
        <w:t>On September 12, 2016 (the “Closing Date”), EZCORP, Inc. (as borrower) and certain of its subsidiaries (as guarantors) entered into a “Financing Agreement” with certain lenders (the “Lenders”) and Fortress Credit Co LLC (as collateral and administrative agent for the Lenders). The Financing Agreement provides for a senior secured credit facility in an aggregate principal amount of $100 million, subject to various terms and conditions contained in the Financing Agreement. The credit facility (“Term Loan Facility”) consists of an Initial Term Loan of $50 million that was drawn on the Closing Date and a Delayed Draw Term Loan of $50 million.</w:t>
      </w:r>
    </w:p>
    <w:p>
      <w:pPr>
        <w:spacing w:after="0" w:line="177" w:lineRule="exact"/>
        <w:rPr>
          <w:sz w:val="20"/>
          <w:szCs w:val="20"/>
          <w:color w:val="auto"/>
        </w:rPr>
      </w:pPr>
    </w:p>
    <w:p>
      <w:pPr>
        <w:ind w:left="8" w:right="360"/>
        <w:spacing w:after="0" w:line="323" w:lineRule="auto"/>
        <w:rPr>
          <w:sz w:val="20"/>
          <w:szCs w:val="20"/>
          <w:color w:val="auto"/>
        </w:rPr>
      </w:pPr>
      <w:r>
        <w:rPr>
          <w:rFonts w:ascii="Arial" w:cs="Arial" w:eastAsia="Arial" w:hAnsi="Arial"/>
          <w:sz w:val="11"/>
          <w:szCs w:val="11"/>
          <w:color w:val="auto"/>
        </w:rPr>
        <w:t>Borrowings under the facility bear interest at an annual rate initially equal to the London Interbank Offered Rate (“LIBOR”) plus 7.5% or, at our election, a “Reference Rate” plus 6.5%. The LIBOR is subject to a floor of 1% and the Reference Rate is subject to a floor of 3%. We pay a monthly fee of 2.75% per annum on the average daily unused portion of the Delayed Draw Term Loan facility and a quarterly loan servicing fee of $15,000.</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Term Loan Facility was repaid in full and terminated subsequent to June 30, 2017. See Note 10.</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252525"/>
        </w:rPr>
        <w:t>2.125% Cash Convertible Senior Notes Due 2019</w:t>
      </w:r>
    </w:p>
    <w:p>
      <w:pPr>
        <w:spacing w:after="0" w:line="114"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252525"/>
        </w:rPr>
        <w:t xml:space="preserve">In June 2014 ("Original Issuance Date"), we issued $200 million aggregate principal amount of 2.125% Cash Convertible </w:t>
      </w:r>
      <w:r>
        <w:rPr>
          <w:rFonts w:ascii="Arial" w:cs="Arial" w:eastAsia="Arial" w:hAnsi="Arial"/>
          <w:sz w:val="12"/>
          <w:szCs w:val="12"/>
          <w:color w:val="000000"/>
        </w:rPr>
        <w:t>Notes, with an additional $30 million principal amount of Cash Convertible Notes issued in July 2014. All of the</w:t>
      </w:r>
      <w:r>
        <w:rPr>
          <w:rFonts w:ascii="Arial" w:cs="Arial" w:eastAsia="Arial" w:hAnsi="Arial"/>
          <w:sz w:val="12"/>
          <w:szCs w:val="12"/>
          <w:color w:val="252525"/>
        </w:rPr>
        <w:t xml:space="preserve"> </w:t>
      </w:r>
      <w:r>
        <w:rPr>
          <w:rFonts w:ascii="Arial" w:cs="Arial" w:eastAsia="Arial" w:hAnsi="Arial"/>
          <w:sz w:val="12"/>
          <w:szCs w:val="12"/>
          <w:color w:val="000000"/>
        </w:rPr>
        <w:t xml:space="preserve">Cash Convertible Notes were issued </w:t>
      </w:r>
      <w:r>
        <w:rPr>
          <w:rFonts w:ascii="Arial" w:cs="Arial" w:eastAsia="Arial" w:hAnsi="Arial"/>
          <w:sz w:val="12"/>
          <w:szCs w:val="12"/>
          <w:color w:val="252525"/>
        </w:rPr>
        <w:t>pursuant to an indenture dated June 23, 2014 (the "Indenture") by and between EZCORP and Wells Fargo Bank, National Association, as the trustee. The Cash Convertible Notes were issued in a private</w:t>
      </w:r>
      <w:r>
        <w:rPr>
          <w:rFonts w:ascii="Arial" w:cs="Arial" w:eastAsia="Arial" w:hAnsi="Arial"/>
          <w:sz w:val="12"/>
          <w:szCs w:val="12"/>
          <w:color w:val="000000"/>
        </w:rPr>
        <w:t xml:space="preserve"> </w:t>
      </w:r>
      <w:r>
        <w:rPr>
          <w:rFonts w:ascii="Arial" w:cs="Arial" w:eastAsia="Arial" w:hAnsi="Arial"/>
          <w:sz w:val="12"/>
          <w:szCs w:val="12"/>
          <w:color w:val="252525"/>
        </w:rPr>
        <w:t xml:space="preserve">offering </w:t>
      </w:r>
      <w:r>
        <w:rPr>
          <w:rFonts w:ascii="Arial" w:cs="Arial" w:eastAsia="Arial" w:hAnsi="Arial"/>
          <w:sz w:val="12"/>
          <w:szCs w:val="12"/>
          <w:color w:val="000000"/>
        </w:rPr>
        <w:t>and resold under Rule 144A under the Securities Act of 1933.</w:t>
      </w:r>
      <w:r>
        <w:rPr>
          <w:rFonts w:ascii="Arial" w:cs="Arial" w:eastAsia="Arial" w:hAnsi="Arial"/>
          <w:sz w:val="12"/>
          <w:szCs w:val="12"/>
          <w:color w:val="252525"/>
        </w:rPr>
        <w:t xml:space="preserve"> The Cash Convertible Notes pay interest semi-annually in arrears at a rate of 2.125% per annum on June 15 and December 15 of each year and mature on June 15, 2019 (the "Maturity Date").</w:t>
      </w:r>
    </w:p>
    <w:p>
      <w:pPr>
        <w:spacing w:after="0" w:line="89" w:lineRule="exact"/>
        <w:rPr>
          <w:sz w:val="20"/>
          <w:szCs w:val="20"/>
          <w:color w:val="auto"/>
        </w:rPr>
      </w:pPr>
    </w:p>
    <w:p>
      <w:pPr>
        <w:ind w:left="8" w:right="200"/>
        <w:spacing w:after="0" w:line="276" w:lineRule="auto"/>
        <w:rPr>
          <w:sz w:val="20"/>
          <w:szCs w:val="20"/>
          <w:color w:val="auto"/>
        </w:rPr>
      </w:pPr>
      <w:r>
        <w:rPr>
          <w:rFonts w:ascii="Arial" w:cs="Arial" w:eastAsia="Arial" w:hAnsi="Arial"/>
          <w:sz w:val="12"/>
          <w:szCs w:val="12"/>
          <w:color w:val="252525"/>
        </w:rPr>
        <w:t>Prior to December 15, 2018, the Cash Convertible Notes will be convertible only upon the occurrence of certain events and during certain periods, and thereafter, at any time prior to the close of business on the second scheduled trading day immediately preceding the Maturity Date. At maturity, the holders of the Cash Convertible Notes will be entitled to receive</w:t>
      </w:r>
    </w:p>
    <w:p>
      <w:pPr>
        <w:spacing w:after="0" w:line="13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8"/>
          </w:cols>
          <w:pgMar w:left="212" w:top="128" w:right="199" w:bottom="1440" w:gutter="0" w:footer="0" w:header="0"/>
        </w:sectPr>
      </w:pPr>
    </w:p>
    <w:bookmarkStart w:id="16" w:name="page17"/>
    <w:bookmarkEnd w:id="1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252525"/>
        </w:rPr>
        <w:t xml:space="preserve">cash equal to the principal amount of the Cash Convertible Notes plus unpaid accrued interest. </w:t>
      </w:r>
      <w:r>
        <w:rPr>
          <w:rFonts w:ascii="Arial" w:cs="Arial" w:eastAsia="Arial" w:hAnsi="Arial"/>
          <w:sz w:val="12"/>
          <w:szCs w:val="12"/>
          <w:color w:val="000000"/>
        </w:rPr>
        <w:t>See discussion of partial repayment subsequent to June 30, 2017 in Note 10.</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252525"/>
        </w:rPr>
        <w:t>Cash Convertible Notes Embedded Derivative</w:t>
      </w:r>
    </w:p>
    <w:p>
      <w:pPr>
        <w:spacing w:after="0" w:line="114" w:lineRule="exact"/>
        <w:rPr>
          <w:sz w:val="20"/>
          <w:szCs w:val="20"/>
          <w:color w:val="auto"/>
        </w:rPr>
      </w:pPr>
    </w:p>
    <w:p>
      <w:pPr>
        <w:ind w:right="80"/>
        <w:spacing w:after="0" w:line="290" w:lineRule="auto"/>
        <w:rPr>
          <w:sz w:val="20"/>
          <w:szCs w:val="20"/>
          <w:color w:val="auto"/>
        </w:rPr>
      </w:pPr>
      <w:r>
        <w:rPr>
          <w:rFonts w:ascii="Arial" w:cs="Arial" w:eastAsia="Arial" w:hAnsi="Arial"/>
          <w:sz w:val="11"/>
          <w:szCs w:val="11"/>
          <w:color w:val="auto"/>
        </w:rPr>
        <w:t xml:space="preserve">We account for the cash conversion feature of the Cash Convertible Notes as a separate derivative instrument (the “Cash Convertible Notes </w:t>
      </w:r>
      <w:r>
        <w:rPr>
          <w:rFonts w:ascii="Arial" w:cs="Arial" w:eastAsia="Arial" w:hAnsi="Arial"/>
          <w:sz w:val="11"/>
          <w:szCs w:val="11"/>
          <w:color w:val="252525"/>
        </w:rPr>
        <w:t>Embedded Derivative</w:t>
      </w:r>
      <w:r>
        <w:rPr>
          <w:rFonts w:ascii="Arial" w:cs="Arial" w:eastAsia="Arial" w:hAnsi="Arial"/>
          <w:sz w:val="11"/>
          <w:szCs w:val="11"/>
          <w:color w:val="auto"/>
        </w:rPr>
        <w:t>”). The Cash Convertible Notes are convertible into cash, subject to satisfaction of certain conditions and during the periods described below, based on an initial "Conversion Rate" of 62.2471 shares of Class A Common Stock per $1,000 principal amount of Cash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73" w:lineRule="exact"/>
        <w:rPr>
          <w:sz w:val="20"/>
          <w:szCs w:val="20"/>
          <w:color w:val="auto"/>
        </w:rPr>
      </w:pPr>
    </w:p>
    <w:p>
      <w:pPr>
        <w:ind w:right="100"/>
        <w:spacing w:after="0" w:line="283" w:lineRule="auto"/>
        <w:rPr>
          <w:sz w:val="20"/>
          <w:szCs w:val="20"/>
          <w:color w:val="auto"/>
        </w:rPr>
      </w:pPr>
      <w:r>
        <w:rPr>
          <w:rFonts w:ascii="Arial" w:cs="Arial" w:eastAsia="Arial" w:hAnsi="Arial"/>
          <w:sz w:val="11"/>
          <w:szCs w:val="11"/>
          <w:color w:val="252525"/>
        </w:rPr>
        <w:t xml:space="preserve">Holders may surrender their Cash Convertible Notes for conversion into cash prior to December 15, 2018 only under the following circumstances (the “Early Conversion Conditions”): </w:t>
      </w:r>
      <w:r>
        <w:rPr>
          <w:rFonts w:ascii="Arial" w:cs="Arial" w:eastAsia="Arial" w:hAnsi="Arial"/>
          <w:sz w:val="11"/>
          <w:szCs w:val="11"/>
          <w:color w:val="000000"/>
        </w:rPr>
        <w:t>(1) during any fiscal quarter commencing after the</w:t>
      </w:r>
      <w:r>
        <w:rPr>
          <w:rFonts w:ascii="Arial" w:cs="Arial" w:eastAsia="Arial" w:hAnsi="Arial"/>
          <w:sz w:val="11"/>
          <w:szCs w:val="11"/>
          <w:color w:val="252525"/>
        </w:rPr>
        <w:t xml:space="preserve"> </w:t>
      </w:r>
      <w:r>
        <w:rPr>
          <w:rFonts w:ascii="Arial" w:cs="Arial" w:eastAsia="Arial" w:hAnsi="Arial"/>
          <w:sz w:val="11"/>
          <w:szCs w:val="11"/>
          <w:color w:val="000000"/>
        </w:rPr>
        <w:t xml:space="preserve">fiscal quarter ending on September 30, 2014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Arial" w:cs="Arial" w:eastAsia="Arial" w:hAnsi="Arial"/>
          <w:sz w:val="11"/>
          <w:szCs w:val="11"/>
          <w:color w:val="252525"/>
        </w:rPr>
        <w:t>On or after December 15, 2018 until the close of</w:t>
      </w:r>
      <w:r>
        <w:rPr>
          <w:rFonts w:ascii="Arial" w:cs="Arial" w:eastAsia="Arial" w:hAnsi="Arial"/>
          <w:sz w:val="11"/>
          <w:szCs w:val="11"/>
          <w:color w:val="000000"/>
        </w:rPr>
        <w:t xml:space="preserve"> </w:t>
      </w:r>
      <w:r>
        <w:rPr>
          <w:rFonts w:ascii="Arial" w:cs="Arial" w:eastAsia="Arial" w:hAnsi="Arial"/>
          <w:sz w:val="11"/>
          <w:szCs w:val="11"/>
          <w:color w:val="252525"/>
        </w:rPr>
        <w:t>business on the second scheduled trading day immediately preceding the Maturity Date, holders may convert their notes into cash at any time, regardless of the foregoing circumstances.</w:t>
      </w:r>
    </w:p>
    <w:p>
      <w:pPr>
        <w:spacing w:after="0" w:line="78"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252525"/>
        </w:rPr>
        <w:t xml:space="preserve">If a holder elects to convert its Cash Convertible Notes in connection with certain make-whole fundamental changes, as that term is defined in the Indenture, that occur prior to the Maturity Date, we will in certain circumstances increase the Conversion Rate for Cash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2"/>
          <w:szCs w:val="12"/>
          <w:color w:val="000000"/>
        </w:rPr>
        <w:t>(for example, certain dividend distributions or tender or exchange offer of our Class A Common Stock).</w:t>
      </w:r>
    </w:p>
    <w:p>
      <w:pPr>
        <w:spacing w:after="0" w:line="87" w:lineRule="exact"/>
        <w:rPr>
          <w:sz w:val="20"/>
          <w:szCs w:val="20"/>
          <w:color w:val="auto"/>
        </w:rPr>
      </w:pPr>
    </w:p>
    <w:p>
      <w:pPr>
        <w:spacing w:after="0" w:line="276" w:lineRule="auto"/>
        <w:rPr>
          <w:sz w:val="20"/>
          <w:szCs w:val="20"/>
          <w:color w:val="auto"/>
        </w:rPr>
      </w:pPr>
      <w:r>
        <w:rPr>
          <w:rFonts w:ascii="Arial" w:cs="Arial" w:eastAsia="Arial" w:hAnsi="Arial"/>
          <w:sz w:val="12"/>
          <w:szCs w:val="12"/>
          <w:color w:val="252525"/>
        </w:rPr>
        <w:t>Upon the occurrence of a fundamental change, as defined in the Indenture, holders may require us to repurchase for cash all or any portion of the then outstanding Cash Convertible Notes at a repurchase price equal to 100% of the principal amount of the notes to be repurchased, plus accrued and unpaid interest.</w:t>
      </w:r>
    </w:p>
    <w:p>
      <w:pPr>
        <w:spacing w:after="0" w:line="79"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As of June 30, 2017, no triggering events occurred for of the note holders to elect to convert their Cash Convertible Notes. Subsequent to June 30, 2017, we repurchased and retired $35.0 million aggregate principal amount of Cash Convertible Notes, leaving $195.0 million aggregate principal amount outstanding. See Note 10.</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252525"/>
        </w:rPr>
        <w:t>Cash Convertible Notes Hedges</w:t>
      </w:r>
    </w:p>
    <w:p>
      <w:pPr>
        <w:spacing w:after="0" w:line="114"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 xml:space="preserve">In connection with the issuance of the Cash Convertible Notes, we purchased cash-settled call options (the “Cash Convertible Notes Hedges”) in privately negotiated transactions with certain of the initial purchasers or their affiliates (in this capacity, the “Option Counterparties”). The Cash Convertible Notes Hedges provide us with the option to acquire, on a net settlement basis, approximately 14.3 million shares of our Class A Common Stock at a strike price of $16.065, which is equal to the number of shares of our Class A Common Stock that notionally underlie the Cash Convertible Notes and corresponds to the Conversion Price of the Cash Convertible Notes. The Cash Convertible Notes Hedges have </w:t>
      </w:r>
      <w:r>
        <w:rPr>
          <w:rFonts w:ascii="Arial" w:cs="Arial" w:eastAsia="Arial" w:hAnsi="Arial"/>
          <w:sz w:val="11"/>
          <w:szCs w:val="11"/>
          <w:color w:val="252525"/>
        </w:rPr>
        <w:t>an expiration date that is the same as the Maturity Date of the Cash Convertible Notes, subject to earlier exercise</w:t>
      </w:r>
      <w:r>
        <w:rPr>
          <w:rFonts w:ascii="Arial" w:cs="Arial" w:eastAsia="Arial" w:hAnsi="Arial"/>
          <w:sz w:val="11"/>
          <w:szCs w:val="11"/>
          <w:color w:val="000000"/>
        </w:rPr>
        <w:t>. The Cash Convertible Notes Hedges have customary anti-dilution provisions similar to the Cash Convertible Notes.</w:t>
      </w:r>
      <w:r>
        <w:rPr>
          <w:rFonts w:ascii="Arial" w:cs="Arial" w:eastAsia="Arial" w:hAnsi="Arial"/>
          <w:sz w:val="11"/>
          <w:szCs w:val="11"/>
          <w:color w:val="252525"/>
        </w:rPr>
        <w:t xml:space="preserve"> If we exercise the Cash Convertible Notes </w:t>
      </w:r>
      <w:r>
        <w:rPr>
          <w:rFonts w:ascii="Arial" w:cs="Arial" w:eastAsia="Arial" w:hAnsi="Arial"/>
          <w:sz w:val="11"/>
          <w:szCs w:val="11"/>
          <w:color w:val="000000"/>
        </w:rPr>
        <w:t>Hedges</w:t>
      </w:r>
      <w:r>
        <w:rPr>
          <w:rFonts w:ascii="Arial" w:cs="Arial" w:eastAsia="Arial" w:hAnsi="Arial"/>
          <w:sz w:val="11"/>
          <w:szCs w:val="11"/>
          <w:color w:val="252525"/>
        </w:rPr>
        <w:t xml:space="preserve">, the aggregate amount of cash we will receive from the Option Counterparties will cover the aggregate amount of cash that we would be required to pay to the holders of the converted Cash Convertible Notes, less the principal amount thereof. </w:t>
      </w:r>
      <w:r>
        <w:rPr>
          <w:rFonts w:ascii="Arial" w:cs="Arial" w:eastAsia="Arial" w:hAnsi="Arial"/>
          <w:sz w:val="11"/>
          <w:szCs w:val="11"/>
          <w:color w:val="000000"/>
        </w:rPr>
        <w:t>As of June 30, 2017, we have not purchased any shares under the Cash Convertible Notes Hedges.</w:t>
      </w:r>
    </w:p>
    <w:p>
      <w:pPr>
        <w:spacing w:after="0" w:line="78"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The aggregate cost of the Cash Convertible Notes Hedges was $46.5 million (or $21.3 million net of the total proceeds from the Warrants sold, as discussed below). The Cash Convertible Notes Hedges are accounted for as a derivative asset and are recorded in the condensed consolidated balance sheets at their estimated fair value. The Cash Convertible Notes Embedded Derivative liability and the Cash Convertible Notes Hedges asset will be adjusted to fair value each reporting period and unrealized gains and losses will be reflected in the condensed consolidated statements of operations. The Cash Convertible Notes Embedded Derivative and the Cash Convertible Notes Hedges are designed to have similar fair values. Accordingly, the changes in the fair values of these instruments are expected to offset and not have a net impact on the condensed consolidated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60"/>
          </w:cols>
          <w:pgMar w:left="220" w:top="128" w:right="219" w:bottom="1440" w:gutter="0" w:footer="0" w:header="0"/>
        </w:sectPr>
      </w:pPr>
    </w:p>
    <w:bookmarkStart w:id="17" w:name="page18"/>
    <w:bookmarkEnd w:id="1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statements of operations. See Note 4 for discussion of fair value of the Cash Convertible Notes Embedded Derivative liability and the Cash Convertible Notes Hedges asset.</w:t>
      </w:r>
    </w:p>
    <w:p>
      <w:pPr>
        <w:spacing w:after="0" w:line="114"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color w:val="auto"/>
        </w:rPr>
        <w:t>Subsequent to June 30, 2017, in connection with our repurchase and retirement of $35.0 million aggregate principal amount of Cash Convertible Notes, we settled and terminated the portion of the Cash Convertible Notes Hedges associated with the retired Cash Convertible Notes principal. See Note 10.</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252525"/>
        </w:rPr>
        <w:t>Cash Convertible Notes Warrants</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In connection with the issuance of the Cash Convertible Notes, we also sold net-share-settled warrants (the “Cash Convertible Notes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Cash Convertible Notes Warrants have customary anti-dilution provisions similar to the Cash Convertible Notes. As a result of the Cash Convertible Notes Warrants, we will experience dilution to our diluted earnings per share if our average closing stock price exceeds $20.83 for any fiscal quarter. The Cash Convertible Notes Warrants expire on various dates from September 2019 through February 2020 and must be settled in net shares of our Class A Common Stock. Therefore, upon expiration of the Cash Convertible Notes Warrants, we will issue shares of Class A Common Stock to the purchasers of the Cash Convertible Notes Warrants that represent the value by which the price of the Class A Common Stock exceeds the strike price stipulated within the particular warrant agreement. As of June 30, 2017, there were 12.1 million Cash Convertible Notes Warrants outstanding. Subsequent to June 30, 2017, in connection with our repurchase and retirement of $35.0 million aggregate principal amount of Cash Convertible Notes, we settled and terminated the portion of the Cash Convertible Notes Warrants associated with the retired Cash Convertible Notes principal. See Note 10.</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STOCK COMPENSATION</w:t>
      </w:r>
    </w:p>
    <w:p>
      <w:pPr>
        <w:spacing w:after="0" w:line="118" w:lineRule="exact"/>
        <w:rPr>
          <w:sz w:val="20"/>
          <w:szCs w:val="20"/>
          <w:color w:val="auto"/>
        </w:rPr>
      </w:pPr>
    </w:p>
    <w:p>
      <w:pPr>
        <w:ind w:right="280"/>
        <w:spacing w:after="0" w:line="323" w:lineRule="auto"/>
        <w:rPr>
          <w:sz w:val="20"/>
          <w:szCs w:val="20"/>
          <w:color w:val="auto"/>
        </w:rPr>
      </w:pPr>
      <w:r>
        <w:rPr>
          <w:rFonts w:ascii="Arial" w:cs="Arial" w:eastAsia="Arial" w:hAnsi="Arial"/>
          <w:sz w:val="11"/>
          <w:szCs w:val="11"/>
          <w:color w:val="auto"/>
        </w:rPr>
        <w:t>On May 1, 2010 our Board of Directors approved the adoption of the EZCORP, Inc. 2010 Long-Term Incentive Plan (the “2010 Plan”). As of September 30, 2016, the 2010 Plan permitted grants of options, restricted stock awards and stock appreciation rights covering up to 3,485,649 shares of our Class A Common Stock. In December 2016, the Board of Directors and the voting stockholder approved the addition of 500,000 shares to the 2010 Plan.</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In November and December 2016, we granted 919,898 restricted stock unit awards to employees and 72,500 restricted stock awards to non-employee directors with a grant date fair value of primarily $9.60 per share. Our long-term incentive awards are generally granted based on our share price as of October 1 each year, which was $11.06 for these fiscal 2017 awards. The awards granted to employees vest on September 30, 2019 subject to the achievement of certain performance targets. As of June 30, 2017, we considered the achievement of these performance targets probable. The awards granted to non-employee directors vest over two years, 50% on September 30, 2017 and 50% on September 30, 2018 and are subject only to service conditions.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CONTINGENCIES</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Except as noted below, we have not recorded a liability for any of these matters as of June 30, 2017 because we do not believe at this time that any loss is probable or that the amount of any probable loss can be reasonably estimated. The following is a description of significant proceedings.</w:t>
      </w:r>
    </w:p>
    <w:p>
      <w:pPr>
        <w:spacing w:after="0" w:line="87" w:lineRule="exact"/>
        <w:rPr>
          <w:sz w:val="20"/>
          <w:szCs w:val="20"/>
          <w:color w:val="auto"/>
        </w:rPr>
      </w:pPr>
    </w:p>
    <w:p>
      <w:pPr>
        <w:ind w:right="140"/>
        <w:spacing w:after="0" w:line="257" w:lineRule="auto"/>
        <w:rPr>
          <w:sz w:val="20"/>
          <w:szCs w:val="20"/>
          <w:color w:val="auto"/>
        </w:rPr>
      </w:pPr>
      <w:r>
        <w:rPr>
          <w:rFonts w:ascii="Arial" w:cs="Arial" w:eastAsia="Arial" w:hAnsi="Arial"/>
          <w:sz w:val="12"/>
          <w:szCs w:val="12"/>
          <w:i w:val="1"/>
          <w:iCs w:val="1"/>
          <w:color w:val="auto"/>
        </w:rPr>
        <w:t xml:space="preserve">Shareholder derivative litigation </w:t>
      </w:r>
      <w:r>
        <w:rPr>
          <w:rFonts w:ascii="Arial" w:cs="Arial" w:eastAsia="Arial" w:hAnsi="Arial"/>
          <w:sz w:val="12"/>
          <w:szCs w:val="12"/>
          <w:color w:val="auto"/>
        </w:rPr>
        <w:t>— On July 28, 2014, Lawrence Treppel, a purported holder of Class A Common Stock, filed a derivative action in the Court of Chancery of the State of Delaware styled</w:t>
      </w:r>
      <w:r>
        <w:rPr>
          <w:rFonts w:ascii="Arial" w:cs="Arial" w:eastAsia="Arial" w:hAnsi="Arial"/>
          <w:sz w:val="12"/>
          <w:szCs w:val="12"/>
          <w:i w:val="1"/>
          <w:iCs w:val="1"/>
          <w:color w:val="auto"/>
        </w:rPr>
        <w:t xml:space="preserve"> Treppel v. Cohen, et al. </w:t>
      </w:r>
      <w:r>
        <w:rPr>
          <w:rFonts w:ascii="Arial" w:cs="Arial" w:eastAsia="Arial" w:hAnsi="Arial"/>
          <w:sz w:val="12"/>
          <w:szCs w:val="12"/>
          <w:color w:val="auto"/>
        </w:rPr>
        <w:t>(C.A. No.</w:t>
      </w:r>
      <w:r>
        <w:rPr>
          <w:rFonts w:ascii="Arial" w:cs="Arial" w:eastAsia="Arial" w:hAnsi="Arial"/>
          <w:sz w:val="12"/>
          <w:szCs w:val="12"/>
          <w:i w:val="1"/>
          <w:iCs w:val="1"/>
          <w:color w:val="auto"/>
        </w:rPr>
        <w:t xml:space="preserve"> </w:t>
      </w:r>
      <w:r>
        <w:rPr>
          <w:rFonts w:ascii="Arial" w:cs="Arial" w:eastAsia="Arial" w:hAnsi="Arial"/>
          <w:sz w:val="12"/>
          <w:szCs w:val="12"/>
          <w:color w:val="auto"/>
        </w:rPr>
        <w:t>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90" w:lineRule="exact"/>
        <w:rPr>
          <w:sz w:val="20"/>
          <w:szCs w:val="20"/>
          <w:color w:val="auto"/>
        </w:rPr>
      </w:pPr>
    </w:p>
    <w:p>
      <w:pPr>
        <w:ind w:left="420" w:right="400" w:hanging="212"/>
        <w:spacing w:after="0" w:line="276" w:lineRule="auto"/>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Claims against the current and former Board members for breach of fiduciary duties and waste of corporate assets in connection with the Board’s decision to enter into advisory services agreements with Madison Park from October 2004 to June 2014 (Counts I and II, respectively);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128" w:right="199" w:bottom="1440" w:gutter="0" w:footer="0" w:header="0"/>
        </w:sectPr>
      </w:pPr>
    </w:p>
    <w:bookmarkStart w:id="18" w:name="page19"/>
    <w:bookmarkEnd w:id="1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Claims against Mr. Cohen and MS Pawn Limited Partnership for aiding and abetting the breaches of fiduciary duties relating to the advisory services agreements with Madison Park (Count III);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Claims against Mr. Cohen and Madison Park for unjust enrichment for payments under the advisory services agreements (Count IV).</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 plaintiff seeks (a) recovery for the Company in the amount of the damages the Company has sustained as a result of the alleged breach of fiduciary duties, waste of corporate assets and aiding and abetting, (b) disgorgement by Mr.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Cohen and Madison Park of the benefits they received as a result of the related party transactions and (c) reimbursement of costs and expenses, including reasonable attorney’s fees.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On November 13, 2014, pursuant to the parties’ stipulation, the Court dismissed the action as to Mr. Brinkley, Mr. Rothamel and Mr. Lagos.</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remaining defendants filed motions to dismiss, and a hearing on those motions was held before the Court on September 8, 2015. Prior to that hearing, the plaintiff proposed a dismissal without prejudice for the claims against Mr. Beal, Mr. Love and Mr. Farrell. Those defendants continued to seek a dismissal with prejudice that would bind all potential plaintiffs. On January 15, 2016, the Court issued an opinion dismissing the action as to Mr. Beal, Mr. Love and Mr. Farrell with prejudice only as to the plaintiff.</w:t>
      </w:r>
    </w:p>
    <w:p>
      <w:pPr>
        <w:spacing w:after="0" w:line="87"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On January 25, 2016, the Court issued a separate opinion granting in part and denying in part the motions to dismiss filed by the remaining defendants. Specifically, the Court granted the motion to dismiss Count IV (unjust enrichment) for failure to state a claim. The Court also dismissed Count III (aiding and abetting) as to Mr. Cohen, but interpreted Count I (breach of fiduciary duty) to state a claim against Mr. Cohen and MS Pawn, as well as Mr. Roberts. The Court otherwise denied the motions to dismiss, including the motion to dismiss Count III (aiding and abetting) against MS Pawn.</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On February 4, 2016, the remaining defendants filed an Application for Certification of Interlocutory Appeal, which the plaintiff opposed on February 15, 2016, and the Court set a hearing on the application. On February 22, 2016, the Court denied the Application for Certification of Interlocutory Appeal and provided the plaintiff the opportunity to amend its complaint to add a fiduciary-duty claim as to Mr. Cohen and Madison Park, staying proceedings pending a ruling from the Delaware Supreme Court. After the Application for Certification of Interlocutory Appeal was denied, Mr. Roberts, MS Pawn Corporation and MS Pawn Limited Partnership filed notices of appeal from the interlocutory opinion and order denying the motions to dismiss. On March 10, 2016, the Delaware Supreme Court denied those petitions for an interlocutory appeal.</w:t>
      </w:r>
    </w:p>
    <w:p>
      <w:pPr>
        <w:spacing w:after="0" w:line="89"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On March 4, 2016, the plaintiff filed a Second Amended Derivative Complaint against Mr. Roberts, Mr. Cohen, Madison Park, MS Pawn Corporation and MS Pawn Limited Partnership with EZCORP, Inc., as nominal defendant. The case is now in the discovery stage.</w:t>
      </w:r>
    </w:p>
    <w:p>
      <w:pPr>
        <w:spacing w:after="0" w:line="79"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We intend to continue to defend vigorously against the claims asserted in the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56"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i w:val="1"/>
          <w:iCs w:val="1"/>
          <w:color w:val="auto"/>
        </w:rPr>
        <w:t xml:space="preserve">Federal securities litigation (SDNY) </w:t>
      </w:r>
      <w:r>
        <w:rPr>
          <w:rFonts w:ascii="Arial" w:cs="Arial" w:eastAsia="Arial" w:hAnsi="Arial"/>
          <w:sz w:val="12"/>
          <w:szCs w:val="12"/>
          <w:color w:val="auto"/>
        </w:rPr>
        <w:t>— On August 22, 2014, Jason Close, a purported holder of Class A Common Stock, for himself and on behalf of other similarly situated holders of Class A Common Stock, filed a lawsuit in the United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States District Court for the Southern District of New York styled </w:t>
      </w:r>
      <w:r>
        <w:rPr>
          <w:rFonts w:ascii="Arial" w:cs="Arial" w:eastAsia="Arial" w:hAnsi="Arial"/>
          <w:sz w:val="12"/>
          <w:szCs w:val="12"/>
          <w:i w:val="1"/>
          <w:iCs w:val="1"/>
          <w:color w:val="auto"/>
        </w:rPr>
        <w:t>Close v. EZCORP, Inc., et al.</w:t>
      </w:r>
      <w:r>
        <w:rPr>
          <w:rFonts w:ascii="Arial" w:cs="Arial" w:eastAsia="Arial" w:hAnsi="Arial"/>
          <w:sz w:val="12"/>
          <w:szCs w:val="12"/>
          <w:color w:val="auto"/>
        </w:rPr>
        <w:t xml:space="preserve"> (Case No. 1:14-cv-06834-ALC). That lawsuit named as defendants EZCORP, Inc., Paul. E. Rothamel (the Company's former Chief Executive Officer) and Mark Kuchenrither (the Company's former Chief Financial Officer). That lawsuit was consolidated with a similar lawsuit filed in the same court on October 17, 2014 by the Automotive Machinists Pension Plan and styled </w:t>
      </w:r>
      <w:r>
        <w:rPr>
          <w:rFonts w:ascii="Arial" w:cs="Arial" w:eastAsia="Arial" w:hAnsi="Arial"/>
          <w:sz w:val="12"/>
          <w:szCs w:val="12"/>
          <w:i w:val="1"/>
          <w:iCs w:val="1"/>
          <w:color w:val="auto"/>
        </w:rPr>
        <w:t xml:space="preserve">Automotive Machinists Pension Plan v. EZCORP, Inc., et al. </w:t>
      </w:r>
      <w:r>
        <w:rPr>
          <w:rFonts w:ascii="Arial" w:cs="Arial" w:eastAsia="Arial" w:hAnsi="Arial"/>
          <w:sz w:val="12"/>
          <w:szCs w:val="12"/>
          <w:color w:val="auto"/>
        </w:rPr>
        <w:t>(Case No. 1:14-cv-8349-ALC). On November 18, 2014, the court consolidated the two lawsuits under the caption</w:t>
      </w:r>
      <w:r>
        <w:rPr>
          <w:rFonts w:ascii="Arial" w:cs="Arial" w:eastAsia="Arial" w:hAnsi="Arial"/>
          <w:sz w:val="12"/>
          <w:szCs w:val="12"/>
          <w:i w:val="1"/>
          <w:iCs w:val="1"/>
          <w:color w:val="auto"/>
        </w:rPr>
        <w:t xml:space="preserve"> In Re EZCORP, Inc. Securities Litigation </w:t>
      </w:r>
      <w:r>
        <w:rPr>
          <w:rFonts w:ascii="Arial" w:cs="Arial" w:eastAsia="Arial" w:hAnsi="Arial"/>
          <w:sz w:val="12"/>
          <w:szCs w:val="12"/>
          <w:color w:val="auto"/>
        </w:rPr>
        <w:t>(Case No. 1:14-cv-06834-ALC).</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Consolidated Amended Class Action Complaint asserted certain violations of Sections 10(b) and 20(a) of the Securities Exchange Act of 1934, as well as Rule 10b-5 promulgated thereunder. On March 31, 2016, the Court, in response to the defendants' motions to dismiss, dismissed certain of the claims, but other claims survived the motions to dismiss.</w:t>
      </w:r>
    </w:p>
    <w:p>
      <w:pPr>
        <w:spacing w:after="0" w:line="79"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On November 23, 2016, the parties agreed to a mediated settlement of all remaining claims. The settlement provides for the payment of $5.9 million by the defendants, which was covered by applicable directors’ and officers’ liability insurance. Following a Settlement Hearing on April 25, 2017, the Court entered an order to approve the settlement and dismiss the case.</w:t>
      </w:r>
    </w:p>
    <w:p>
      <w:pPr>
        <w:spacing w:after="0" w:line="79"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i w:val="1"/>
          <w:iCs w:val="1"/>
          <w:color w:val="auto"/>
        </w:rPr>
        <w:t xml:space="preserve">Federal Securities Litigation (WDT) </w:t>
      </w:r>
      <w:r>
        <w:rPr>
          <w:rFonts w:ascii="Arial" w:cs="Arial" w:eastAsia="Arial" w:hAnsi="Arial"/>
          <w:sz w:val="12"/>
          <w:szCs w:val="12"/>
          <w:color w:val="auto"/>
        </w:rPr>
        <w:t>— On July 20, 2015, Wu Winfred Huang, a purported holder of Class A Common Stock, for himself and on behalf of other similarly situated holders of Class A Common Stock, filed a lawsuit in the</w:t>
      </w:r>
      <w:r>
        <w:rPr>
          <w:rFonts w:ascii="Arial" w:cs="Arial" w:eastAsia="Arial" w:hAnsi="Arial"/>
          <w:sz w:val="12"/>
          <w:szCs w:val="12"/>
          <w:i w:val="1"/>
          <w:iCs w:val="1"/>
          <w:color w:val="auto"/>
        </w:rPr>
        <w:t xml:space="preserve"> </w:t>
      </w:r>
      <w:r>
        <w:rPr>
          <w:rFonts w:ascii="Arial" w:cs="Arial" w:eastAsia="Arial" w:hAnsi="Arial"/>
          <w:sz w:val="12"/>
          <w:szCs w:val="12"/>
          <w:color w:val="auto"/>
        </w:rPr>
        <w:t>United States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128" w:right="219" w:bottom="1440" w:gutter="0" w:footer="0" w:header="0"/>
        </w:sectPr>
      </w:pPr>
    </w:p>
    <w:bookmarkStart w:id="19" w:name="page20"/>
    <w:bookmarkEnd w:id="1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jc w:val="both"/>
        <w:ind w:right="460"/>
        <w:spacing w:after="0" w:line="290" w:lineRule="auto"/>
        <w:rPr>
          <w:sz w:val="20"/>
          <w:szCs w:val="20"/>
          <w:color w:val="auto"/>
        </w:rPr>
      </w:pPr>
      <w:r>
        <w:rPr>
          <w:rFonts w:ascii="Arial" w:cs="Arial" w:eastAsia="Arial" w:hAnsi="Arial"/>
          <w:sz w:val="11"/>
          <w:szCs w:val="11"/>
          <w:color w:val="auto"/>
        </w:rPr>
        <w:t xml:space="preserve">District Court for the Western District of Texas styled </w:t>
      </w:r>
      <w:r>
        <w:rPr>
          <w:rFonts w:ascii="Arial" w:cs="Arial" w:eastAsia="Arial" w:hAnsi="Arial"/>
          <w:sz w:val="11"/>
          <w:szCs w:val="11"/>
          <w:i w:val="1"/>
          <w:iCs w:val="1"/>
          <w:color w:val="auto"/>
        </w:rPr>
        <w:t>Huang v. EZCORP, Inc., et al.</w:t>
      </w:r>
      <w:r>
        <w:rPr>
          <w:rFonts w:ascii="Arial" w:cs="Arial" w:eastAsia="Arial" w:hAnsi="Arial"/>
          <w:sz w:val="11"/>
          <w:szCs w:val="11"/>
          <w:color w:val="auto"/>
        </w:rPr>
        <w:t xml:space="preserve"> (Case No. 1:15-cv-00608-SS). The complaint names as defendants EZCORP, Inc., Stuart I. Grimshaw (our chief executive officer) and 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73"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 xml:space="preserve">On August 14, 2015, a substantially identical lawsuit, styled </w:t>
      </w:r>
      <w:r>
        <w:rPr>
          <w:rFonts w:ascii="Arial" w:cs="Arial" w:eastAsia="Arial" w:hAnsi="Arial"/>
          <w:sz w:val="11"/>
          <w:szCs w:val="11"/>
          <w:i w:val="1"/>
          <w:iCs w:val="1"/>
          <w:color w:val="auto"/>
        </w:rPr>
        <w:t>Rooney v. EZCORP, Inc., et al.</w:t>
      </w:r>
      <w:r>
        <w:rPr>
          <w:rFonts w:ascii="Arial" w:cs="Arial" w:eastAsia="Arial" w:hAnsi="Arial"/>
          <w:sz w:val="11"/>
          <w:szCs w:val="11"/>
          <w:color w:val="auto"/>
        </w:rPr>
        <w:t xml:space="preserve"> (Case No. 1:15-cv-00700-SS) was also filed in the United States District Court for the Western District of Texas. On September 28, 2015, the plaintiffs in these two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1"/>
          <w:szCs w:val="11"/>
          <w:i w:val="1"/>
          <w:iCs w:val="1"/>
          <w:color w:val="auto"/>
        </w:rPr>
        <w:t>In re EZCORP, Inc. Securities Litigation</w:t>
      </w:r>
      <w:r>
        <w:rPr>
          <w:rFonts w:ascii="Arial" w:cs="Arial" w:eastAsia="Arial" w:hAnsi="Arial"/>
          <w:sz w:val="11"/>
          <w:szCs w:val="11"/>
          <w:color w:val="auto"/>
        </w:rPr>
        <w:t xml:space="preserve"> (Master File No. 1:15-cv-00608-SS), and appointed the two plaintiffs as co-lead plaintiffs, with their respective counsel appointed as co-lead counsel.</w:t>
      </w:r>
    </w:p>
    <w:p>
      <w:pPr>
        <w:spacing w:after="0" w:line="69" w:lineRule="exact"/>
        <w:rPr>
          <w:sz w:val="20"/>
          <w:szCs w:val="20"/>
          <w:color w:val="auto"/>
        </w:rPr>
      </w:pPr>
    </w:p>
    <w:p>
      <w:pPr>
        <w:ind w:right="160"/>
        <w:spacing w:after="0" w:line="286" w:lineRule="auto"/>
        <w:rPr>
          <w:sz w:val="20"/>
          <w:szCs w:val="20"/>
          <w:color w:val="auto"/>
        </w:rPr>
      </w:pPr>
      <w:r>
        <w:rPr>
          <w:rFonts w:ascii="Arial" w:cs="Arial" w:eastAsia="Arial" w:hAnsi="Arial"/>
          <w:sz w:val="11"/>
          <w:szCs w:val="11"/>
          <w:color w:val="auto"/>
        </w:rPr>
        <w:t>On January 11, 2016, the plaintiffs filed an Amended Class Action Complaint (the "Amended Complaint"). In the Amended Complaint, the plaintiffs seek to represent a class of purchasers of our Class A Common Stock between November 6, 2012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w:t>
      </w:r>
    </w:p>
    <w:p>
      <w:pPr>
        <w:spacing w:after="0" w:line="75"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On October 18, 2016, the Court granted the defendants’ motion to dismiss and dismissed the Amended Complaint without prejudice. The Court gave the plaintiffs 20 days (until November 7, 2016) to file a further amended complaint. On November 4, 2016, the plaintiffs filed a Second Amended Consolidated Class Action Complaint (“Second Amended Complaint”). The Second Amended Complaint raises the same claims dismissed by the Court on October 18, 2016, except plaintiffs now seek to represent a class of purchasers of EZCORP’s Class A Common Stock between November 7, 2013 and October 20, 2015 (instead of between November 6, 2012 and October 20, 2015). On December 5, 2016, defendants filed a motion to dismiss the Second Amended Compliant. The plaintiffs filed their opposition to the motion to dismiss on January 6, 2017, and the defendants filed their reply brief on January 20, 2017.</w:t>
      </w:r>
    </w:p>
    <w:p>
      <w:pPr>
        <w:spacing w:after="0" w:line="7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On May 8, 2017, the Court granted the defendants’ motion to dismiss with regard to claims related to accounting errors relating to Grupo Finmart’s bad debt reserve calculations for “nonperforming” loans, but denied the motion to dismiss with regard to claims relating to accounting errors related to certain sales of loan portfolios to third parties. The case is now in the discovery stage. We cannot predict the outcome of the litigation, but we intend to defend vigorously against all allegations and claims.</w:t>
      </w:r>
    </w:p>
    <w:p>
      <w:pPr>
        <w:spacing w:after="0" w:line="87"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i w:val="1"/>
          <w:iCs w:val="1"/>
          <w:color w:val="auto"/>
        </w:rPr>
        <w:t xml:space="preserve">SEC Investigation </w:t>
      </w:r>
      <w:r>
        <w:rPr>
          <w:rFonts w:ascii="Arial" w:cs="Arial" w:eastAsia="Arial" w:hAnsi="Arial"/>
          <w:sz w:val="12"/>
          <w:szCs w:val="12"/>
          <w:color w:val="auto"/>
        </w:rPr>
        <w:t>— On October 23, 2014, we received a notice from the Fort Worth Regional Office of the SEC that it was conducting an investigation into certain matters involving EZCORP, Inc. The notice was accompanied by a</w:t>
      </w:r>
      <w:r>
        <w:rPr>
          <w:rFonts w:ascii="Arial" w:cs="Arial" w:eastAsia="Arial" w:hAnsi="Arial"/>
          <w:sz w:val="12"/>
          <w:szCs w:val="12"/>
          <w:i w:val="1"/>
          <w:iCs w:val="1"/>
          <w:color w:val="auto"/>
        </w:rPr>
        <w:t xml:space="preserve"> </w:t>
      </w:r>
      <w:r>
        <w:rPr>
          <w:rFonts w:ascii="Arial" w:cs="Arial" w:eastAsia="Arial" w:hAnsi="Arial"/>
          <w:sz w:val="12"/>
          <w:szCs w:val="12"/>
          <w:color w:val="auto"/>
        </w:rPr>
        <w:t>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40"/>
          </w:cols>
          <w:pgMar w:left="220" w:top="128" w:right="239" w:bottom="1440" w:gutter="0" w:footer="0" w:header="0"/>
        </w:sectPr>
      </w:pPr>
    </w:p>
    <w:bookmarkStart w:id="20" w:name="page21"/>
    <w:bookmarkEnd w:id="2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SEGMENT INFORMATION</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We currently report our segments as follows: U.S. Pawn — all pawn activities in the United States, Mexico Pawn — all pawn activities in Mexico and other parts of Latin America and Other International — primarily our equity interest in the net income of Cash Converters International and consumer finance activities in Canada. There are no inter-segment revenues, and the amounts below were determined in accordance with the same accounting principles used in our condensed consolidated financial statements.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ind w:left="420"/>
              <w:spacing w:after="0"/>
              <w:rPr>
                <w:sz w:val="20"/>
                <w:szCs w:val="20"/>
                <w:color w:val="auto"/>
              </w:rPr>
            </w:pPr>
            <w:r>
              <w:rPr>
                <w:rFonts w:ascii="Arial" w:cs="Arial" w:eastAsia="Arial" w:hAnsi="Arial"/>
                <w:sz w:val="10"/>
                <w:szCs w:val="10"/>
                <w:b w:val="1"/>
                <w:bCs w:val="1"/>
                <w:color w:val="auto"/>
              </w:rPr>
              <w:t>Three Months Ended June 30, 2017</w:t>
            </w: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96"/>
        </w:trPr>
        <w:tc>
          <w:tcPr>
            <w:tcW w:w="4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tcPr>
          <w:p>
            <w:pPr>
              <w:ind w:left="320"/>
              <w:spacing w:after="0" w:line="96"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28"/>
        </w:trPr>
        <w:tc>
          <w:tcPr>
            <w:tcW w:w="4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U.S. Pawn</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92"/>
              </w:rPr>
              <w:t>Mexico Pawn</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International</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w w:val="85"/>
              </w:rPr>
              <w:t>Total Segments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w w:val="93"/>
              </w:rPr>
              <w:t>Corporate Items</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Consolidated</w:t>
            </w:r>
          </w:p>
        </w:tc>
      </w:tr>
      <w:tr>
        <w:trPr>
          <w:trHeight w:val="205"/>
        </w:trPr>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0"/>
                <w:szCs w:val="10"/>
                <w:i w:val="1"/>
                <w:i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4"/>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1"/>
        </w:trPr>
        <w:tc>
          <w:tcPr>
            <w:tcW w:w="4200" w:type="dxa"/>
            <w:vAlign w:val="bottom"/>
          </w:tcPr>
          <w:p>
            <w:pPr>
              <w:ind w:left="180"/>
              <w:spacing w:after="0"/>
              <w:rPr>
                <w:sz w:val="20"/>
                <w:szCs w:val="20"/>
                <w:color w:val="auto"/>
              </w:rPr>
            </w:pPr>
            <w:r>
              <w:rPr>
                <w:rFonts w:ascii="Arial" w:cs="Arial" w:eastAsia="Arial" w:hAnsi="Arial"/>
                <w:sz w:val="12"/>
                <w:szCs w:val="12"/>
                <w:color w:val="auto"/>
              </w:rPr>
              <w:t>Merchandise sales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82,714</w:t>
            </w:r>
          </w:p>
        </w:tc>
        <w:tc>
          <w:tcPr>
            <w:tcW w:w="12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41"/>
              <w:spacing w:after="0"/>
              <w:rPr>
                <w:sz w:val="20"/>
                <w:szCs w:val="20"/>
                <w:color w:val="auto"/>
              </w:rPr>
            </w:pPr>
            <w:r>
              <w:rPr>
                <w:rFonts w:ascii="Arial" w:cs="Arial" w:eastAsia="Arial" w:hAnsi="Arial"/>
                <w:sz w:val="12"/>
                <w:szCs w:val="12"/>
                <w:color w:val="auto"/>
              </w:rPr>
              <w:t>15,207</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97,921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97,921</w:t>
            </w:r>
          </w:p>
        </w:tc>
      </w:tr>
      <w:tr>
        <w:trPr>
          <w:trHeight w:val="189"/>
        </w:trPr>
        <w:tc>
          <w:tcPr>
            <w:tcW w:w="42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Jewelry scrapping sales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17,257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17,641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17,641</w:t>
            </w:r>
          </w:p>
        </w:tc>
      </w:tr>
      <w:tr>
        <w:trPr>
          <w:trHeight w:val="171"/>
        </w:trPr>
        <w:tc>
          <w:tcPr>
            <w:tcW w:w="4200" w:type="dxa"/>
            <w:vAlign w:val="bottom"/>
          </w:tcPr>
          <w:p>
            <w:pPr>
              <w:ind w:left="180"/>
              <w:spacing w:after="0"/>
              <w:rPr>
                <w:sz w:val="20"/>
                <w:szCs w:val="20"/>
                <w:color w:val="auto"/>
              </w:rPr>
            </w:pPr>
            <w:r>
              <w:rPr>
                <w:rFonts w:ascii="Arial" w:cs="Arial" w:eastAsia="Arial" w:hAnsi="Arial"/>
                <w:sz w:val="12"/>
                <w:szCs w:val="12"/>
                <w:color w:val="auto"/>
              </w:rPr>
              <w:t>Pawn service charges</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56,774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1"/>
              <w:spacing w:after="0"/>
              <w:rPr>
                <w:sz w:val="20"/>
                <w:szCs w:val="20"/>
                <w:color w:val="auto"/>
              </w:rPr>
            </w:pPr>
            <w:r>
              <w:rPr>
                <w:rFonts w:ascii="Arial" w:cs="Arial" w:eastAsia="Arial" w:hAnsi="Arial"/>
                <w:sz w:val="12"/>
                <w:szCs w:val="12"/>
                <w:color w:val="auto"/>
              </w:rPr>
              <w:t>9,104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65,878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65,878</w:t>
            </w:r>
          </w:p>
        </w:tc>
      </w:tr>
      <w:tr>
        <w:trPr>
          <w:trHeight w:val="180"/>
        </w:trPr>
        <w:tc>
          <w:tcPr>
            <w:tcW w:w="42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revenues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179</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1,964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2,193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2,193</w:t>
            </w:r>
          </w:p>
        </w:tc>
      </w:tr>
      <w:tr>
        <w:trPr>
          <w:trHeight w:val="169"/>
        </w:trPr>
        <w:tc>
          <w:tcPr>
            <w:tcW w:w="4200" w:type="dxa"/>
            <w:vAlign w:val="bottom"/>
          </w:tcPr>
          <w:p>
            <w:pPr>
              <w:ind w:left="320"/>
              <w:spacing w:after="0"/>
              <w:rPr>
                <w:sz w:val="20"/>
                <w:szCs w:val="20"/>
                <w:color w:val="auto"/>
              </w:rPr>
            </w:pPr>
            <w:r>
              <w:rPr>
                <w:rFonts w:ascii="Arial" w:cs="Arial" w:eastAsia="Arial" w:hAnsi="Arial"/>
                <w:sz w:val="12"/>
                <w:szCs w:val="12"/>
                <w:color w:val="auto"/>
              </w:rPr>
              <w:t>Total revenues</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156,795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1"/>
              <w:spacing w:after="0"/>
              <w:rPr>
                <w:sz w:val="20"/>
                <w:szCs w:val="20"/>
                <w:color w:val="auto"/>
              </w:rPr>
            </w:pPr>
            <w:r>
              <w:rPr>
                <w:rFonts w:ascii="Arial" w:cs="Arial" w:eastAsia="Arial" w:hAnsi="Arial"/>
                <w:sz w:val="12"/>
                <w:szCs w:val="12"/>
                <w:color w:val="auto"/>
              </w:rPr>
              <w:t>24,874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1,964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183,633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183,633</w:t>
            </w: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Merchandise cost of goods sold</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52,488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10,127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62,615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62,615</w:t>
            </w:r>
          </w:p>
        </w:tc>
      </w:tr>
      <w:tr>
        <w:trPr>
          <w:trHeight w:val="171"/>
        </w:trPr>
        <w:tc>
          <w:tcPr>
            <w:tcW w:w="4200" w:type="dxa"/>
            <w:vAlign w:val="bottom"/>
          </w:tcPr>
          <w:p>
            <w:pPr>
              <w:ind w:left="20"/>
              <w:spacing w:after="0"/>
              <w:rPr>
                <w:sz w:val="20"/>
                <w:szCs w:val="20"/>
                <w:color w:val="auto"/>
              </w:rPr>
            </w:pPr>
            <w:r>
              <w:rPr>
                <w:rFonts w:ascii="Arial" w:cs="Arial" w:eastAsia="Arial" w:hAnsi="Arial"/>
                <w:sz w:val="12"/>
                <w:szCs w:val="12"/>
                <w:color w:val="auto"/>
              </w:rPr>
              <w:t>Jewelry scrapping cost of goods sold</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14,674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1"/>
              <w:spacing w:after="0"/>
              <w:rPr>
                <w:sz w:val="20"/>
                <w:szCs w:val="20"/>
                <w:color w:val="auto"/>
              </w:rPr>
            </w:pPr>
            <w:r>
              <w:rPr>
                <w:rFonts w:ascii="Arial" w:cs="Arial" w:eastAsia="Arial" w:hAnsi="Arial"/>
                <w:sz w:val="12"/>
                <w:szCs w:val="12"/>
                <w:color w:val="auto"/>
              </w:rPr>
              <w:t>336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15,010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15,010</w:t>
            </w:r>
          </w:p>
        </w:tc>
      </w:tr>
      <w:tr>
        <w:trPr>
          <w:trHeight w:val="180"/>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cost of revenues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453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453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453</w:t>
            </w:r>
          </w:p>
        </w:tc>
      </w:tr>
      <w:tr>
        <w:trPr>
          <w:trHeight w:val="169"/>
        </w:trPr>
        <w:tc>
          <w:tcPr>
            <w:tcW w:w="4200" w:type="dxa"/>
            <w:vAlign w:val="bottom"/>
          </w:tcPr>
          <w:p>
            <w:pPr>
              <w:ind w:left="320"/>
              <w:spacing w:after="0"/>
              <w:rPr>
                <w:sz w:val="20"/>
                <w:szCs w:val="20"/>
                <w:color w:val="auto"/>
              </w:rPr>
            </w:pPr>
            <w:r>
              <w:rPr>
                <w:rFonts w:ascii="Arial" w:cs="Arial" w:eastAsia="Arial" w:hAnsi="Arial"/>
                <w:sz w:val="12"/>
                <w:szCs w:val="12"/>
                <w:color w:val="auto"/>
              </w:rPr>
              <w:t>Net revenues</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89,633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1"/>
              <w:spacing w:after="0"/>
              <w:rPr>
                <w:sz w:val="20"/>
                <w:szCs w:val="20"/>
                <w:color w:val="auto"/>
              </w:rPr>
            </w:pPr>
            <w:r>
              <w:rPr>
                <w:rFonts w:ascii="Arial" w:cs="Arial" w:eastAsia="Arial" w:hAnsi="Arial"/>
                <w:sz w:val="12"/>
                <w:szCs w:val="12"/>
                <w:color w:val="auto"/>
              </w:rPr>
              <w:t>14,411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1,511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105,555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105,555</w:t>
            </w: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and corporate expenses (income):</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1"/>
        </w:trPr>
        <w:tc>
          <w:tcPr>
            <w:tcW w:w="4200" w:type="dxa"/>
            <w:vAlign w:val="bottom"/>
          </w:tcPr>
          <w:p>
            <w:pPr>
              <w:ind w:left="180"/>
              <w:spacing w:after="0"/>
              <w:rPr>
                <w:sz w:val="20"/>
                <w:szCs w:val="20"/>
                <w:color w:val="auto"/>
              </w:rPr>
            </w:pPr>
            <w:r>
              <w:rPr>
                <w:rFonts w:ascii="Arial" w:cs="Arial" w:eastAsia="Arial" w:hAnsi="Arial"/>
                <w:sz w:val="12"/>
                <w:szCs w:val="12"/>
                <w:color w:val="auto"/>
              </w:rPr>
              <w:t>Operations</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63,593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1"/>
              <w:spacing w:after="0"/>
              <w:rPr>
                <w:sz w:val="20"/>
                <w:szCs w:val="20"/>
                <w:color w:val="auto"/>
              </w:rPr>
            </w:pPr>
            <w:r>
              <w:rPr>
                <w:rFonts w:ascii="Arial" w:cs="Arial" w:eastAsia="Arial" w:hAnsi="Arial"/>
                <w:sz w:val="12"/>
                <w:szCs w:val="12"/>
                <w:color w:val="auto"/>
              </w:rPr>
              <w:t>8,898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1,755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74,246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74,246</w:t>
            </w:r>
          </w:p>
        </w:tc>
      </w:tr>
      <w:tr>
        <w:trPr>
          <w:trHeight w:val="189"/>
        </w:trPr>
        <w:tc>
          <w:tcPr>
            <w:tcW w:w="42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Administrative</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14,095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14,095</w:t>
            </w:r>
          </w:p>
        </w:tc>
      </w:tr>
      <w:tr>
        <w:trPr>
          <w:trHeight w:val="171"/>
        </w:trPr>
        <w:tc>
          <w:tcPr>
            <w:tcW w:w="420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2,210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1"/>
              <w:spacing w:after="0"/>
              <w:rPr>
                <w:sz w:val="20"/>
                <w:szCs w:val="20"/>
                <w:color w:val="auto"/>
              </w:rPr>
            </w:pPr>
            <w:r>
              <w:rPr>
                <w:rFonts w:ascii="Arial" w:cs="Arial" w:eastAsia="Arial" w:hAnsi="Arial"/>
                <w:sz w:val="12"/>
                <w:szCs w:val="12"/>
                <w:color w:val="auto"/>
              </w:rPr>
              <w:t>619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2,873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2,970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5,843</w:t>
            </w:r>
          </w:p>
        </w:tc>
      </w:tr>
      <w:tr>
        <w:trPr>
          <w:trHeight w:val="189"/>
        </w:trPr>
        <w:tc>
          <w:tcPr>
            <w:tcW w:w="42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 (gain) on sale or disposal of assets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17</w:t>
            </w:r>
          </w:p>
        </w:tc>
      </w:tr>
      <w:tr>
        <w:trPr>
          <w:trHeight w:val="171"/>
        </w:trPr>
        <w:tc>
          <w:tcPr>
            <w:tcW w:w="4200" w:type="dxa"/>
            <w:vAlign w:val="bottom"/>
          </w:tcPr>
          <w:p>
            <w:pPr>
              <w:ind w:left="180"/>
              <w:spacing w:after="0"/>
              <w:rPr>
                <w:sz w:val="20"/>
                <w:szCs w:val="20"/>
                <w:color w:val="auto"/>
              </w:rPr>
            </w:pPr>
            <w:r>
              <w:rPr>
                <w:rFonts w:ascii="Arial" w:cs="Arial" w:eastAsia="Arial" w:hAnsi="Arial"/>
                <w:sz w:val="12"/>
                <w:szCs w:val="12"/>
                <w:color w:val="auto"/>
              </w:rPr>
              <w:t>Interest expense</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4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5,652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5,654</w:t>
            </w:r>
          </w:p>
        </w:tc>
      </w:tr>
      <w:tr>
        <w:trPr>
          <w:trHeight w:val="189"/>
        </w:trPr>
        <w:tc>
          <w:tcPr>
            <w:tcW w:w="42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income</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(1,573)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(2,053)</w:t>
            </w:r>
          </w:p>
        </w:tc>
      </w:tr>
      <w:tr>
        <w:trPr>
          <w:trHeight w:val="171"/>
        </w:trPr>
        <w:tc>
          <w:tcPr>
            <w:tcW w:w="4200" w:type="dxa"/>
            <w:vAlign w:val="bottom"/>
          </w:tcPr>
          <w:p>
            <w:pPr>
              <w:ind w:left="180"/>
              <w:spacing w:after="0"/>
              <w:rPr>
                <w:sz w:val="20"/>
                <w:szCs w:val="20"/>
                <w:color w:val="auto"/>
              </w:rPr>
            </w:pPr>
            <w:r>
              <w:rPr>
                <w:rFonts w:ascii="Arial" w:cs="Arial" w:eastAsia="Arial" w:hAnsi="Arial"/>
                <w:sz w:val="12"/>
                <w:szCs w:val="12"/>
                <w:color w:val="auto"/>
              </w:rPr>
              <w:t>Equity in net income of unconsolidated affiliate</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color w:val="auto"/>
              </w:rPr>
              <w:t>(1,047)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(1,047)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(1,047)</w:t>
            </w:r>
          </w:p>
        </w:tc>
      </w:tr>
      <w:tr>
        <w:trPr>
          <w:trHeight w:val="180"/>
        </w:trPr>
        <w:tc>
          <w:tcPr>
            <w:tcW w:w="42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income</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(68)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(99)</w:t>
            </w:r>
          </w:p>
        </w:tc>
      </w:tr>
      <w:tr>
        <w:trPr>
          <w:trHeight w:val="185"/>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Segment contribution</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23,815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5,399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827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30,041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30,041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(21,142)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8,899</w:t>
            </w:r>
          </w:p>
        </w:tc>
      </w:tr>
      <w:tr>
        <w:trPr>
          <w:trHeight w:val="298"/>
        </w:trPr>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01"/>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20" w:top="128" w:right="25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gridSpan w:val="2"/>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489"/>
        </w:trPr>
        <w:tc>
          <w:tcPr>
            <w:tcW w:w="680" w:type="dxa"/>
            <w:vAlign w:val="bottom"/>
            <w:tcBorders>
              <w:top w:val="single" w:sz="8" w:color="0000EE"/>
            </w:tcBorders>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440"/>
              <w:spacing w:after="0"/>
              <w:rPr>
                <w:sz w:val="20"/>
                <w:szCs w:val="20"/>
                <w:color w:val="auto"/>
              </w:rPr>
            </w:pPr>
            <w:r>
              <w:rPr>
                <w:rFonts w:ascii="Arial" w:cs="Arial" w:eastAsia="Arial" w:hAnsi="Arial"/>
                <w:sz w:val="10"/>
                <w:szCs w:val="10"/>
                <w:b w:val="1"/>
                <w:bCs w:val="1"/>
                <w:color w:val="auto"/>
              </w:rPr>
              <w:t>Three Months Ended June 30, 2016</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96"/>
        </w:trPr>
        <w:tc>
          <w:tcPr>
            <w:tcW w:w="6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tcPr>
          <w:p>
            <w:pPr>
              <w:ind w:left="320"/>
              <w:spacing w:after="0" w:line="96"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28"/>
        </w:trPr>
        <w:tc>
          <w:tcPr>
            <w:tcW w:w="6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U.S. Pawn</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w w:val="92"/>
              </w:rPr>
              <w:t>Mexico Pawn</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International</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w w:val="85"/>
              </w:rPr>
              <w:t>Total Segments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91"/>
              </w:rPr>
              <w:t>Corporate Items</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Consolidated</w:t>
            </w:r>
          </w:p>
        </w:tc>
      </w:tr>
      <w:tr>
        <w:trPr>
          <w:trHeight w:val="205"/>
        </w:trPr>
        <w:tc>
          <w:tcPr>
            <w:tcW w:w="6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Merchandise sales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79,826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14,187</w:t>
            </w:r>
          </w:p>
        </w:tc>
        <w:tc>
          <w:tcPr>
            <w:tcW w:w="120" w:type="dxa"/>
            <w:vAlign w:val="bottom"/>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94,014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94,014</w:t>
            </w:r>
          </w:p>
        </w:tc>
      </w:tr>
      <w:tr>
        <w:trPr>
          <w:trHeight w:val="189"/>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Jewelry scrapping sales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10,918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11,230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11,230</w:t>
            </w: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Pawn service charges</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54,395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8,078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62,473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62,473</w:t>
            </w:r>
          </w:p>
        </w:tc>
      </w:tr>
      <w:tr>
        <w:trPr>
          <w:trHeight w:val="180"/>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revenues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157</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2,237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2,433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2,433</w:t>
            </w:r>
          </w:p>
        </w:tc>
      </w:tr>
      <w:tr>
        <w:trPr>
          <w:trHeight w:val="169"/>
        </w:trPr>
        <w:tc>
          <w:tcPr>
            <w:tcW w:w="4240" w:type="dxa"/>
            <w:vAlign w:val="bottom"/>
            <w:gridSpan w:val="2"/>
          </w:tcPr>
          <w:p>
            <w:pPr>
              <w:ind w:left="320"/>
              <w:spacing w:after="0"/>
              <w:rPr>
                <w:sz w:val="20"/>
                <w:szCs w:val="20"/>
                <w:color w:val="auto"/>
              </w:rPr>
            </w:pPr>
            <w:r>
              <w:rPr>
                <w:rFonts w:ascii="Arial" w:cs="Arial" w:eastAsia="Arial" w:hAnsi="Arial"/>
                <w:sz w:val="12"/>
                <w:szCs w:val="12"/>
                <w:color w:val="auto"/>
              </w:rPr>
              <w:t>Total revenues</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145,178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22,734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2,238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170,150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170,150</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Merchandise cost of goods sold</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50,586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9,554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60,140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60,140</w:t>
            </w:r>
          </w:p>
        </w:tc>
      </w:tr>
      <w:tr>
        <w:trPr>
          <w:trHeight w:val="171"/>
        </w:trPr>
        <w:tc>
          <w:tcPr>
            <w:tcW w:w="4240" w:type="dxa"/>
            <w:vAlign w:val="bottom"/>
            <w:gridSpan w:val="2"/>
          </w:tcPr>
          <w:p>
            <w:pPr>
              <w:ind w:left="20"/>
              <w:spacing w:after="0"/>
              <w:rPr>
                <w:sz w:val="20"/>
                <w:szCs w:val="20"/>
                <w:color w:val="auto"/>
              </w:rPr>
            </w:pPr>
            <w:r>
              <w:rPr>
                <w:rFonts w:ascii="Arial" w:cs="Arial" w:eastAsia="Arial" w:hAnsi="Arial"/>
                <w:sz w:val="12"/>
                <w:szCs w:val="12"/>
                <w:color w:val="auto"/>
              </w:rPr>
              <w:t>Jewelry scrapping cost of goods sold</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8,845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265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9,110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9,110</w:t>
            </w:r>
          </w:p>
        </w:tc>
      </w:tr>
      <w:tr>
        <w:trPr>
          <w:trHeight w:val="18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cost of revenues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506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506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506</w:t>
            </w:r>
          </w:p>
        </w:tc>
      </w:tr>
      <w:tr>
        <w:trPr>
          <w:trHeight w:val="169"/>
        </w:trPr>
        <w:tc>
          <w:tcPr>
            <w:tcW w:w="4240" w:type="dxa"/>
            <w:vAlign w:val="bottom"/>
            <w:gridSpan w:val="2"/>
          </w:tcPr>
          <w:p>
            <w:pPr>
              <w:ind w:left="320"/>
              <w:spacing w:after="0"/>
              <w:rPr>
                <w:sz w:val="20"/>
                <w:szCs w:val="20"/>
                <w:color w:val="auto"/>
              </w:rPr>
            </w:pPr>
            <w:r>
              <w:rPr>
                <w:rFonts w:ascii="Arial" w:cs="Arial" w:eastAsia="Arial" w:hAnsi="Arial"/>
                <w:sz w:val="12"/>
                <w:szCs w:val="12"/>
                <w:color w:val="auto"/>
              </w:rPr>
              <w:t>Net revenues</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85,747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12,915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1,732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100,394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100,394</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Segment and corporate expenses (income):</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Operations</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62,733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8,744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1,695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73,172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73,172</w:t>
            </w:r>
          </w:p>
        </w:tc>
      </w:tr>
      <w:tr>
        <w:trPr>
          <w:trHeight w:val="189"/>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Administrative</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14,481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14,481</w:t>
            </w: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Depreciation and amortization</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2,888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720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3,664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2,610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6,274</w:t>
            </w:r>
          </w:p>
        </w:tc>
      </w:tr>
      <w:tr>
        <w:trPr>
          <w:trHeight w:val="189"/>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Loss on sale or disposal of assets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(41)</w:t>
            </w: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Interest expense</w:t>
            </w:r>
          </w:p>
        </w:tc>
        <w:tc>
          <w:tcPr>
            <w:tcW w:w="2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3,911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3,936</w:t>
            </w:r>
          </w:p>
        </w:tc>
      </w:tr>
      <w:tr>
        <w:trPr>
          <w:trHeight w:val="189"/>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Interest income</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(50)</w:t>
            </w: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Equity in net income of unconsolidated affiliate</w:t>
            </w:r>
          </w:p>
        </w:tc>
        <w:tc>
          <w:tcPr>
            <w:tcW w:w="2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(1,694)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(1,694)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(1,694)</w:t>
            </w:r>
          </w:p>
        </w:tc>
      </w:tr>
      <w:tr>
        <w:trPr>
          <w:trHeight w:val="180"/>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expense (income)</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759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500</w:t>
            </w:r>
          </w:p>
        </w:tc>
      </w:tr>
      <w:tr>
        <w:trPr>
          <w:trHeight w:val="185"/>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Segment contribution</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20,178</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2,703</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1,675</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24,556</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CCEEFF"/>
            </w:tcBorders>
          </w:tcPr>
          <w:p>
            <w:pPr>
              <w:spacing w:after="0"/>
              <w:rPr>
                <w:sz w:val="16"/>
                <w:szCs w:val="16"/>
                <w:color w:val="auto"/>
              </w:rPr>
            </w:pPr>
          </w:p>
        </w:tc>
      </w:tr>
      <w:tr>
        <w:trPr>
          <w:trHeight w:val="196"/>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24,556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(20,740)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3,816</w:t>
            </w:r>
          </w:p>
        </w:tc>
      </w:tr>
      <w:tr>
        <w:trPr>
          <w:trHeight w:val="298"/>
        </w:trPr>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81"/>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80"/>
          </w:cols>
          <w:pgMar w:left="220" w:top="115" w:right="19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gridSpan w:val="2"/>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489"/>
        </w:trPr>
        <w:tc>
          <w:tcPr>
            <w:tcW w:w="680" w:type="dxa"/>
            <w:vAlign w:val="bottom"/>
            <w:tcBorders>
              <w:top w:val="single" w:sz="8" w:color="0000EE"/>
            </w:tcBorders>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460"/>
              <w:spacing w:after="0"/>
              <w:rPr>
                <w:sz w:val="20"/>
                <w:szCs w:val="20"/>
                <w:color w:val="auto"/>
              </w:rPr>
            </w:pPr>
            <w:r>
              <w:rPr>
                <w:rFonts w:ascii="Arial" w:cs="Arial" w:eastAsia="Arial" w:hAnsi="Arial"/>
                <w:sz w:val="10"/>
                <w:szCs w:val="10"/>
                <w:b w:val="1"/>
                <w:bCs w:val="1"/>
                <w:color w:val="auto"/>
              </w:rPr>
              <w:t>Nine Months Ended June 30, 2017</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96"/>
        </w:trPr>
        <w:tc>
          <w:tcPr>
            <w:tcW w:w="6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tcPr>
          <w:p>
            <w:pPr>
              <w:ind w:left="320"/>
              <w:spacing w:after="0" w:line="96"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28"/>
        </w:trPr>
        <w:tc>
          <w:tcPr>
            <w:tcW w:w="6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U.S. Pawn</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w w:val="92"/>
              </w:rPr>
              <w:t>Mexico Pawn</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International</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w w:val="85"/>
              </w:rPr>
              <w:t>Total Segments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91"/>
              </w:rPr>
              <w:t>Corporate Items</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Consolidated</w:t>
            </w:r>
          </w:p>
        </w:tc>
      </w:tr>
      <w:tr>
        <w:trPr>
          <w:trHeight w:val="205"/>
        </w:trPr>
        <w:tc>
          <w:tcPr>
            <w:tcW w:w="6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Merchandise sales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273,125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46,547</w:t>
            </w:r>
          </w:p>
        </w:tc>
        <w:tc>
          <w:tcPr>
            <w:tcW w:w="120" w:type="dxa"/>
            <w:vAlign w:val="bottom"/>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319,672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319,672</w:t>
            </w:r>
          </w:p>
        </w:tc>
      </w:tr>
      <w:tr>
        <w:trPr>
          <w:trHeight w:val="189"/>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Jewelry scrapping sales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35,158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37,658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37,658</w:t>
            </w: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Pawn service charges</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177,480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24,503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201,983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201,983</w:t>
            </w:r>
          </w:p>
        </w:tc>
      </w:tr>
      <w:tr>
        <w:trPr>
          <w:trHeight w:val="180"/>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revenues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157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457</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5,958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6,572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6,572</w:t>
            </w:r>
          </w:p>
        </w:tc>
      </w:tr>
      <w:tr>
        <w:trPr>
          <w:trHeight w:val="169"/>
        </w:trPr>
        <w:tc>
          <w:tcPr>
            <w:tcW w:w="4240" w:type="dxa"/>
            <w:vAlign w:val="bottom"/>
            <w:gridSpan w:val="2"/>
          </w:tcPr>
          <w:p>
            <w:pPr>
              <w:ind w:left="320"/>
              <w:spacing w:after="0"/>
              <w:rPr>
                <w:sz w:val="20"/>
                <w:szCs w:val="20"/>
                <w:color w:val="auto"/>
              </w:rPr>
            </w:pPr>
            <w:r>
              <w:rPr>
                <w:rFonts w:ascii="Arial" w:cs="Arial" w:eastAsia="Arial" w:hAnsi="Arial"/>
                <w:sz w:val="12"/>
                <w:szCs w:val="12"/>
                <w:color w:val="auto"/>
              </w:rPr>
              <w:t>Total revenues</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485,920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74,007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5,958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565,885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565,885</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Merchandise cost of goods sold</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173,235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31,605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204,840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204,840</w:t>
            </w:r>
          </w:p>
        </w:tc>
      </w:tr>
      <w:tr>
        <w:trPr>
          <w:trHeight w:val="171"/>
        </w:trPr>
        <w:tc>
          <w:tcPr>
            <w:tcW w:w="4240" w:type="dxa"/>
            <w:vAlign w:val="bottom"/>
            <w:gridSpan w:val="2"/>
          </w:tcPr>
          <w:p>
            <w:pPr>
              <w:ind w:left="20"/>
              <w:spacing w:after="0"/>
              <w:rPr>
                <w:sz w:val="20"/>
                <w:szCs w:val="20"/>
                <w:color w:val="auto"/>
              </w:rPr>
            </w:pPr>
            <w:r>
              <w:rPr>
                <w:rFonts w:ascii="Arial" w:cs="Arial" w:eastAsia="Arial" w:hAnsi="Arial"/>
                <w:sz w:val="12"/>
                <w:szCs w:val="12"/>
                <w:color w:val="auto"/>
              </w:rPr>
              <w:t>Jewelry scrapping cost of goods sold</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30,114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2,081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32,195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32,195</w:t>
            </w:r>
          </w:p>
        </w:tc>
      </w:tr>
      <w:tr>
        <w:trPr>
          <w:trHeight w:val="18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cost of revenues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1,433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1,433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1,433</w:t>
            </w:r>
          </w:p>
        </w:tc>
      </w:tr>
      <w:tr>
        <w:trPr>
          <w:trHeight w:val="169"/>
        </w:trPr>
        <w:tc>
          <w:tcPr>
            <w:tcW w:w="4240" w:type="dxa"/>
            <w:vAlign w:val="bottom"/>
            <w:gridSpan w:val="2"/>
          </w:tcPr>
          <w:p>
            <w:pPr>
              <w:ind w:left="320"/>
              <w:spacing w:after="0"/>
              <w:rPr>
                <w:sz w:val="20"/>
                <w:szCs w:val="20"/>
                <w:color w:val="auto"/>
              </w:rPr>
            </w:pPr>
            <w:r>
              <w:rPr>
                <w:rFonts w:ascii="Arial" w:cs="Arial" w:eastAsia="Arial" w:hAnsi="Arial"/>
                <w:sz w:val="12"/>
                <w:szCs w:val="12"/>
                <w:color w:val="auto"/>
              </w:rPr>
              <w:t>Net revenues</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282,571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40,321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4,525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327,417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327,417</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Segment and corporate expenses (income):</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Operations</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194,499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26,439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5,414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226,352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226,352</w:t>
            </w:r>
          </w:p>
        </w:tc>
      </w:tr>
      <w:tr>
        <w:trPr>
          <w:trHeight w:val="189"/>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Administrative</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41,305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41,305</w:t>
            </w: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Depreciation and amortization</w:t>
            </w:r>
          </w:p>
        </w:tc>
        <w:tc>
          <w:tcPr>
            <w:tcW w:w="20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7,487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1,910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144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9,541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8,705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18,246</w:t>
            </w:r>
          </w:p>
        </w:tc>
      </w:tr>
      <w:tr>
        <w:trPr>
          <w:trHeight w:val="189"/>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Loss (gain) on sale or disposal of assets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w:t>
            </w: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Interest expense</w:t>
            </w:r>
          </w:p>
        </w:tc>
        <w:tc>
          <w:tcPr>
            <w:tcW w:w="2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16,840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16,847</w:t>
            </w:r>
          </w:p>
        </w:tc>
      </w:tr>
      <w:tr>
        <w:trPr>
          <w:trHeight w:val="189"/>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Interest income</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(889)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(6,020)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(6,909)</w:t>
            </w:r>
          </w:p>
        </w:tc>
      </w:tr>
      <w:tr>
        <w:trPr>
          <w:trHeight w:val="171"/>
        </w:trPr>
        <w:tc>
          <w:tcPr>
            <w:tcW w:w="4240" w:type="dxa"/>
            <w:vAlign w:val="bottom"/>
            <w:gridSpan w:val="2"/>
          </w:tcPr>
          <w:p>
            <w:pPr>
              <w:ind w:left="180"/>
              <w:spacing w:after="0"/>
              <w:rPr>
                <w:sz w:val="20"/>
                <w:szCs w:val="20"/>
                <w:color w:val="auto"/>
              </w:rPr>
            </w:pPr>
            <w:r>
              <w:rPr>
                <w:rFonts w:ascii="Arial" w:cs="Arial" w:eastAsia="Arial" w:hAnsi="Arial"/>
                <w:sz w:val="12"/>
                <w:szCs w:val="12"/>
                <w:color w:val="auto"/>
              </w:rPr>
              <w:t>Equity in net income of unconsolidated affiliate</w:t>
            </w:r>
          </w:p>
        </w:tc>
        <w:tc>
          <w:tcPr>
            <w:tcW w:w="2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(3,768)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(3,768)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(3,768)</w:t>
            </w:r>
          </w:p>
        </w:tc>
      </w:tr>
      <w:tr>
        <w:trPr>
          <w:trHeight w:val="180"/>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income</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(61)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(191)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(294)</w:t>
            </w:r>
          </w:p>
        </w:tc>
      </w:tr>
      <w:tr>
        <w:trPr>
          <w:trHeight w:val="185"/>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Segment contribution</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80,653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12,850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2,763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96,266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r>
      <w:tr>
        <w:trPr>
          <w:trHeight w:val="196"/>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96,266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(60,639)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35,627</w:t>
            </w:r>
          </w:p>
        </w:tc>
      </w:tr>
      <w:tr>
        <w:trPr>
          <w:trHeight w:val="298"/>
        </w:trPr>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81"/>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80"/>
          </w:cols>
          <w:pgMar w:left="220" w:top="115" w:right="19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gridSpan w:val="2"/>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381"/>
        </w:trPr>
        <w:tc>
          <w:tcPr>
            <w:tcW w:w="68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left="2"/>
              <w:spacing w:after="0"/>
              <w:rPr>
                <w:sz w:val="20"/>
                <w:szCs w:val="20"/>
                <w:color w:val="auto"/>
              </w:rPr>
            </w:pPr>
            <w:r>
              <w:rPr>
                <w:rFonts w:ascii="Arial" w:cs="Arial" w:eastAsia="Arial" w:hAnsi="Arial"/>
                <w:sz w:val="10"/>
                <w:szCs w:val="10"/>
                <w:b w:val="1"/>
                <w:bCs w:val="1"/>
                <w:color w:val="auto"/>
                <w:w w:val="86"/>
              </w:rPr>
              <w:t>Nine Months Ended June 30, 2016</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96"/>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right"/>
              <w:ind w:right="422"/>
              <w:spacing w:after="0" w:line="96" w:lineRule="exact"/>
              <w:rPr>
                <w:sz w:val="20"/>
                <w:szCs w:val="20"/>
                <w:color w:val="auto"/>
              </w:rPr>
            </w:pPr>
            <w:r>
              <w:rPr>
                <w:rFonts w:ascii="Arial" w:cs="Arial" w:eastAsia="Arial" w:hAnsi="Arial"/>
                <w:sz w:val="10"/>
                <w:szCs w:val="10"/>
                <w:b w:val="1"/>
                <w:bCs w:val="1"/>
                <w:color w:val="auto"/>
              </w:rPr>
              <w:t>Other</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28"/>
        </w:trPr>
        <w:tc>
          <w:tcPr>
            <w:tcW w:w="6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U.S. Pawn</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w w:val="98"/>
              </w:rPr>
              <w:t>Mexico Pawn</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International</w:t>
            </w:r>
          </w:p>
        </w:tc>
        <w:tc>
          <w:tcPr>
            <w:tcW w:w="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Total Segments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Corporate Items</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Consolidated</w:t>
            </w:r>
          </w:p>
        </w:tc>
      </w:tr>
      <w:tr>
        <w:trPr>
          <w:trHeight w:val="205"/>
        </w:trPr>
        <w:tc>
          <w:tcPr>
            <w:tcW w:w="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6"/>
          </w:tcPr>
          <w:p>
            <w:pPr>
              <w:jc w:val="center"/>
              <w:ind w:left="2"/>
              <w:spacing w:after="0"/>
              <w:rPr>
                <w:sz w:val="20"/>
                <w:szCs w:val="20"/>
                <w:color w:val="auto"/>
              </w:rPr>
            </w:pPr>
            <w:r>
              <w:rPr>
                <w:rFonts w:ascii="Arial" w:cs="Arial" w:eastAsia="Arial" w:hAnsi="Arial"/>
                <w:sz w:val="10"/>
                <w:szCs w:val="10"/>
                <w:i w:val="1"/>
                <w:iCs w:val="1"/>
                <w:color w:val="auto"/>
                <w:w w:val="88"/>
              </w:rPr>
              <w:t>(in thousands)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4"/>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1"/>
        </w:trPr>
        <w:tc>
          <w:tcPr>
            <w:tcW w:w="3780" w:type="dxa"/>
            <w:vAlign w:val="bottom"/>
            <w:gridSpan w:val="2"/>
          </w:tcPr>
          <w:p>
            <w:pPr>
              <w:ind w:left="180"/>
              <w:spacing w:after="0"/>
              <w:rPr>
                <w:sz w:val="20"/>
                <w:szCs w:val="20"/>
                <w:color w:val="auto"/>
              </w:rPr>
            </w:pPr>
            <w:r>
              <w:rPr>
                <w:rFonts w:ascii="Arial" w:cs="Arial" w:eastAsia="Arial" w:hAnsi="Arial"/>
                <w:sz w:val="12"/>
                <w:szCs w:val="12"/>
                <w:color w:val="auto"/>
              </w:rPr>
              <w:t>Merchandise sales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266,560</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45,376</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5</w:t>
            </w:r>
          </w:p>
        </w:tc>
        <w:tc>
          <w:tcPr>
            <w:tcW w:w="3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311,941</w:t>
            </w:r>
          </w:p>
        </w:tc>
        <w:tc>
          <w:tcPr>
            <w:tcW w:w="60" w:type="dxa"/>
            <w:vAlign w:val="bottom"/>
          </w:tcPr>
          <w:p>
            <w:pPr>
              <w:spacing w:after="0"/>
              <w:rPr>
                <w:sz w:val="14"/>
                <w:szCs w:val="14"/>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311,941</w:t>
            </w:r>
          </w:p>
        </w:tc>
      </w:tr>
      <w:tr>
        <w:trPr>
          <w:trHeight w:val="189"/>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Jewelry scrapping sales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32,117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1,493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33,631</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33,631</w:t>
            </w:r>
          </w:p>
        </w:tc>
      </w:tr>
      <w:tr>
        <w:trPr>
          <w:trHeight w:val="171"/>
        </w:trPr>
        <w:tc>
          <w:tcPr>
            <w:tcW w:w="3780" w:type="dxa"/>
            <w:vAlign w:val="bottom"/>
            <w:gridSpan w:val="2"/>
          </w:tcPr>
          <w:p>
            <w:pPr>
              <w:ind w:left="180"/>
              <w:spacing w:after="0"/>
              <w:rPr>
                <w:sz w:val="20"/>
                <w:szCs w:val="20"/>
                <w:color w:val="auto"/>
              </w:rPr>
            </w:pPr>
            <w:r>
              <w:rPr>
                <w:rFonts w:ascii="Arial" w:cs="Arial" w:eastAsia="Arial" w:hAnsi="Arial"/>
                <w:sz w:val="12"/>
                <w:szCs w:val="12"/>
                <w:color w:val="auto"/>
              </w:rPr>
              <w:t>Pawn service charges</w:t>
            </w:r>
          </w:p>
        </w:tc>
        <w:tc>
          <w:tcPr>
            <w:tcW w:w="2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169,630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23,567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193,197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193,197</w:t>
            </w:r>
          </w:p>
        </w:tc>
      </w:tr>
      <w:tr>
        <w:trPr>
          <w:trHeight w:val="180"/>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revenues</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281</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231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6,639</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7,151</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7,151</w:t>
            </w:r>
          </w:p>
        </w:tc>
      </w:tr>
      <w:tr>
        <w:trPr>
          <w:trHeight w:val="169"/>
        </w:trPr>
        <w:tc>
          <w:tcPr>
            <w:tcW w:w="3780" w:type="dxa"/>
            <w:vAlign w:val="bottom"/>
            <w:gridSpan w:val="2"/>
          </w:tcPr>
          <w:p>
            <w:pPr>
              <w:ind w:left="320"/>
              <w:spacing w:after="0"/>
              <w:rPr>
                <w:sz w:val="20"/>
                <w:szCs w:val="20"/>
                <w:color w:val="auto"/>
              </w:rPr>
            </w:pPr>
            <w:r>
              <w:rPr>
                <w:rFonts w:ascii="Arial" w:cs="Arial" w:eastAsia="Arial" w:hAnsi="Arial"/>
                <w:sz w:val="12"/>
                <w:szCs w:val="12"/>
                <w:color w:val="auto"/>
              </w:rPr>
              <w:t>Total revenues</w:t>
            </w:r>
          </w:p>
        </w:tc>
        <w:tc>
          <w:tcPr>
            <w:tcW w:w="2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468,588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70,667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6,665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545,920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545,920</w:t>
            </w:r>
          </w:p>
        </w:tc>
      </w:tr>
      <w:tr>
        <w:trPr>
          <w:trHeight w:val="18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Merchandise cost of goods sold</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164,288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30,442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194,731</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194,731</w:t>
            </w:r>
          </w:p>
        </w:tc>
      </w:tr>
      <w:tr>
        <w:trPr>
          <w:trHeight w:val="171"/>
        </w:trPr>
        <w:tc>
          <w:tcPr>
            <w:tcW w:w="3780" w:type="dxa"/>
            <w:vAlign w:val="bottom"/>
            <w:gridSpan w:val="2"/>
          </w:tcPr>
          <w:p>
            <w:pPr>
              <w:ind w:left="20"/>
              <w:spacing w:after="0"/>
              <w:rPr>
                <w:sz w:val="20"/>
                <w:szCs w:val="20"/>
                <w:color w:val="auto"/>
              </w:rPr>
            </w:pPr>
            <w:r>
              <w:rPr>
                <w:rFonts w:ascii="Arial" w:cs="Arial" w:eastAsia="Arial" w:hAnsi="Arial"/>
                <w:sz w:val="12"/>
                <w:szCs w:val="12"/>
                <w:color w:val="auto"/>
              </w:rPr>
              <w:t>Jewelry scrapping cost of goods sold</w:t>
            </w:r>
          </w:p>
        </w:tc>
        <w:tc>
          <w:tcPr>
            <w:tcW w:w="2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27,033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1,222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16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28,271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28,271</w:t>
            </w:r>
          </w:p>
        </w:tc>
      </w:tr>
      <w:tr>
        <w:trPr>
          <w:trHeight w:val="18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cost of revenues</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1,549</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1,549</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1,549</w:t>
            </w:r>
          </w:p>
        </w:tc>
      </w:tr>
      <w:tr>
        <w:trPr>
          <w:trHeight w:val="169"/>
        </w:trPr>
        <w:tc>
          <w:tcPr>
            <w:tcW w:w="3780" w:type="dxa"/>
            <w:vAlign w:val="bottom"/>
            <w:gridSpan w:val="2"/>
          </w:tcPr>
          <w:p>
            <w:pPr>
              <w:ind w:left="320"/>
              <w:spacing w:after="0"/>
              <w:rPr>
                <w:sz w:val="20"/>
                <w:szCs w:val="20"/>
                <w:color w:val="auto"/>
              </w:rPr>
            </w:pPr>
            <w:r>
              <w:rPr>
                <w:rFonts w:ascii="Arial" w:cs="Arial" w:eastAsia="Arial" w:hAnsi="Arial"/>
                <w:sz w:val="12"/>
                <w:szCs w:val="12"/>
                <w:color w:val="auto"/>
              </w:rPr>
              <w:t>Net revenues</w:t>
            </w:r>
          </w:p>
        </w:tc>
        <w:tc>
          <w:tcPr>
            <w:tcW w:w="2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277,267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39,003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5,099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321,369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321,369</w:t>
            </w:r>
          </w:p>
        </w:tc>
      </w:tr>
      <w:tr>
        <w:trPr>
          <w:trHeight w:val="18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Segment and corporate expenses (income):</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1"/>
        </w:trPr>
        <w:tc>
          <w:tcPr>
            <w:tcW w:w="3780" w:type="dxa"/>
            <w:vAlign w:val="bottom"/>
            <w:gridSpan w:val="2"/>
          </w:tcPr>
          <w:p>
            <w:pPr>
              <w:ind w:left="180"/>
              <w:spacing w:after="0"/>
              <w:rPr>
                <w:sz w:val="20"/>
                <w:szCs w:val="20"/>
                <w:color w:val="auto"/>
              </w:rPr>
            </w:pPr>
            <w:r>
              <w:rPr>
                <w:rFonts w:ascii="Arial" w:cs="Arial" w:eastAsia="Arial" w:hAnsi="Arial"/>
                <w:sz w:val="12"/>
                <w:szCs w:val="12"/>
                <w:color w:val="auto"/>
              </w:rPr>
              <w:t>Operations</w:t>
            </w:r>
          </w:p>
        </w:tc>
        <w:tc>
          <w:tcPr>
            <w:tcW w:w="2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187,518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28,961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4,967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221,446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221,446</w:t>
            </w:r>
          </w:p>
        </w:tc>
      </w:tr>
      <w:tr>
        <w:trPr>
          <w:trHeight w:val="189"/>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Administrative</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50,085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50,085</w:t>
            </w:r>
          </w:p>
        </w:tc>
      </w:tr>
      <w:tr>
        <w:trPr>
          <w:trHeight w:val="171"/>
        </w:trPr>
        <w:tc>
          <w:tcPr>
            <w:tcW w:w="3780" w:type="dxa"/>
            <w:vAlign w:val="bottom"/>
            <w:gridSpan w:val="2"/>
          </w:tcPr>
          <w:p>
            <w:pPr>
              <w:ind w:left="180"/>
              <w:spacing w:after="0"/>
              <w:rPr>
                <w:sz w:val="20"/>
                <w:szCs w:val="20"/>
                <w:color w:val="auto"/>
              </w:rPr>
            </w:pPr>
            <w:r>
              <w:rPr>
                <w:rFonts w:ascii="Arial" w:cs="Arial" w:eastAsia="Arial" w:hAnsi="Arial"/>
                <w:sz w:val="12"/>
                <w:szCs w:val="12"/>
                <w:color w:val="auto"/>
              </w:rPr>
              <w:t>Depreciation and amortization</w:t>
            </w:r>
          </w:p>
        </w:tc>
        <w:tc>
          <w:tcPr>
            <w:tcW w:w="2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9,489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2,285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163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11,937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8,485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20,422</w:t>
            </w:r>
          </w:p>
        </w:tc>
      </w:tr>
      <w:tr>
        <w:trPr>
          <w:trHeight w:val="189"/>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Loss on sale or disposal of assets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502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618</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641</w:t>
            </w:r>
          </w:p>
        </w:tc>
      </w:tr>
      <w:tr>
        <w:trPr>
          <w:trHeight w:val="171"/>
        </w:trPr>
        <w:tc>
          <w:tcPr>
            <w:tcW w:w="3780" w:type="dxa"/>
            <w:vAlign w:val="bottom"/>
            <w:gridSpan w:val="2"/>
          </w:tcPr>
          <w:p>
            <w:pPr>
              <w:ind w:left="180"/>
              <w:spacing w:after="0"/>
              <w:rPr>
                <w:sz w:val="20"/>
                <w:szCs w:val="20"/>
                <w:color w:val="auto"/>
              </w:rPr>
            </w:pPr>
            <w:r>
              <w:rPr>
                <w:rFonts w:ascii="Arial" w:cs="Arial" w:eastAsia="Arial" w:hAnsi="Arial"/>
                <w:sz w:val="12"/>
                <w:szCs w:val="12"/>
                <w:color w:val="auto"/>
              </w:rPr>
              <w:t>Restructuring</w:t>
            </w:r>
          </w:p>
        </w:tc>
        <w:tc>
          <w:tcPr>
            <w:tcW w:w="2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982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543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202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1,727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183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1,910</w:t>
            </w:r>
          </w:p>
        </w:tc>
      </w:tr>
      <w:tr>
        <w:trPr>
          <w:trHeight w:val="189"/>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Interest expense</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228</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11,786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12,014</w:t>
            </w:r>
          </w:p>
        </w:tc>
      </w:tr>
      <w:tr>
        <w:trPr>
          <w:trHeight w:val="171"/>
        </w:trPr>
        <w:tc>
          <w:tcPr>
            <w:tcW w:w="3780" w:type="dxa"/>
            <w:vAlign w:val="bottom"/>
            <w:gridSpan w:val="2"/>
          </w:tcPr>
          <w:p>
            <w:pPr>
              <w:ind w:left="180"/>
              <w:spacing w:after="0"/>
              <w:rPr>
                <w:sz w:val="20"/>
                <w:szCs w:val="20"/>
                <w:color w:val="auto"/>
              </w:rPr>
            </w:pPr>
            <w:r>
              <w:rPr>
                <w:rFonts w:ascii="Arial" w:cs="Arial" w:eastAsia="Arial" w:hAnsi="Arial"/>
                <w:sz w:val="12"/>
                <w:szCs w:val="12"/>
                <w:color w:val="auto"/>
              </w:rPr>
              <w:t>Interest income</w:t>
            </w:r>
          </w:p>
        </w:tc>
        <w:tc>
          <w:tcPr>
            <w:tcW w:w="220" w:type="dxa"/>
            <w:vAlign w:val="bottom"/>
          </w:tcPr>
          <w:p>
            <w:pPr>
              <w:spacing w:after="0"/>
              <w:rPr>
                <w:sz w:val="14"/>
                <w:szCs w:val="14"/>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(41)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(66)</w:t>
            </w:r>
          </w:p>
        </w:tc>
      </w:tr>
      <w:tr>
        <w:trPr>
          <w:trHeight w:val="189"/>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Equity in net income of unconsolidated affiliate</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(5,626)</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(5,626)</w:t>
            </w:r>
          </w:p>
        </w:tc>
      </w:tr>
      <w:tr>
        <w:trPr>
          <w:trHeight w:val="171"/>
        </w:trPr>
        <w:tc>
          <w:tcPr>
            <w:tcW w:w="3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Other expense</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808</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811</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815</w:t>
            </w:r>
          </w:p>
        </w:tc>
      </w:tr>
      <w:tr>
        <w:trPr>
          <w:trHeight w:val="196"/>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Segment contribution</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78,653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6,210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5,390</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90,253</w:t>
            </w: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76"/>
        </w:trPr>
        <w:tc>
          <w:tcPr>
            <w:tcW w:w="3780" w:type="dxa"/>
            <w:vAlign w:val="bottom"/>
            <w:gridSpan w:val="2"/>
          </w:tcPr>
          <w:p>
            <w:pPr>
              <w:ind w:left="20"/>
              <w:spacing w:after="0"/>
              <w:rPr>
                <w:sz w:val="20"/>
                <w:szCs w:val="20"/>
                <w:color w:val="auto"/>
              </w:rPr>
            </w:pPr>
            <w:r>
              <w:rPr>
                <w:rFonts w:ascii="Arial" w:cs="Arial" w:eastAsia="Arial" w:hAnsi="Arial"/>
                <w:sz w:val="12"/>
                <w:szCs w:val="12"/>
                <w:color w:val="auto"/>
              </w:rPr>
              <w:t>Income from continuing operations before income taxes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90,253</w:t>
            </w:r>
          </w:p>
        </w:tc>
        <w:tc>
          <w:tcPr>
            <w:tcW w:w="60" w:type="dxa"/>
            <w:vAlign w:val="bottom"/>
          </w:tcPr>
          <w:p>
            <w:pPr>
              <w:spacing w:after="0"/>
              <w:rPr>
                <w:sz w:val="15"/>
                <w:szCs w:val="15"/>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(70,525)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19,728</w:t>
            </w:r>
          </w:p>
        </w:tc>
      </w:tr>
      <w:tr>
        <w:trPr>
          <w:trHeight w:val="252"/>
        </w:trPr>
        <w:tc>
          <w:tcPr>
            <w:tcW w:w="6220" w:type="dxa"/>
            <w:vAlign w:val="bottom"/>
            <w:gridSpan w:val="8"/>
          </w:tcPr>
          <w:p>
            <w:pPr>
              <w:spacing w:after="0"/>
              <w:rPr>
                <w:sz w:val="20"/>
                <w:szCs w:val="20"/>
                <w:color w:val="auto"/>
              </w:rPr>
            </w:pPr>
            <w:r>
              <w:rPr>
                <w:rFonts w:ascii="Arial" w:cs="Arial" w:eastAsia="Arial" w:hAnsi="Arial"/>
                <w:sz w:val="12"/>
                <w:szCs w:val="12"/>
                <w:b w:val="1"/>
                <w:bCs w:val="1"/>
                <w:color w:val="auto"/>
              </w:rPr>
              <w:t>NOTE 9: SUPPLEMENTAL CONSOLIDATED FINANCIAL INFORMATION AND DISCONTINUED OPERATIONS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2"/>
        </w:trPr>
        <w:tc>
          <w:tcPr>
            <w:tcW w:w="37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Supplemental Consolidated Financial Information</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2"/>
        </w:trPr>
        <w:tc>
          <w:tcPr>
            <w:tcW w:w="6220" w:type="dxa"/>
            <w:vAlign w:val="bottom"/>
            <w:gridSpan w:val="8"/>
          </w:tcPr>
          <w:p>
            <w:pPr>
              <w:spacing w:after="0"/>
              <w:rPr>
                <w:sz w:val="20"/>
                <w:szCs w:val="20"/>
                <w:color w:val="auto"/>
              </w:rPr>
            </w:pPr>
            <w:r>
              <w:rPr>
                <w:rFonts w:ascii="Arial" w:cs="Arial" w:eastAsia="Arial" w:hAnsi="Arial"/>
                <w:sz w:val="12"/>
                <w:szCs w:val="12"/>
                <w:color w:val="auto"/>
                <w:w w:val="92"/>
              </w:rPr>
              <w:t>The following table provides supplemental information on net amounts included in our condensed consolidated balance sheets: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6"/>
        </w:trPr>
        <w:tc>
          <w:tcPr>
            <w:tcW w:w="6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w w:val="92"/>
              </w:rPr>
              <w:t>June 30, 2017</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June 30, 2016</w:t>
            </w:r>
          </w:p>
        </w:tc>
        <w:tc>
          <w:tcPr>
            <w:tcW w:w="120" w:type="dxa"/>
            <w:vAlign w:val="bottom"/>
            <w:gridSpan w:val="2"/>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w w:val="92"/>
              </w:rPr>
              <w:t>September 30, 2016</w:t>
            </w:r>
          </w:p>
        </w:tc>
      </w:tr>
      <w:tr>
        <w:trPr>
          <w:trHeight w:val="205"/>
        </w:trPr>
        <w:tc>
          <w:tcPr>
            <w:tcW w:w="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ind w:left="140"/>
              <w:spacing w:after="0"/>
              <w:rPr>
                <w:sz w:val="20"/>
                <w:szCs w:val="20"/>
                <w:color w:val="auto"/>
              </w:rPr>
            </w:pPr>
            <w:r>
              <w:rPr>
                <w:rFonts w:ascii="Arial" w:cs="Arial" w:eastAsia="Arial" w:hAnsi="Arial"/>
                <w:sz w:val="10"/>
                <w:szCs w:val="10"/>
                <w:i w:val="1"/>
                <w:iCs w:val="1"/>
                <w:color w:val="auto"/>
              </w:rPr>
              <w:t>(in thousands)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4"/>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Gross pawn service charges receivable</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41,533</w:t>
            </w:r>
          </w:p>
        </w:tc>
        <w:tc>
          <w:tcPr>
            <w:tcW w:w="6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39,688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41,458</w:t>
            </w:r>
          </w:p>
        </w:tc>
      </w:tr>
      <w:tr>
        <w:trPr>
          <w:trHeight w:val="171"/>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Allowance for uncollectible pawn service charges receivable</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(10,948)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(10,045)</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(10,396)</w:t>
            </w:r>
          </w:p>
        </w:tc>
      </w:tr>
      <w:tr>
        <w:trPr>
          <w:trHeight w:val="185"/>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Pawn service charges receivable, net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30,585</w:t>
            </w:r>
          </w:p>
        </w:tc>
        <w:tc>
          <w:tcPr>
            <w:tcW w:w="6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29,643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31,062</w:t>
            </w:r>
          </w:p>
        </w:tc>
      </w:tr>
      <w:tr>
        <w:trPr>
          <w:trHeight w:val="81"/>
        </w:trPr>
        <w:tc>
          <w:tcPr>
            <w:tcW w:w="680" w:type="dxa"/>
            <w:vAlign w:val="bottom"/>
            <w:tcBorders>
              <w:top w:val="single" w:sz="8" w:color="CCEEFF"/>
            </w:tcBorders>
          </w:tcPr>
          <w:p>
            <w:pPr>
              <w:spacing w:after="0"/>
              <w:rPr>
                <w:sz w:val="7"/>
                <w:szCs w:val="7"/>
                <w:color w:val="auto"/>
              </w:rPr>
            </w:pPr>
          </w:p>
        </w:tc>
        <w:tc>
          <w:tcPr>
            <w:tcW w:w="3100" w:type="dxa"/>
            <w:vAlign w:val="bottom"/>
            <w:tcBorders>
              <w:top w:val="single" w:sz="8" w:color="CCEEFF"/>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94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1020" w:type="dxa"/>
            <w:vAlign w:val="bottom"/>
            <w:tcBorders>
              <w:top w:val="single" w:sz="8" w:color="CCEEFF"/>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r>
      <w:tr>
        <w:trPr>
          <w:trHeight w:val="18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Gross inventory</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141,510</w:t>
            </w:r>
          </w:p>
        </w:tc>
        <w:tc>
          <w:tcPr>
            <w:tcW w:w="6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135,807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146,367</w:t>
            </w:r>
          </w:p>
        </w:tc>
      </w:tr>
      <w:tr>
        <w:trPr>
          <w:trHeight w:val="171"/>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Inventory reserves</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(6,457)</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(5,439)</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(6,143)</w:t>
            </w:r>
          </w:p>
        </w:tc>
      </w:tr>
      <w:tr>
        <w:trPr>
          <w:trHeight w:val="185"/>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Inventory, net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135,053</w:t>
            </w:r>
          </w:p>
        </w:tc>
        <w:tc>
          <w:tcPr>
            <w:tcW w:w="6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130,368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140,224</w:t>
            </w:r>
          </w:p>
        </w:tc>
      </w:tr>
      <w:tr>
        <w:trPr>
          <w:trHeight w:val="81"/>
        </w:trPr>
        <w:tc>
          <w:tcPr>
            <w:tcW w:w="680" w:type="dxa"/>
            <w:vAlign w:val="bottom"/>
            <w:tcBorders>
              <w:top w:val="single" w:sz="8" w:color="CCEEFF"/>
            </w:tcBorders>
          </w:tcPr>
          <w:p>
            <w:pPr>
              <w:spacing w:after="0"/>
              <w:rPr>
                <w:sz w:val="7"/>
                <w:szCs w:val="7"/>
                <w:color w:val="auto"/>
              </w:rPr>
            </w:pPr>
          </w:p>
        </w:tc>
        <w:tc>
          <w:tcPr>
            <w:tcW w:w="3100" w:type="dxa"/>
            <w:vAlign w:val="bottom"/>
            <w:tcBorders>
              <w:top w:val="single" w:sz="8" w:color="CCEEFF"/>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94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1020" w:type="dxa"/>
            <w:vAlign w:val="bottom"/>
            <w:tcBorders>
              <w:top w:val="single" w:sz="8" w:color="CCEEFF"/>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r>
      <w:tr>
        <w:trPr>
          <w:trHeight w:val="18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Property and equipment, gross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215,823</w:t>
            </w:r>
          </w:p>
        </w:tc>
        <w:tc>
          <w:tcPr>
            <w:tcW w:w="6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210,005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210,309</w:t>
            </w:r>
          </w:p>
        </w:tc>
      </w:tr>
      <w:tr>
        <w:trPr>
          <w:trHeight w:val="171"/>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Accumulated depreciation</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(162,801)</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(148,804)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(151,854)</w:t>
            </w:r>
          </w:p>
        </w:tc>
      </w:tr>
      <w:tr>
        <w:trPr>
          <w:trHeight w:val="194"/>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Property and equipment, net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53,022</w:t>
            </w:r>
          </w:p>
        </w:tc>
        <w:tc>
          <w:tcPr>
            <w:tcW w:w="6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61,201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58,455</w:t>
            </w:r>
          </w:p>
        </w:tc>
      </w:tr>
      <w:tr>
        <w:trPr>
          <w:trHeight w:val="298"/>
        </w:trPr>
        <w:tc>
          <w:tcPr>
            <w:tcW w:w="68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jc w:val="right"/>
              <w:ind w:right="241"/>
              <w:spacing w:after="0"/>
              <w:rPr>
                <w:sz w:val="20"/>
                <w:szCs w:val="20"/>
                <w:color w:val="auto"/>
              </w:rPr>
            </w:pPr>
            <w:r>
              <w:rPr>
                <w:rFonts w:ascii="Arial" w:cs="Arial" w:eastAsia="Arial" w:hAnsi="Arial"/>
                <w:sz w:val="12"/>
                <w:szCs w:val="12"/>
                <w:color w:val="auto"/>
              </w:rPr>
              <w:t>22</w:t>
            </w: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15" w:right="199" w:bottom="1440" w:gutter="0" w:footer="0" w:header="0"/>
        </w:sectPr>
      </w:pPr>
    </w:p>
    <w:bookmarkStart w:id="24" w:name="page25"/>
    <w:bookmarkEnd w:id="24"/>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Discontinued Operations</w:t>
      </w:r>
    </w:p>
    <w:p>
      <w:pPr>
        <w:spacing w:after="0" w:line="114" w:lineRule="exact"/>
        <w:rPr>
          <w:sz w:val="20"/>
          <w:szCs w:val="20"/>
          <w:color w:val="auto"/>
        </w:rPr>
      </w:pPr>
    </w:p>
    <w:p>
      <w:pPr>
        <w:ind w:left="8" w:right="200"/>
        <w:spacing w:after="0" w:line="276" w:lineRule="auto"/>
        <w:rPr>
          <w:sz w:val="20"/>
          <w:szCs w:val="20"/>
          <w:color w:val="auto"/>
        </w:rPr>
      </w:pPr>
      <w:r>
        <w:rPr>
          <w:rFonts w:ascii="Arial" w:cs="Arial" w:eastAsia="Arial" w:hAnsi="Arial"/>
          <w:sz w:val="12"/>
          <w:szCs w:val="12"/>
          <w:color w:val="auto"/>
        </w:rPr>
        <w:t>In September 2016 we completed the previously announced sale of all of our interests in Grupo Finmart to AlphaCredit. The information presented below includes the assets, liabilities, revenues and expenses of variable interest entities which were deconsolidated as a result of the sale of Grupo Finmart.</w:t>
      </w:r>
    </w:p>
    <w:p>
      <w:pPr>
        <w:spacing w:after="0" w:line="79" w:lineRule="exact"/>
        <w:rPr>
          <w:sz w:val="20"/>
          <w:szCs w:val="20"/>
          <w:color w:val="auto"/>
        </w:rPr>
      </w:pPr>
    </w:p>
    <w:p>
      <w:pPr>
        <w:ind w:left="8" w:right="480"/>
        <w:spacing w:after="0" w:line="276" w:lineRule="auto"/>
        <w:rPr>
          <w:sz w:val="20"/>
          <w:szCs w:val="20"/>
          <w:color w:val="auto"/>
        </w:rPr>
      </w:pPr>
      <w:r>
        <w:rPr>
          <w:rFonts w:ascii="Arial" w:cs="Arial" w:eastAsia="Arial" w:hAnsi="Arial"/>
          <w:sz w:val="12"/>
          <w:szCs w:val="12"/>
          <w:color w:val="auto"/>
        </w:rPr>
        <w:t>The following table presents the reconciliation of the major line items constituting "Loss from discontinued operations, net of tax" of Grupo Finmart and other operations discontinued prior to the adoption of ASU 2014-08 that are presented in the condensed consolidated statements of operations: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right"/>
              <w:ind w:right="41"/>
              <w:spacing w:after="0"/>
              <w:rPr>
                <w:sz w:val="20"/>
                <w:szCs w:val="20"/>
                <w:color w:val="auto"/>
              </w:rPr>
            </w:pPr>
            <w:r>
              <w:rPr>
                <w:rFonts w:ascii="Arial" w:cs="Arial" w:eastAsia="Arial" w:hAnsi="Arial"/>
                <w:sz w:val="10"/>
                <w:szCs w:val="10"/>
                <w:b w:val="1"/>
                <w:bCs w:val="1"/>
                <w:color w:val="auto"/>
                <w:w w:val="91"/>
              </w:rPr>
              <w:t>Nine Months Ended June 30,</w:t>
            </w:r>
          </w:p>
        </w:tc>
      </w:tr>
      <w:tr>
        <w:trPr>
          <w:trHeight w:val="128"/>
        </w:trPr>
        <w:tc>
          <w:tcPr>
            <w:tcW w:w="8500" w:type="dxa"/>
            <w:vAlign w:val="bottom"/>
          </w:tcPr>
          <w:p>
            <w:pPr>
              <w:spacing w:after="0"/>
              <w:rPr>
                <w:sz w:val="11"/>
                <w:szCs w:val="11"/>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87"/>
              </w:rPr>
              <w:t>Three Months Ended June 30, 2016</w:t>
            </w: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2016</w:t>
            </w:r>
          </w:p>
        </w:tc>
      </w:tr>
      <w:tr>
        <w:trPr>
          <w:trHeight w:val="250"/>
        </w:trPr>
        <w:tc>
          <w:tcPr>
            <w:tcW w:w="8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40" w:type="dxa"/>
            <w:vAlign w:val="bottom"/>
            <w:gridSpan w:val="3"/>
          </w:tcPr>
          <w:p>
            <w:pPr>
              <w:jc w:val="right"/>
              <w:ind w:right="142"/>
              <w:spacing w:after="0"/>
              <w:rPr>
                <w:sz w:val="20"/>
                <w:szCs w:val="20"/>
                <w:color w:val="auto"/>
              </w:rPr>
            </w:pPr>
            <w:r>
              <w:rPr>
                <w:rFonts w:ascii="Arial" w:cs="Arial" w:eastAsia="Arial" w:hAnsi="Arial"/>
                <w:sz w:val="10"/>
                <w:szCs w:val="10"/>
                <w:i w:val="1"/>
                <w:iCs w:val="1"/>
                <w:color w:val="auto"/>
              </w:rPr>
              <w:t>(in thousands)</w:t>
            </w:r>
          </w:p>
        </w:tc>
        <w:tc>
          <w:tcPr>
            <w:tcW w:w="1000" w:type="dxa"/>
            <w:vAlign w:val="bottom"/>
          </w:tcPr>
          <w:p>
            <w:pPr>
              <w:spacing w:after="0"/>
              <w:rPr>
                <w:sz w:val="21"/>
                <w:szCs w:val="2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11,761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36,345</w:t>
            </w:r>
          </w:p>
        </w:tc>
      </w:tr>
      <w:tr>
        <w:trPr>
          <w:trHeight w:val="171"/>
        </w:trPr>
        <w:tc>
          <w:tcPr>
            <w:tcW w:w="8500" w:type="dxa"/>
            <w:vAlign w:val="bottom"/>
          </w:tcPr>
          <w:p>
            <w:pPr>
              <w:ind w:left="20"/>
              <w:spacing w:after="0"/>
              <w:rPr>
                <w:sz w:val="20"/>
                <w:szCs w:val="20"/>
                <w:color w:val="auto"/>
              </w:rPr>
            </w:pPr>
            <w:r>
              <w:rPr>
                <w:rFonts w:ascii="Arial" w:cs="Arial" w:eastAsia="Arial" w:hAnsi="Arial"/>
                <w:sz w:val="12"/>
                <w:szCs w:val="12"/>
                <w:color w:val="auto"/>
              </w:rPr>
              <w:t>Consumer loan bad debt</w:t>
            </w:r>
          </w:p>
        </w:tc>
        <w:tc>
          <w:tcPr>
            <w:tcW w:w="54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(6,201)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Arial" w:cs="Arial" w:eastAsia="Arial" w:hAnsi="Arial"/>
                <w:sz w:val="12"/>
                <w:szCs w:val="12"/>
                <w:color w:val="auto"/>
              </w:rPr>
              <w:t>(26,444)</w:t>
            </w:r>
          </w:p>
        </w:tc>
      </w:tr>
      <w:tr>
        <w:trPr>
          <w:trHeight w:val="189"/>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Operations expense</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(9,489)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(100,347)</w:t>
            </w:r>
          </w:p>
        </w:tc>
      </w:tr>
      <w:tr>
        <w:trPr>
          <w:trHeight w:val="171"/>
        </w:trPr>
        <w:tc>
          <w:tcPr>
            <w:tcW w:w="8500" w:type="dxa"/>
            <w:vAlign w:val="bottom"/>
          </w:tcPr>
          <w:p>
            <w:pPr>
              <w:ind w:left="20"/>
              <w:spacing w:after="0"/>
              <w:rPr>
                <w:sz w:val="20"/>
                <w:szCs w:val="20"/>
                <w:color w:val="auto"/>
              </w:rPr>
            </w:pPr>
            <w:r>
              <w:rPr>
                <w:rFonts w:ascii="Arial" w:cs="Arial" w:eastAsia="Arial" w:hAnsi="Arial"/>
                <w:sz w:val="12"/>
                <w:szCs w:val="12"/>
                <w:color w:val="auto"/>
              </w:rPr>
              <w:t>Interest expense, net</w:t>
            </w:r>
          </w:p>
        </w:tc>
        <w:tc>
          <w:tcPr>
            <w:tcW w:w="54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(3,943)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Arial" w:cs="Arial" w:eastAsia="Arial" w:hAnsi="Arial"/>
                <w:sz w:val="12"/>
                <w:szCs w:val="12"/>
                <w:color w:val="auto"/>
              </w:rPr>
              <w:t>(13,255)</w:t>
            </w:r>
          </w:p>
        </w:tc>
      </w:tr>
      <w:tr>
        <w:trPr>
          <w:trHeight w:val="180"/>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amortization and other expenses</w:t>
            </w:r>
          </w:p>
        </w:tc>
        <w:tc>
          <w:tcPr>
            <w:tcW w:w="5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(4,597)</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(6,234)</w:t>
            </w:r>
          </w:p>
        </w:tc>
      </w:tr>
      <w:tr>
        <w:trPr>
          <w:trHeight w:val="169"/>
        </w:trPr>
        <w:tc>
          <w:tcPr>
            <w:tcW w:w="8500" w:type="dxa"/>
            <w:vAlign w:val="bottom"/>
          </w:tcPr>
          <w:p>
            <w:pPr>
              <w:ind w:left="20"/>
              <w:spacing w:after="0"/>
              <w:rPr>
                <w:sz w:val="20"/>
                <w:szCs w:val="20"/>
                <w:color w:val="auto"/>
              </w:rPr>
            </w:pPr>
            <w:r>
              <w:rPr>
                <w:rFonts w:ascii="Arial" w:cs="Arial" w:eastAsia="Arial" w:hAnsi="Arial"/>
                <w:sz w:val="12"/>
                <w:szCs w:val="12"/>
                <w:color w:val="auto"/>
              </w:rPr>
              <w:t>Loss from discontinued operations before income taxes of Grupo Finmart</w:t>
            </w:r>
          </w:p>
        </w:tc>
        <w:tc>
          <w:tcPr>
            <w:tcW w:w="54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(12,469)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Arial" w:cs="Arial" w:eastAsia="Arial" w:hAnsi="Arial"/>
                <w:sz w:val="12"/>
                <w:szCs w:val="12"/>
                <w:color w:val="auto"/>
              </w:rPr>
              <w:t>(109,935)</w:t>
            </w:r>
          </w:p>
        </w:tc>
      </w:tr>
      <w:tr>
        <w:trPr>
          <w:trHeight w:val="189"/>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benefit</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2,746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11,609</w:t>
            </w:r>
          </w:p>
        </w:tc>
      </w:tr>
      <w:tr>
        <w:trPr>
          <w:trHeight w:val="171"/>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(loss) from discontinued operations, net of tax of operations discontinued prior to the adoption of ASU 2014-08*</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590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(742)</w:t>
            </w:r>
          </w:p>
        </w:tc>
      </w:tr>
      <w:tr>
        <w:trPr>
          <w:trHeight w:val="185"/>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Loss from discontinued operations, net of tax</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(9,133)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(99,068)</w:t>
            </w:r>
          </w:p>
        </w:tc>
      </w:tr>
      <w:tr>
        <w:trPr>
          <w:trHeight w:val="81"/>
        </w:trPr>
        <w:tc>
          <w:tcPr>
            <w:tcW w:w="8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180"/>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from discontinued operations, net of tax of Grupo Finmart</w:t>
            </w:r>
          </w:p>
        </w:tc>
        <w:tc>
          <w:tcPr>
            <w:tcW w:w="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(9,723)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(98,326)</w:t>
            </w:r>
          </w:p>
        </w:tc>
      </w:tr>
      <w:tr>
        <w:trPr>
          <w:trHeight w:val="171"/>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Loss from discontinued operations, net of tax of Grupo Finmart attributable to noncontrolling interest</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540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6,140</w:t>
            </w:r>
          </w:p>
        </w:tc>
      </w:tr>
      <w:tr>
        <w:trPr>
          <w:trHeight w:val="185"/>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Loss from discontinued operations, net of tax of Grupo Finmart attributable to EZCORP, Inc.</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(9,183)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(92,186)</w:t>
            </w:r>
          </w:p>
        </w:tc>
      </w:tr>
    </w:tbl>
    <w:p>
      <w:pPr>
        <w:spacing w:after="0" w:line="60"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10"/>
          <w:szCs w:val="10"/>
          <w:color w:val="auto"/>
        </w:rPr>
      </w:pPr>
      <w:r>
        <w:rPr>
          <w:rFonts w:ascii="Arial" w:cs="Arial" w:eastAsia="Arial" w:hAnsi="Arial"/>
          <w:sz w:val="10"/>
          <w:szCs w:val="10"/>
          <w:color w:val="auto"/>
        </w:rPr>
        <w:t>Includes revenues of $2.1 million for the three and nine months ended June 30, 2016.</w:t>
      </w:r>
    </w:p>
    <w:p>
      <w:pPr>
        <w:spacing w:after="0" w:line="105" w:lineRule="exact"/>
        <w:rPr>
          <w:sz w:val="20"/>
          <w:szCs w:val="20"/>
          <w:color w:val="auto"/>
        </w:rPr>
      </w:pPr>
    </w:p>
    <w:p>
      <w:pPr>
        <w:ind w:left="8" w:right="120"/>
        <w:spacing w:after="0" w:line="276" w:lineRule="auto"/>
        <w:rPr>
          <w:sz w:val="20"/>
          <w:szCs w:val="20"/>
          <w:color w:val="auto"/>
        </w:rPr>
      </w:pPr>
      <w:r>
        <w:rPr>
          <w:rFonts w:ascii="Arial" w:cs="Arial" w:eastAsia="Arial" w:hAnsi="Arial"/>
          <w:sz w:val="12"/>
          <w:szCs w:val="12"/>
          <w:color w:val="auto"/>
        </w:rPr>
        <w:t>Cash flows from Grupo Finmart operating and investing activities for the three months ended June 30, 2016 were $2.3 million and $4.4 million, respectively, and $9.4 million and $4.6 million, respectively for the nine months ended June 30, 2016, with immaterial cash flows from Grupo Finmart operating and investing activities for the three and nine months ended June 30, 2017.</w:t>
      </w:r>
    </w:p>
    <w:p>
      <w:pPr>
        <w:spacing w:after="0" w:line="79" w:lineRule="exact"/>
        <w:rPr>
          <w:sz w:val="20"/>
          <w:szCs w:val="20"/>
          <w:color w:val="auto"/>
        </w:rPr>
      </w:pPr>
    </w:p>
    <w:p>
      <w:pPr>
        <w:ind w:left="8" w:right="160"/>
        <w:spacing w:after="0" w:line="276" w:lineRule="auto"/>
        <w:rPr>
          <w:sz w:val="20"/>
          <w:szCs w:val="20"/>
          <w:color w:val="auto"/>
        </w:rPr>
      </w:pPr>
      <w:r>
        <w:rPr>
          <w:rFonts w:ascii="Arial" w:cs="Arial" w:eastAsia="Arial" w:hAnsi="Arial"/>
          <w:sz w:val="12"/>
          <w:szCs w:val="12"/>
          <w:color w:val="auto"/>
        </w:rPr>
        <w:t>The following table presents the reconciliation of the carrying amounts of major classes of assets and liabilities, net of intercompany liabilities, of Grupo Finmart that are classified as held for sale presented in the condensed consolidated balance sheets as of June 30, 2016, in thousands:</w:t>
      </w:r>
    </w:p>
    <w:p>
      <w:pPr>
        <w:spacing w:after="0" w:line="70" w:lineRule="exact"/>
        <w:rPr>
          <w:sz w:val="20"/>
          <w:szCs w:val="20"/>
          <w:color w:val="auto"/>
        </w:rPr>
      </w:pPr>
    </w:p>
    <w:tbl>
      <w:tblPr>
        <w:tblLayout w:type="fixed"/>
        <w:tblInd w:w="8" w:type="dxa"/>
        <w:tblCellMar>
          <w:top w:w="0" w:type="dxa"/>
          <w:left w:w="0" w:type="dxa"/>
          <w:bottom w:w="0" w:type="dxa"/>
          <w:right w:w="0" w:type="dxa"/>
        </w:tblCellMar>
      </w:tblP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580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1,728</w:t>
            </w: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color w:val="auto"/>
              </w:rPr>
              <w:t>Consumer loans and non-current consumer loans, net</w:t>
            </w:r>
          </w:p>
        </w:tc>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71,409</w:t>
            </w: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Consumer loan fees and interest receivable, net</w:t>
            </w:r>
          </w:p>
        </w:tc>
        <w:tc>
          <w:tcPr>
            <w:tcW w:w="5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11,390</w:t>
            </w: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color w:val="auto"/>
              </w:rPr>
              <w:t>Goodwill, intangible assets and property and equipment, net</w:t>
            </w:r>
          </w:p>
        </w:tc>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10,285</w:t>
            </w: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Prepaid expenses, other current assets, deferred tax assets and other assets, net</w:t>
            </w:r>
          </w:p>
        </w:tc>
        <w:tc>
          <w:tcPr>
            <w:tcW w:w="52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62,742</w:t>
            </w:r>
          </w:p>
        </w:tc>
      </w:tr>
      <w:tr>
        <w:trPr>
          <w:trHeight w:val="185"/>
        </w:trPr>
        <w:tc>
          <w:tcPr>
            <w:tcW w:w="4720" w:type="dxa"/>
            <w:vAlign w:val="bottom"/>
          </w:tcPr>
          <w:p>
            <w:pPr>
              <w:ind w:left="180"/>
              <w:spacing w:after="0"/>
              <w:rPr>
                <w:sz w:val="20"/>
                <w:szCs w:val="20"/>
                <w:color w:val="auto"/>
              </w:rPr>
            </w:pPr>
            <w:r>
              <w:rPr>
                <w:rFonts w:ascii="Arial" w:cs="Arial" w:eastAsia="Arial" w:hAnsi="Arial"/>
                <w:sz w:val="12"/>
                <w:szCs w:val="12"/>
                <w:color w:val="auto"/>
              </w:rPr>
              <w:t>Total assets classified as held for sale</w:t>
            </w:r>
          </w:p>
        </w:tc>
        <w:tc>
          <w:tcPr>
            <w:tcW w:w="580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157,554</w:t>
            </w:r>
          </w:p>
        </w:tc>
      </w:tr>
      <w:tr>
        <w:trPr>
          <w:trHeight w:val="216"/>
        </w:trPr>
        <w:tc>
          <w:tcPr>
            <w:tcW w:w="472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color w:val="auto"/>
              </w:rPr>
              <w:t>Current maturities of long-term debt</w:t>
            </w:r>
          </w:p>
        </w:tc>
        <w:tc>
          <w:tcPr>
            <w:tcW w:w="580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80,248</w:t>
            </w: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Accounts payable, accrued expenses and other current liabilities</w:t>
            </w:r>
          </w:p>
        </w:tc>
        <w:tc>
          <w:tcPr>
            <w:tcW w:w="5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13,732</w:t>
            </w:r>
          </w:p>
        </w:tc>
      </w:tr>
      <w:tr>
        <w:trPr>
          <w:trHeight w:val="171"/>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Long-term debt, less current maturities, net and other long-term liabilities</w:t>
            </w:r>
          </w:p>
        </w:tc>
        <w:tc>
          <w:tcPr>
            <w:tcW w:w="52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36,281</w:t>
            </w:r>
          </w:p>
        </w:tc>
      </w:tr>
      <w:tr>
        <w:trPr>
          <w:trHeight w:val="194"/>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liabilities classified as held for sale</w:t>
            </w:r>
          </w:p>
        </w:tc>
        <w:tc>
          <w:tcPr>
            <w:tcW w:w="580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130,261</w:t>
            </w:r>
          </w:p>
        </w:tc>
      </w:tr>
      <w:tr>
        <w:trPr>
          <w:trHeight w:val="298"/>
        </w:trPr>
        <w:tc>
          <w:tcPr>
            <w:tcW w:w="4720" w:type="dxa"/>
            <w:vAlign w:val="bottom"/>
            <w:tcBorders>
              <w:top w:val="single" w:sz="8" w:color="CCEEFF"/>
            </w:tcBorders>
          </w:tcPr>
          <w:p>
            <w:pPr>
              <w:spacing w:after="0"/>
              <w:rPr>
                <w:sz w:val="24"/>
                <w:szCs w:val="24"/>
                <w:color w:val="auto"/>
              </w:rPr>
            </w:pPr>
          </w:p>
        </w:tc>
        <w:tc>
          <w:tcPr>
            <w:tcW w:w="5260" w:type="dxa"/>
            <w:vAlign w:val="bottom"/>
            <w:tcBorders>
              <w:top w:val="single" w:sz="8" w:color="CCEEFF"/>
            </w:tcBorders>
          </w:tcPr>
          <w:p>
            <w:pPr>
              <w:jc w:val="right"/>
              <w:ind w:right="4120"/>
              <w:spacing w:after="0"/>
              <w:rPr>
                <w:sz w:val="20"/>
                <w:szCs w:val="20"/>
                <w:color w:val="auto"/>
              </w:rPr>
            </w:pPr>
            <w:r>
              <w:rPr>
                <w:rFonts w:ascii="Arial" w:cs="Arial" w:eastAsia="Arial" w:hAnsi="Arial"/>
                <w:sz w:val="12"/>
                <w:szCs w:val="12"/>
                <w:color w:val="auto"/>
              </w:rPr>
              <w:t>23</w:t>
            </w:r>
          </w:p>
        </w:tc>
        <w:tc>
          <w:tcPr>
            <w:tcW w:w="5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bl>
    <w:p>
      <w:pPr>
        <w:sectPr>
          <w:pgSz w:w="11900" w:h="16838" w:orient="portrait"/>
          <w:cols w:equalWidth="0" w:num="1">
            <w:col w:w="11488"/>
          </w:cols>
          <w:pgMar w:left="212" w:top="128" w:right="199" w:bottom="1440" w:gutter="0" w:footer="0" w:header="0"/>
        </w:sectPr>
      </w:pPr>
    </w:p>
    <w:bookmarkStart w:id="25" w:name="page26"/>
    <w:bookmarkEnd w:id="2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SUBSEQUENT EVENTS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52525"/>
        </w:rPr>
        <w:t>2.875% Convertible Senior Notes Due 2024</w:t>
      </w:r>
    </w:p>
    <w:p>
      <w:pPr>
        <w:spacing w:after="0" w:line="114"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In July 2017, we issued $143.75 million aggregate principal amount of 2.875% Convertible Senior Notes Due 2024 (the “Convertible Notes”). All of the Convertible Notes were issued pursuant to an indenture dated July 5, 2017 (the "2017 Indenture") by and between us and Wells Fargo Bank, National Association, as the trustee. The Convertible Notes were issued in a private offering under Rule 144A under the Securities Act of 1933. The Convertible Notes pay interest semi-annually in arrears at a rate of 2.875% per annum on January 1 and July 1 of each year, commencing on January 1, 2018, and will mature on July 1, 2024 (the "2024 Maturity Date"), unless earlier converted, redeemed or repurchased in accordance with their terms prior to such date. At maturity, the holders of the Convertible Notes will be entitled to receive cash equal to the principal amount of the Convertible Notes plus unpaid accrued interest.</w:t>
      </w:r>
    </w:p>
    <w:p>
      <w:pPr>
        <w:spacing w:after="0" w:line="73" w:lineRule="exact"/>
        <w:rPr>
          <w:sz w:val="20"/>
          <w:szCs w:val="20"/>
          <w:color w:val="auto"/>
        </w:rPr>
      </w:pPr>
    </w:p>
    <w:p>
      <w:pPr>
        <w:ind w:right="300"/>
        <w:spacing w:after="0" w:line="263" w:lineRule="auto"/>
        <w:rPr>
          <w:sz w:val="20"/>
          <w:szCs w:val="20"/>
          <w:color w:val="auto"/>
        </w:rPr>
      </w:pPr>
      <w:r>
        <w:rPr>
          <w:rFonts w:ascii="Arial" w:cs="Arial" w:eastAsia="Arial" w:hAnsi="Arial"/>
          <w:sz w:val="12"/>
          <w:szCs w:val="12"/>
          <w:color w:val="auto"/>
        </w:rPr>
        <w:t>The Convertible Notes are convertible into cash or shares of Class A Common Stock, or any combination thereof, at our option subject to satisfaction of certain conditions and during the periods described below, based on an initial conversion rate of 100 shares of Class A Common Stock per $1,000 principal amount of Convertible Notes (equivalent to an initial conversion price of $10.00 per share of our Class A Common Stock). The conversion rate will not be adjusted for any accrued and unpaid interest. The Convertible Notes contain certain make-whole fundamental change premiums and customary anti-dilution adjustments.</w:t>
      </w:r>
    </w:p>
    <w:p>
      <w:pPr>
        <w:spacing w:after="0" w:line="87"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Prior to January 1, 2024, the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Convertible Notes may, at their option, convert their Convertible Notes at any time, regardless of the foregoing circumstances.</w:t>
      </w:r>
    </w:p>
    <w:p>
      <w:pPr>
        <w:spacing w:after="0" w:line="95"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We may not redeem the Convertible Notes prior to July 6, 2021. At our option, we may redeem for cash all or any portion of the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128" w:right="199" w:bottom="1440" w:gutter="0" w:footer="0" w:header="0"/>
        </w:sectPr>
      </w:pPr>
    </w:p>
    <w:bookmarkStart w:id="26" w:name="page27"/>
    <w:bookmarkEnd w:id="2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52525"/>
        </w:rPr>
        <w:t>Repayment of Term Loan Facility and Partial Repayment of Cash Convertible Notes</w:t>
      </w:r>
    </w:p>
    <w:p>
      <w:pPr>
        <w:spacing w:after="0" w:line="11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In July 2017, we used approximately $51.6 million of net proceeds from the Convertible Notes offering, described above, to repay all outstanding borrowings under the Term Loan Facility (described in Note 5) and terminated that facility, including the undrawn Delayed Draw Term Loan commitment. In connection with the termination of the Term Loan Facility, the lenders have released, or are in the process of releasing, all related security interests in our assets.</w:t>
      </w:r>
    </w:p>
    <w:p>
      <w:pPr>
        <w:spacing w:after="0" w:line="56"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Further, we used approximately $34.4 million of net proceeds from the Convertible Notes offering to repurchase and retire $35.0 million aggregate principal amount of Cash Convertible Notes. In connection with the repurchase and retirement of Cash Convertible Notes, we entered into agreements dated as of June 29, 2017 to cash settle a proportionate amount of Cash Convertible Notes Hedges and Cash Convertible Notes Warrants corresponding to the repurchased and retired Cash Convertible Notes. In July 2017 we received $0.6 million in connection with the partial settlement of the Cash Convertible Notes Hedges and paid $0.5 million in connection with the settlement of 2.2 million of the outstanding Cash Convertible Notes Warrants. The remaining net proceeds of approximately $54.0 million from the Convertible Notes offering after the repayments discussed above will increase our general cash reserves and provide additional capital to potentially add to our earnings capacity as we consider attractive acquisition opportunities. We expect to record one-time charges of approximately $5 million in the fourth quarter of fiscal 2017 related to these transactions.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52525"/>
        </w:rPr>
        <w:t>Early Repayment of Notes Receivable</w:t>
      </w:r>
    </w:p>
    <w:p>
      <w:pPr>
        <w:spacing w:after="0" w:line="114"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252525"/>
        </w:rPr>
        <w:t>In July 2017, we received $6.2 million, including interest, for repayment of certain of our notes receivable that we received in connection with our sale of Grupo Finmart to Alpha Credit in September 2016. The repaid promissory notes were originally scheduled to be repaid July 2017 through December 2017, including early repayment of principal of $5.3 million. As a result of the early repayment, we will write-off the remaining associated guarantee asset and liability resulting in a nil impact to our condensed consolidated statements of operations in the fourth quarter of fiscal 2017.</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 — Risk Factors" of our Annual Report on Form 10-K for the year ended September 30, 2016, as supplemented by the information set forth in “Part I, Item 3 — Quantitative and Qualitative Disclosures about Market Risk” and "Part II, Item 1 — Legal Proceedings" of this Quarterly Report.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 and Financial Highlights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EZCORP is a Delaware corporation headquartered in Austin, Texas. We are a leading provider of pawn loans in the United States and Mexico.</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Our vision is to be the market leader in North America in responsibly and respectfully meeting our customers' desire for access to cash when they want it. That vision is supported by four key imperatives:</w:t>
      </w:r>
    </w:p>
    <w:p>
      <w:pPr>
        <w:spacing w:after="0" w:line="114"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Market Leading Customer Satisfaction;</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Exceptional Staff Engagement;</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Attractive Shareholder Returns;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Most Efficient Provider of Cash.</w:t>
      </w:r>
    </w:p>
    <w:p>
      <w:pPr>
        <w:spacing w:after="0" w:line="114"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charts present sources of net revenues including merchandise sales and jewelry scrapping gross profit ("GP") and pawn service charges ("PSC"):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3900805" cy="1584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00805" cy="158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00"/>
          </w:cols>
          <w:pgMar w:left="220" w:top="128" w:right="279" w:bottom="1440" w:gutter="0" w:footer="0" w:header="0"/>
        </w:sectPr>
      </w:pPr>
    </w:p>
    <w:bookmarkStart w:id="27" w:name="page28"/>
    <w:bookmarkEnd w:id="2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900805" cy="1584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00805" cy="158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Pawn Activities</w:t>
      </w:r>
    </w:p>
    <w:p>
      <w:pPr>
        <w:spacing w:after="0" w:line="11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At our pawn stores, we offer secured loans, which are typically small, non-recourse loans collateralized by tangible personal property. We earn pawn service charge revenue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 and the perceived probability of the loan’s redemption.</w:t>
      </w:r>
    </w:p>
    <w:p>
      <w:pPr>
        <w:spacing w:after="0" w:line="123" w:lineRule="exact"/>
        <w:rPr>
          <w:sz w:val="20"/>
          <w:szCs w:val="20"/>
          <w:color w:val="auto"/>
        </w:rPr>
      </w:pPr>
    </w:p>
    <w:p>
      <w:pPr>
        <w:ind w:right="140"/>
        <w:spacing w:after="0" w:line="380" w:lineRule="auto"/>
        <w:rPr>
          <w:sz w:val="20"/>
          <w:szCs w:val="20"/>
          <w:color w:val="auto"/>
        </w:rPr>
      </w:pPr>
      <w:r>
        <w:rPr>
          <w:rFonts w:ascii="Arial" w:cs="Arial" w:eastAsia="Arial" w:hAnsi="Arial"/>
          <w:sz w:val="10"/>
          <w:szCs w:val="10"/>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a significant portion of our inventory and sales in the U.S. involve gold and jewelry, our results can be heavily influenced by the market price of gold.</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Growth and Expansion</w:t>
      </w:r>
    </w:p>
    <w:p>
      <w:pPr>
        <w:spacing w:after="0" w:line="114" w:lineRule="exact"/>
        <w:rPr>
          <w:sz w:val="20"/>
          <w:szCs w:val="20"/>
          <w:color w:val="auto"/>
        </w:rPr>
      </w:pPr>
    </w:p>
    <w:p>
      <w:pPr>
        <w:jc w:val="both"/>
        <w:ind w:right="220"/>
        <w:spacing w:after="0" w:line="263" w:lineRule="auto"/>
        <w:rPr>
          <w:sz w:val="20"/>
          <w:szCs w:val="20"/>
          <w:color w:val="auto"/>
        </w:rPr>
      </w:pPr>
      <w:r>
        <w:rPr>
          <w:rFonts w:ascii="Arial" w:cs="Arial" w:eastAsia="Arial" w:hAnsi="Arial"/>
          <w:sz w:val="12"/>
          <w:szCs w:val="12"/>
          <w:color w:val="auto"/>
        </w:rPr>
        <w:t>We plan to expand the number of locations we operate through opening new (“de novo”) locations and through acquisitions. We believe there are growth opportunities with de novo stores in Mexico and pawn store acquisitions in both Latin America and in the U.S. Our ability to add new stores is dependent on several variables, such as the availability of acceptable sites or acquisition candidates, the regulatory environment, local zoning ordinances, access to capital, availability of qualified personnel and the attainment of internal return on investment hurdles.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Seasonality and Quarterly Results</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Historically, pawn service charges are highest in our fourth fiscal quarter (July through September) due to a higher average loan balance during the summer lending season in our third fiscal quarter, with balances peaking in our fourth and first fiscal quarters. Loan balances are generally lower in our second fiscal quarter. Merchandise sales are highest in the first and second fiscal quarters (October through March) due to the holiday season, jewelry sales surrounding Valentine’s Day and the availability of tax refunds in the United States. Generally, our earnings per share are the lowest during our third fiscal quarter.</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Store Data by Segment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0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gridSpan w:val="4"/>
          </w:tcPr>
          <w:p>
            <w:pPr>
              <w:jc w:val="center"/>
              <w:ind w:left="432"/>
              <w:spacing w:after="0"/>
              <w:rPr>
                <w:sz w:val="20"/>
                <w:szCs w:val="20"/>
                <w:color w:val="auto"/>
              </w:rPr>
            </w:pPr>
            <w:r>
              <w:rPr>
                <w:rFonts w:ascii="Arial" w:cs="Arial" w:eastAsia="Arial" w:hAnsi="Arial"/>
                <w:sz w:val="10"/>
                <w:szCs w:val="10"/>
                <w:b w:val="1"/>
                <w:bCs w:val="1"/>
                <w:color w:val="auto"/>
                <w:w w:val="87"/>
              </w:rPr>
              <w:t>Three Months Ended June 30, 2017</w:t>
            </w: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124"/>
        </w:trPr>
        <w:tc>
          <w:tcPr>
            <w:tcW w:w="60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jc w:val="center"/>
              <w:ind w:right="412"/>
              <w:spacing w:after="0"/>
              <w:rPr>
                <w:sz w:val="20"/>
                <w:szCs w:val="20"/>
                <w:color w:val="auto"/>
              </w:rPr>
            </w:pPr>
            <w:r>
              <w:rPr>
                <w:rFonts w:ascii="Arial" w:cs="Arial" w:eastAsia="Arial" w:hAnsi="Arial"/>
                <w:sz w:val="10"/>
                <w:szCs w:val="10"/>
                <w:b w:val="1"/>
                <w:bCs w:val="1"/>
                <w:color w:val="auto"/>
                <w:w w:val="85"/>
              </w:rPr>
              <w:t>Company-owned Stores</w:t>
            </w: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r>
        <w:trPr>
          <w:trHeight w:val="169"/>
        </w:trPr>
        <w:tc>
          <w:tcPr>
            <w:tcW w:w="6060" w:type="dxa"/>
            <w:vAlign w:val="bottom"/>
          </w:tcPr>
          <w:p>
            <w:pPr>
              <w:spacing w:after="0"/>
              <w:rPr>
                <w:sz w:val="14"/>
                <w:szCs w:val="14"/>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w w:val="86"/>
              </w:rPr>
              <w:t>U.S. Pawn</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89"/>
              </w:rPr>
              <w:t>Mexico Pawn</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w w:val="96"/>
              </w:rPr>
              <w:t>Other International</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Consolidated</w:t>
            </w:r>
          </w:p>
        </w:tc>
      </w:tr>
      <w:tr>
        <w:trPr>
          <w:trHeight w:val="74"/>
        </w:trPr>
        <w:tc>
          <w:tcPr>
            <w:tcW w:w="6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18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As of March 31, 2017</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79"/>
              </w:rPr>
              <w:t>517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240</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784</w:t>
            </w:r>
          </w:p>
        </w:tc>
      </w:tr>
      <w:tr>
        <w:trPr>
          <w:trHeight w:val="171"/>
        </w:trPr>
        <w:tc>
          <w:tcPr>
            <w:tcW w:w="6800" w:type="dxa"/>
            <w:vAlign w:val="bottom"/>
            <w:gridSpan w:val="2"/>
          </w:tcPr>
          <w:p>
            <w:pPr>
              <w:ind w:left="180"/>
              <w:spacing w:after="0"/>
              <w:rPr>
                <w:sz w:val="20"/>
                <w:szCs w:val="20"/>
                <w:color w:val="auto"/>
              </w:rPr>
            </w:pPr>
            <w:r>
              <w:rPr>
                <w:rFonts w:ascii="Arial" w:cs="Arial" w:eastAsia="Arial" w:hAnsi="Arial"/>
                <w:sz w:val="12"/>
                <w:szCs w:val="12"/>
                <w:color w:val="auto"/>
              </w:rPr>
              <w:t>New locations opened</w:t>
            </w:r>
          </w:p>
        </w:tc>
        <w:tc>
          <w:tcPr>
            <w:tcW w:w="1360" w:type="dxa"/>
            <w:vAlign w:val="bottom"/>
            <w:gridSpan w:val="3"/>
          </w:tcPr>
          <w:p>
            <w:pPr>
              <w:jc w:val="right"/>
              <w:ind w:right="1132"/>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62"/>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4</w:t>
            </w:r>
          </w:p>
        </w:tc>
      </w:tr>
      <w:tr>
        <w:trPr>
          <w:trHeight w:val="180"/>
        </w:trPr>
        <w:tc>
          <w:tcPr>
            <w:tcW w:w="6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Locations sold, combined or closed</w:t>
            </w:r>
          </w:p>
        </w:tc>
        <w:tc>
          <w:tcPr>
            <w:tcW w:w="7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r>
      <w:tr>
        <w:trPr>
          <w:trHeight w:val="185"/>
        </w:trPr>
        <w:tc>
          <w:tcPr>
            <w:tcW w:w="6800" w:type="dxa"/>
            <w:vAlign w:val="bottom"/>
            <w:gridSpan w:val="2"/>
          </w:tcPr>
          <w:p>
            <w:pPr>
              <w:ind w:left="20"/>
              <w:spacing w:after="0"/>
              <w:rPr>
                <w:sz w:val="20"/>
                <w:szCs w:val="20"/>
                <w:color w:val="auto"/>
              </w:rPr>
            </w:pPr>
            <w:r>
              <w:rPr>
                <w:rFonts w:ascii="Arial" w:cs="Arial" w:eastAsia="Arial" w:hAnsi="Arial"/>
                <w:sz w:val="12"/>
                <w:szCs w:val="12"/>
                <w:color w:val="auto"/>
              </w:rPr>
              <w:t>As of June 30, 2017</w:t>
            </w:r>
          </w:p>
        </w:tc>
        <w:tc>
          <w:tcPr>
            <w:tcW w:w="300" w:type="dxa"/>
            <w:vAlign w:val="bottom"/>
          </w:tcPr>
          <w:p>
            <w:pPr>
              <w:jc w:val="right"/>
              <w:ind w:right="60"/>
              <w:spacing w:after="0"/>
              <w:rPr>
                <w:sz w:val="20"/>
                <w:szCs w:val="20"/>
                <w:color w:val="auto"/>
              </w:rPr>
            </w:pPr>
            <w:r>
              <w:rPr>
                <w:rFonts w:ascii="Arial" w:cs="Arial" w:eastAsia="Arial" w:hAnsi="Arial"/>
                <w:sz w:val="12"/>
                <w:szCs w:val="12"/>
                <w:color w:val="auto"/>
                <w:w w:val="79"/>
              </w:rPr>
              <w:t>515</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jc w:val="right"/>
              <w:ind w:right="62"/>
              <w:spacing w:after="0"/>
              <w:rPr>
                <w:sz w:val="20"/>
                <w:szCs w:val="20"/>
                <w:color w:val="auto"/>
              </w:rPr>
            </w:pPr>
            <w:r>
              <w:rPr>
                <w:rFonts w:ascii="Arial" w:cs="Arial" w:eastAsia="Arial" w:hAnsi="Arial"/>
                <w:sz w:val="12"/>
                <w:szCs w:val="12"/>
                <w:color w:val="auto"/>
                <w:w w:val="89"/>
              </w:rPr>
              <w:t>244</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6"/>
                <w:szCs w:val="16"/>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786</w:t>
            </w:r>
          </w:p>
        </w:tc>
      </w:tr>
      <w:tr>
        <w:trPr>
          <w:trHeight w:val="306"/>
        </w:trPr>
        <w:tc>
          <w:tcPr>
            <w:tcW w:w="6060" w:type="dxa"/>
            <w:vAlign w:val="bottom"/>
          </w:tcPr>
          <w:p>
            <w:pPr>
              <w:ind w:left="5680"/>
              <w:spacing w:after="0"/>
              <w:rPr>
                <w:sz w:val="20"/>
                <w:szCs w:val="20"/>
                <w:color w:val="auto"/>
              </w:rPr>
            </w:pPr>
            <w:r>
              <w:rPr>
                <w:rFonts w:ascii="Arial" w:cs="Arial" w:eastAsia="Arial" w:hAnsi="Arial"/>
                <w:sz w:val="12"/>
                <w:szCs w:val="12"/>
                <w:color w:val="auto"/>
              </w:rPr>
              <w:t>26</w:t>
            </w:r>
          </w:p>
        </w:tc>
        <w:tc>
          <w:tcPr>
            <w:tcW w:w="7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20" w:top="128" w:right="239" w:bottom="1440" w:gutter="0" w:footer="0" w:header="0"/>
        </w:sectPr>
      </w:pPr>
    </w:p>
    <w:bookmarkStart w:id="28" w:name="page29"/>
    <w:bookmarkEnd w:id="28"/>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44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489"/>
        </w:trPr>
        <w:tc>
          <w:tcPr>
            <w:tcW w:w="680" w:type="dxa"/>
            <w:vAlign w:val="bottom"/>
            <w:tcBorders>
              <w:top w:val="single" w:sz="8" w:color="0000EE"/>
            </w:tcBorders>
          </w:tcPr>
          <w:p>
            <w:pPr>
              <w:spacing w:after="0"/>
              <w:rPr>
                <w:sz w:val="24"/>
                <w:szCs w:val="24"/>
                <w:color w:val="auto"/>
              </w:rPr>
            </w:pPr>
          </w:p>
        </w:tc>
        <w:tc>
          <w:tcPr>
            <w:tcW w:w="4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0"/>
                <w:szCs w:val="10"/>
                <w:b w:val="1"/>
                <w:bCs w:val="1"/>
                <w:color w:val="auto"/>
                <w:w w:val="87"/>
              </w:rPr>
              <w:t>Three Months Ended June 30, 2016</w:t>
            </w:r>
          </w:p>
        </w:tc>
        <w:tc>
          <w:tcPr>
            <w:tcW w:w="1040" w:type="dxa"/>
            <w:vAlign w:val="bottom"/>
            <w:tcBorders>
              <w:bottom w:val="single" w:sz="8" w:color="auto"/>
            </w:tcBorders>
          </w:tcPr>
          <w:p>
            <w:pPr>
              <w:spacing w:after="0"/>
              <w:rPr>
                <w:sz w:val="24"/>
                <w:szCs w:val="24"/>
                <w:color w:val="auto"/>
              </w:rPr>
            </w:pPr>
          </w:p>
        </w:tc>
      </w:tr>
      <w:tr>
        <w:trPr>
          <w:trHeight w:val="124"/>
        </w:trPr>
        <w:tc>
          <w:tcPr>
            <w:tcW w:w="6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0"/>
                <w:szCs w:val="10"/>
                <w:b w:val="1"/>
                <w:bCs w:val="1"/>
                <w:color w:val="auto"/>
                <w:w w:val="85"/>
              </w:rPr>
              <w:t>Company-owned Stores</w:t>
            </w:r>
          </w:p>
        </w:tc>
        <w:tc>
          <w:tcPr>
            <w:tcW w:w="1040" w:type="dxa"/>
            <w:vAlign w:val="bottom"/>
            <w:tcBorders>
              <w:bottom w:val="single" w:sz="8" w:color="auto"/>
            </w:tcBorders>
          </w:tcPr>
          <w:p>
            <w:pPr>
              <w:spacing w:after="0"/>
              <w:rPr>
                <w:sz w:val="10"/>
                <w:szCs w:val="10"/>
                <w:color w:val="auto"/>
              </w:rPr>
            </w:pPr>
          </w:p>
        </w:tc>
      </w:tr>
      <w:tr>
        <w:trPr>
          <w:trHeight w:val="169"/>
        </w:trPr>
        <w:tc>
          <w:tcPr>
            <w:tcW w:w="6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320"/>
              <w:spacing w:after="0"/>
              <w:rPr>
                <w:sz w:val="20"/>
                <w:szCs w:val="20"/>
                <w:color w:val="auto"/>
              </w:rPr>
            </w:pPr>
            <w:r>
              <w:rPr>
                <w:rFonts w:ascii="Arial" w:cs="Arial" w:eastAsia="Arial" w:hAnsi="Arial"/>
                <w:sz w:val="10"/>
                <w:szCs w:val="10"/>
                <w:b w:val="1"/>
                <w:bCs w:val="1"/>
                <w:color w:val="auto"/>
                <w:w w:val="82"/>
              </w:rPr>
              <w:t>U.S. Pawn</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right"/>
              <w:ind w:right="700"/>
              <w:spacing w:after="0"/>
              <w:rPr>
                <w:sz w:val="20"/>
                <w:szCs w:val="20"/>
                <w:color w:val="auto"/>
              </w:rPr>
            </w:pPr>
            <w:r>
              <w:rPr>
                <w:rFonts w:ascii="Arial" w:cs="Arial" w:eastAsia="Arial" w:hAnsi="Arial"/>
                <w:sz w:val="10"/>
                <w:szCs w:val="10"/>
                <w:b w:val="1"/>
                <w:bCs w:val="1"/>
                <w:color w:val="auto"/>
              </w:rPr>
              <w:t>Mexico Pawn</w:t>
            </w:r>
          </w:p>
        </w:tc>
        <w:tc>
          <w:tcPr>
            <w:tcW w:w="1520" w:type="dxa"/>
            <w:vAlign w:val="bottom"/>
            <w:gridSpan w:val="6"/>
          </w:tcPr>
          <w:p>
            <w:pPr>
              <w:ind w:left="40"/>
              <w:spacing w:after="0"/>
              <w:rPr>
                <w:sz w:val="20"/>
                <w:szCs w:val="20"/>
                <w:color w:val="auto"/>
              </w:rPr>
            </w:pPr>
            <w:r>
              <w:rPr>
                <w:rFonts w:ascii="Arial" w:cs="Arial" w:eastAsia="Arial" w:hAnsi="Arial"/>
                <w:sz w:val="10"/>
                <w:szCs w:val="10"/>
                <w:b w:val="1"/>
                <w:bCs w:val="1"/>
                <w:color w:val="auto"/>
              </w:rPr>
              <w:t>Other International</w:t>
            </w:r>
          </w:p>
        </w:tc>
        <w:tc>
          <w:tcPr>
            <w:tcW w:w="1040" w:type="dxa"/>
            <w:vAlign w:val="bottom"/>
          </w:tcPr>
          <w:p>
            <w:pPr>
              <w:jc w:val="right"/>
              <w:ind w:right="302"/>
              <w:spacing w:after="0"/>
              <w:rPr>
                <w:sz w:val="20"/>
                <w:szCs w:val="20"/>
                <w:color w:val="auto"/>
              </w:rPr>
            </w:pPr>
            <w:r>
              <w:rPr>
                <w:rFonts w:ascii="Arial" w:cs="Arial" w:eastAsia="Arial" w:hAnsi="Arial"/>
                <w:sz w:val="10"/>
                <w:szCs w:val="10"/>
                <w:b w:val="1"/>
                <w:bCs w:val="1"/>
                <w:color w:val="auto"/>
              </w:rPr>
              <w:t>Consolidated</w:t>
            </w:r>
          </w:p>
        </w:tc>
      </w:tr>
      <w:tr>
        <w:trPr>
          <w:trHeight w:val="74"/>
        </w:trPr>
        <w:tc>
          <w:tcPr>
            <w:tcW w:w="680" w:type="dxa"/>
            <w:vAlign w:val="bottom"/>
          </w:tcPr>
          <w:p>
            <w:pPr>
              <w:spacing w:after="0"/>
              <w:rPr>
                <w:sz w:val="6"/>
                <w:szCs w:val="6"/>
                <w:color w:val="auto"/>
              </w:rPr>
            </w:pPr>
          </w:p>
        </w:tc>
        <w:tc>
          <w:tcPr>
            <w:tcW w:w="4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r>
      <w:tr>
        <w:trPr>
          <w:trHeight w:val="180"/>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As of March 31, 2016</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79"/>
              </w:rPr>
              <w:t>522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237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62"/>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786</w:t>
            </w:r>
          </w:p>
        </w:tc>
      </w:tr>
      <w:tr>
        <w:trPr>
          <w:trHeight w:val="171"/>
        </w:trPr>
        <w:tc>
          <w:tcPr>
            <w:tcW w:w="5440" w:type="dxa"/>
            <w:vAlign w:val="bottom"/>
            <w:gridSpan w:val="3"/>
          </w:tcPr>
          <w:p>
            <w:pPr>
              <w:ind w:left="180"/>
              <w:spacing w:after="0"/>
              <w:rPr>
                <w:sz w:val="20"/>
                <w:szCs w:val="20"/>
                <w:color w:val="auto"/>
              </w:rPr>
            </w:pPr>
            <w:r>
              <w:rPr>
                <w:rFonts w:ascii="Arial" w:cs="Arial" w:eastAsia="Arial" w:hAnsi="Arial"/>
                <w:sz w:val="12"/>
                <w:szCs w:val="12"/>
                <w:color w:val="auto"/>
              </w:rPr>
              <w:t>New locations opened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7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44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w:t>
            </w:r>
          </w:p>
        </w:tc>
      </w:tr>
      <w:tr>
        <w:trPr>
          <w:trHeight w:val="176"/>
        </w:trPr>
        <w:tc>
          <w:tcPr>
            <w:tcW w:w="54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As of June 30, 2016</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79"/>
              </w:rPr>
              <w:t>522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238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gridSpan w:val="3"/>
            <w:shd w:val="clear" w:color="auto" w:fill="CCEEFF"/>
          </w:tcPr>
          <w:p>
            <w:pPr>
              <w:jc w:val="right"/>
              <w:ind w:right="62"/>
              <w:spacing w:after="0"/>
              <w:rPr>
                <w:sz w:val="20"/>
                <w:szCs w:val="20"/>
                <w:color w:val="auto"/>
              </w:rPr>
            </w:pPr>
            <w:r>
              <w:rPr>
                <w:rFonts w:ascii="Arial" w:cs="Arial" w:eastAsia="Arial" w:hAnsi="Arial"/>
                <w:sz w:val="12"/>
                <w:szCs w:val="12"/>
                <w:color w:val="auto"/>
              </w:rPr>
              <w:t>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787</w:t>
            </w:r>
          </w:p>
        </w:tc>
      </w:tr>
      <w:tr>
        <w:trPr>
          <w:trHeight w:val="20"/>
        </w:trPr>
        <w:tc>
          <w:tcPr>
            <w:tcW w:w="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6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0"/>
                <w:szCs w:val="10"/>
                <w:b w:val="1"/>
                <w:bCs w:val="1"/>
                <w:color w:val="auto"/>
                <w:w w:val="86"/>
              </w:rPr>
              <w:t>Nine Months Ended June 30, 2017</w:t>
            </w:r>
          </w:p>
        </w:tc>
        <w:tc>
          <w:tcPr>
            <w:tcW w:w="1040" w:type="dxa"/>
            <w:vAlign w:val="bottom"/>
            <w:tcBorders>
              <w:bottom w:val="single" w:sz="8" w:color="auto"/>
            </w:tcBorders>
          </w:tcPr>
          <w:p>
            <w:pPr>
              <w:spacing w:after="0"/>
              <w:rPr>
                <w:sz w:val="18"/>
                <w:szCs w:val="18"/>
                <w:color w:val="auto"/>
              </w:rPr>
            </w:pPr>
          </w:p>
        </w:tc>
      </w:tr>
      <w:tr>
        <w:trPr>
          <w:trHeight w:val="124"/>
        </w:trPr>
        <w:tc>
          <w:tcPr>
            <w:tcW w:w="6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0"/>
                <w:szCs w:val="10"/>
                <w:b w:val="1"/>
                <w:bCs w:val="1"/>
                <w:color w:val="auto"/>
                <w:w w:val="85"/>
              </w:rPr>
              <w:t>Company-owned Stores</w:t>
            </w:r>
          </w:p>
        </w:tc>
        <w:tc>
          <w:tcPr>
            <w:tcW w:w="1040" w:type="dxa"/>
            <w:vAlign w:val="bottom"/>
            <w:tcBorders>
              <w:bottom w:val="single" w:sz="8" w:color="auto"/>
            </w:tcBorders>
          </w:tcPr>
          <w:p>
            <w:pPr>
              <w:spacing w:after="0"/>
              <w:rPr>
                <w:sz w:val="10"/>
                <w:szCs w:val="10"/>
                <w:color w:val="auto"/>
              </w:rPr>
            </w:pPr>
          </w:p>
        </w:tc>
      </w:tr>
      <w:tr>
        <w:trPr>
          <w:trHeight w:val="169"/>
        </w:trPr>
        <w:tc>
          <w:tcPr>
            <w:tcW w:w="6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320"/>
              <w:spacing w:after="0"/>
              <w:rPr>
                <w:sz w:val="20"/>
                <w:szCs w:val="20"/>
                <w:color w:val="auto"/>
              </w:rPr>
            </w:pPr>
            <w:r>
              <w:rPr>
                <w:rFonts w:ascii="Arial" w:cs="Arial" w:eastAsia="Arial" w:hAnsi="Arial"/>
                <w:sz w:val="10"/>
                <w:szCs w:val="10"/>
                <w:b w:val="1"/>
                <w:bCs w:val="1"/>
                <w:color w:val="auto"/>
                <w:w w:val="82"/>
              </w:rPr>
              <w:t>U.S. Pawn</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right"/>
              <w:ind w:right="700"/>
              <w:spacing w:after="0"/>
              <w:rPr>
                <w:sz w:val="20"/>
                <w:szCs w:val="20"/>
                <w:color w:val="auto"/>
              </w:rPr>
            </w:pPr>
            <w:r>
              <w:rPr>
                <w:rFonts w:ascii="Arial" w:cs="Arial" w:eastAsia="Arial" w:hAnsi="Arial"/>
                <w:sz w:val="10"/>
                <w:szCs w:val="10"/>
                <w:b w:val="1"/>
                <w:bCs w:val="1"/>
                <w:color w:val="auto"/>
              </w:rPr>
              <w:t>Mexico Pawn</w:t>
            </w:r>
          </w:p>
        </w:tc>
        <w:tc>
          <w:tcPr>
            <w:tcW w:w="1520" w:type="dxa"/>
            <w:vAlign w:val="bottom"/>
            <w:gridSpan w:val="6"/>
          </w:tcPr>
          <w:p>
            <w:pPr>
              <w:ind w:left="40"/>
              <w:spacing w:after="0"/>
              <w:rPr>
                <w:sz w:val="20"/>
                <w:szCs w:val="20"/>
                <w:color w:val="auto"/>
              </w:rPr>
            </w:pPr>
            <w:r>
              <w:rPr>
                <w:rFonts w:ascii="Arial" w:cs="Arial" w:eastAsia="Arial" w:hAnsi="Arial"/>
                <w:sz w:val="10"/>
                <w:szCs w:val="10"/>
                <w:b w:val="1"/>
                <w:bCs w:val="1"/>
                <w:color w:val="auto"/>
              </w:rPr>
              <w:t>Other International</w:t>
            </w:r>
          </w:p>
        </w:tc>
        <w:tc>
          <w:tcPr>
            <w:tcW w:w="1040" w:type="dxa"/>
            <w:vAlign w:val="bottom"/>
          </w:tcPr>
          <w:p>
            <w:pPr>
              <w:jc w:val="right"/>
              <w:ind w:right="302"/>
              <w:spacing w:after="0"/>
              <w:rPr>
                <w:sz w:val="20"/>
                <w:szCs w:val="20"/>
                <w:color w:val="auto"/>
              </w:rPr>
            </w:pPr>
            <w:r>
              <w:rPr>
                <w:rFonts w:ascii="Arial" w:cs="Arial" w:eastAsia="Arial" w:hAnsi="Arial"/>
                <w:sz w:val="10"/>
                <w:szCs w:val="10"/>
                <w:b w:val="1"/>
                <w:bCs w:val="1"/>
                <w:color w:val="auto"/>
              </w:rPr>
              <w:t>Consolidated</w:t>
            </w:r>
          </w:p>
        </w:tc>
      </w:tr>
      <w:tr>
        <w:trPr>
          <w:trHeight w:val="74"/>
        </w:trPr>
        <w:tc>
          <w:tcPr>
            <w:tcW w:w="680" w:type="dxa"/>
            <w:vAlign w:val="bottom"/>
          </w:tcPr>
          <w:p>
            <w:pPr>
              <w:spacing w:after="0"/>
              <w:rPr>
                <w:sz w:val="6"/>
                <w:szCs w:val="6"/>
                <w:color w:val="auto"/>
              </w:rPr>
            </w:pPr>
          </w:p>
        </w:tc>
        <w:tc>
          <w:tcPr>
            <w:tcW w:w="4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r>
      <w:tr>
        <w:trPr>
          <w:trHeight w:val="16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shd w:val="clear" w:color="auto" w:fill="CCEEFF"/>
              </w:rPr>
              <w:t>As of September 30, 2016</w:t>
            </w:r>
          </w:p>
        </w:tc>
        <w:tc>
          <w:tcPr>
            <w:tcW w:w="7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w w:val="79"/>
              </w:rPr>
              <w:t>520</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239</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3"/>
            <w:shd w:val="clear" w:color="auto" w:fill="CCEEFF"/>
          </w:tcPr>
          <w:p>
            <w:pPr>
              <w:jc w:val="right"/>
              <w:ind w:right="62"/>
              <w:spacing w:after="0"/>
              <w:rPr>
                <w:sz w:val="20"/>
                <w:szCs w:val="20"/>
                <w:color w:val="auto"/>
              </w:rPr>
            </w:pPr>
            <w:r>
              <w:rPr>
                <w:rFonts w:ascii="Arial" w:cs="Arial" w:eastAsia="Arial" w:hAnsi="Arial"/>
                <w:sz w:val="12"/>
                <w:szCs w:val="12"/>
                <w:color w:val="auto"/>
              </w:rPr>
              <w:t>27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786</w:t>
            </w:r>
          </w:p>
        </w:tc>
      </w:tr>
      <w:tr>
        <w:trPr>
          <w:trHeight w:val="171"/>
        </w:trPr>
        <w:tc>
          <w:tcPr>
            <w:tcW w:w="5440" w:type="dxa"/>
            <w:vAlign w:val="bottom"/>
            <w:gridSpan w:val="3"/>
          </w:tcPr>
          <w:p>
            <w:pPr>
              <w:ind w:left="180"/>
              <w:spacing w:after="0"/>
              <w:rPr>
                <w:sz w:val="20"/>
                <w:szCs w:val="20"/>
                <w:color w:val="auto"/>
              </w:rPr>
            </w:pPr>
            <w:r>
              <w:rPr>
                <w:rFonts w:ascii="Arial" w:cs="Arial" w:eastAsia="Arial" w:hAnsi="Arial"/>
                <w:sz w:val="12"/>
                <w:szCs w:val="12"/>
                <w:color w:val="auto"/>
              </w:rPr>
              <w:t>New locations opened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7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44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6</w:t>
            </w:r>
          </w:p>
        </w:tc>
      </w:tr>
      <w:tr>
        <w:trPr>
          <w:trHeight w:val="189"/>
        </w:trPr>
        <w:tc>
          <w:tcPr>
            <w:tcW w:w="544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Locations sold, combined or closed</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4"/>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w:t>
            </w:r>
          </w:p>
        </w:tc>
      </w:tr>
      <w:tr>
        <w:trPr>
          <w:trHeight w:val="176"/>
        </w:trPr>
        <w:tc>
          <w:tcPr>
            <w:tcW w:w="5440" w:type="dxa"/>
            <w:vAlign w:val="bottom"/>
            <w:gridSpan w:val="3"/>
          </w:tcPr>
          <w:p>
            <w:pPr>
              <w:ind w:left="20"/>
              <w:spacing w:after="0"/>
              <w:rPr>
                <w:sz w:val="20"/>
                <w:szCs w:val="20"/>
                <w:color w:val="auto"/>
              </w:rPr>
            </w:pPr>
            <w:r>
              <w:rPr>
                <w:rFonts w:ascii="Arial" w:cs="Arial" w:eastAsia="Arial" w:hAnsi="Arial"/>
                <w:sz w:val="12"/>
                <w:szCs w:val="12"/>
                <w:color w:val="auto"/>
              </w:rPr>
              <w:t>As of June 30, 2017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w w:val="79"/>
              </w:rPr>
              <w:t>515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2"/>
                <w:szCs w:val="12"/>
                <w:color w:val="auto"/>
              </w:rPr>
              <w:t>244</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3"/>
          </w:tcPr>
          <w:p>
            <w:pPr>
              <w:jc w:val="right"/>
              <w:ind w:right="62"/>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786</w:t>
            </w:r>
          </w:p>
        </w:tc>
      </w:tr>
      <w:tr>
        <w:trPr>
          <w:trHeight w:val="221"/>
        </w:trPr>
        <w:tc>
          <w:tcPr>
            <w:tcW w:w="6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w w:val="95"/>
              </w:rPr>
              <w:t>Nine Months Ended June 30, 2016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69"/>
        </w:trPr>
        <w:tc>
          <w:tcPr>
            <w:tcW w:w="6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0"/>
                <w:szCs w:val="10"/>
                <w:b w:val="1"/>
                <w:bCs w:val="1"/>
                <w:color w:val="auto"/>
              </w:rPr>
              <w:t>Company-owned Stores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40" w:type="dxa"/>
            <w:vAlign w:val="bottom"/>
          </w:tcPr>
          <w:p>
            <w:pPr>
              <w:ind w:left="320"/>
              <w:spacing w:after="0"/>
              <w:rPr>
                <w:sz w:val="20"/>
                <w:szCs w:val="20"/>
                <w:color w:val="auto"/>
              </w:rPr>
            </w:pPr>
            <w:r>
              <w:rPr>
                <w:rFonts w:ascii="Arial" w:cs="Arial" w:eastAsia="Arial" w:hAnsi="Arial"/>
                <w:sz w:val="10"/>
                <w:szCs w:val="10"/>
                <w:b w:val="1"/>
                <w:bCs w:val="1"/>
                <w:color w:val="auto"/>
                <w:w w:val="82"/>
              </w:rPr>
              <w:t>U.S. Pawn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Arial" w:cs="Arial" w:eastAsia="Arial" w:hAnsi="Arial"/>
                <w:sz w:val="10"/>
                <w:szCs w:val="10"/>
                <w:b w:val="1"/>
                <w:bCs w:val="1"/>
                <w:color w:val="auto"/>
                <w:w w:val="92"/>
              </w:rPr>
              <w:t>Mexico Pawn</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rPr>
              <w:t>Other International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360"/>
              <w:spacing w:after="0"/>
              <w:rPr>
                <w:sz w:val="20"/>
                <w:szCs w:val="20"/>
                <w:color w:val="auto"/>
              </w:rPr>
            </w:pPr>
            <w:r>
              <w:rPr>
                <w:rFonts w:ascii="Arial" w:cs="Arial" w:eastAsia="Arial" w:hAnsi="Arial"/>
                <w:sz w:val="10"/>
                <w:szCs w:val="10"/>
                <w:b w:val="1"/>
                <w:bCs w:val="1"/>
                <w:color w:val="auto"/>
              </w:rPr>
              <w:t>Consolidated</w:t>
            </w:r>
          </w:p>
        </w:tc>
        <w:tc>
          <w:tcPr>
            <w:tcW w:w="1040" w:type="dxa"/>
            <w:vAlign w:val="bottom"/>
          </w:tcPr>
          <w:p>
            <w:pPr>
              <w:jc w:val="right"/>
              <w:ind w:right="242"/>
              <w:spacing w:after="0"/>
              <w:rPr>
                <w:sz w:val="20"/>
                <w:szCs w:val="20"/>
                <w:color w:val="auto"/>
              </w:rPr>
            </w:pPr>
            <w:r>
              <w:rPr>
                <w:rFonts w:ascii="Arial" w:cs="Arial" w:eastAsia="Arial" w:hAnsi="Arial"/>
                <w:sz w:val="10"/>
                <w:szCs w:val="10"/>
                <w:b w:val="1"/>
                <w:bCs w:val="1"/>
                <w:color w:val="auto"/>
              </w:rPr>
              <w:t>Franchises</w:t>
            </w:r>
          </w:p>
        </w:tc>
      </w:tr>
      <w:tr>
        <w:trPr>
          <w:trHeight w:val="74"/>
        </w:trPr>
        <w:tc>
          <w:tcPr>
            <w:tcW w:w="680" w:type="dxa"/>
            <w:vAlign w:val="bottom"/>
          </w:tcPr>
          <w:p>
            <w:pPr>
              <w:spacing w:after="0"/>
              <w:rPr>
                <w:sz w:val="6"/>
                <w:szCs w:val="6"/>
                <w:color w:val="auto"/>
              </w:rPr>
            </w:pPr>
          </w:p>
        </w:tc>
        <w:tc>
          <w:tcPr>
            <w:tcW w:w="40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r>
      <w:tr>
        <w:trPr>
          <w:trHeight w:val="180"/>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As of September 30, 2015</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522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237  *</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420" w:type="dxa"/>
            <w:vAlign w:val="bottom"/>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786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r>
      <w:tr>
        <w:trPr>
          <w:trHeight w:val="171"/>
        </w:trPr>
        <w:tc>
          <w:tcPr>
            <w:tcW w:w="5440" w:type="dxa"/>
            <w:vAlign w:val="bottom"/>
            <w:gridSpan w:val="3"/>
          </w:tcPr>
          <w:p>
            <w:pPr>
              <w:ind w:left="180"/>
              <w:spacing w:after="0"/>
              <w:rPr>
                <w:sz w:val="20"/>
                <w:szCs w:val="20"/>
                <w:color w:val="auto"/>
              </w:rPr>
            </w:pPr>
            <w:r>
              <w:rPr>
                <w:rFonts w:ascii="Arial" w:cs="Arial" w:eastAsia="Arial" w:hAnsi="Arial"/>
                <w:sz w:val="12"/>
                <w:szCs w:val="12"/>
                <w:color w:val="auto"/>
              </w:rPr>
              <w:t>New locations opened</w:t>
            </w:r>
          </w:p>
        </w:tc>
        <w:tc>
          <w:tcPr>
            <w:tcW w:w="1380" w:type="dxa"/>
            <w:vAlign w:val="bottom"/>
            <w:gridSpan w:val="4"/>
          </w:tcPr>
          <w:p>
            <w:pPr>
              <w:jc w:val="right"/>
              <w:ind w:right="1132"/>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41"/>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5"/>
          </w:tcPr>
          <w:p>
            <w:pPr>
              <w:jc w:val="right"/>
              <w:ind w:right="1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9"/>
        </w:trPr>
        <w:tc>
          <w:tcPr>
            <w:tcW w:w="544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Locations acquired</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Locations sold, combined or closed</w:t>
            </w: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w:t>
            </w:r>
          </w:p>
        </w:tc>
      </w:tr>
      <w:tr>
        <w:trPr>
          <w:trHeight w:val="185"/>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As of June 30, 2016</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522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238</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787</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bl>
    <w:p>
      <w:pPr>
        <w:spacing w:after="0" w:line="60" w:lineRule="exact"/>
        <w:rPr>
          <w:sz w:val="20"/>
          <w:szCs w:val="20"/>
          <w:color w:val="auto"/>
        </w:rPr>
      </w:pPr>
    </w:p>
    <w:p>
      <w:pPr>
        <w:ind w:left="208" w:hanging="208"/>
        <w:spacing w:after="0"/>
        <w:tabs>
          <w:tab w:leader="none" w:pos="208"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Includes five buy/sell stores which were converted to Mexico Pawn stores during the three months ended March 31, 2016.</w:t>
      </w:r>
    </w:p>
    <w:p>
      <w:pPr>
        <w:spacing w:after="0" w:line="1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8"/>
          </w:cols>
          <w:pgMar w:left="212" w:top="115" w:right="199" w:bottom="1440" w:gutter="0" w:footer="0" w:header="0"/>
        </w:sectPr>
      </w:pPr>
    </w:p>
    <w:bookmarkStart w:id="29" w:name="page30"/>
    <w:bookmarkEnd w:id="2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Three Months Ended June 30, 2017 vs. Three Months Ended June 30, 2016</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These tables, as well as the discussion that follows, should be read with the accompanying condensed consolidated financial statements and related notes. All comparisons, unless otherwise noted, are to the prior-year quarter.</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Pawn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selected summary financial data from continuing operations for the U.S. Pawn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7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0"/>
                <w:szCs w:val="10"/>
                <w:b w:val="1"/>
                <w:bCs w:val="1"/>
                <w:color w:val="auto"/>
                <w:w w:val="88"/>
              </w:rPr>
              <w:t>Three Months Ended June 30,</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69"/>
        </w:trPr>
        <w:tc>
          <w:tcPr>
            <w:tcW w:w="6780" w:type="dxa"/>
            <w:vAlign w:val="bottom"/>
          </w:tcPr>
          <w:p>
            <w:pPr>
              <w:spacing w:after="0"/>
              <w:rPr>
                <w:sz w:val="14"/>
                <w:szCs w:val="14"/>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2017</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2016</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Change</w:t>
            </w:r>
          </w:p>
        </w:tc>
      </w:tr>
      <w:tr>
        <w:trPr>
          <w:trHeight w:val="250"/>
        </w:trPr>
        <w:tc>
          <w:tcPr>
            <w:tcW w:w="6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gridSpan w:val="3"/>
          </w:tcPr>
          <w:p>
            <w:pPr>
              <w:jc w:val="right"/>
              <w:ind w:right="622"/>
              <w:spacing w:after="0"/>
              <w:rPr>
                <w:sz w:val="20"/>
                <w:szCs w:val="20"/>
                <w:color w:val="auto"/>
              </w:rPr>
            </w:pPr>
            <w:r>
              <w:rPr>
                <w:rFonts w:ascii="Arial" w:cs="Arial" w:eastAsia="Arial" w:hAnsi="Arial"/>
                <w:sz w:val="10"/>
                <w:szCs w:val="10"/>
                <w:i w:val="1"/>
                <w:iCs w:val="1"/>
                <w:color w:val="auto"/>
              </w:rPr>
              <w:t>(in thousands)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184"/>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6780" w:type="dxa"/>
            <w:vAlign w:val="bottom"/>
          </w:tcPr>
          <w:p>
            <w:pPr>
              <w:ind w:left="180"/>
              <w:spacing w:after="0"/>
              <w:rPr>
                <w:sz w:val="20"/>
                <w:szCs w:val="20"/>
                <w:color w:val="auto"/>
              </w:rPr>
            </w:pPr>
            <w:r>
              <w:rPr>
                <w:rFonts w:ascii="Arial" w:cs="Arial" w:eastAsia="Arial" w:hAnsi="Arial"/>
                <w:sz w:val="12"/>
                <w:szCs w:val="12"/>
                <w:color w:val="auto"/>
              </w:rPr>
              <w:t>Pawn service charges</w:t>
            </w:r>
          </w:p>
        </w:tc>
        <w:tc>
          <w:tcPr>
            <w:tcW w:w="900" w:type="dxa"/>
            <w:vAlign w:val="bottom"/>
          </w:tcPr>
          <w:p>
            <w:pPr>
              <w:jc w:val="right"/>
              <w:ind w:right="76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56,774</w:t>
            </w:r>
          </w:p>
        </w:tc>
        <w:tc>
          <w:tcPr>
            <w:tcW w:w="100" w:type="dxa"/>
            <w:vAlign w:val="bottom"/>
          </w:tcPr>
          <w:p>
            <w:pPr>
              <w:spacing w:after="0"/>
              <w:rPr>
                <w:sz w:val="14"/>
                <w:szCs w:val="14"/>
                <w:color w:val="auto"/>
              </w:rPr>
            </w:pP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54,395</w:t>
            </w:r>
          </w:p>
        </w:tc>
        <w:tc>
          <w:tcPr>
            <w:tcW w:w="160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4%</w:t>
            </w:r>
          </w:p>
        </w:tc>
      </w:tr>
      <w:tr>
        <w:trPr>
          <w:trHeight w:val="225"/>
        </w:trPr>
        <w:tc>
          <w:tcPr>
            <w:tcW w:w="6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71"/>
        </w:trPr>
        <w:tc>
          <w:tcPr>
            <w:tcW w:w="6780" w:type="dxa"/>
            <w:vAlign w:val="bottom"/>
          </w:tcPr>
          <w:p>
            <w:pPr>
              <w:ind w:left="180"/>
              <w:spacing w:after="0"/>
              <w:rPr>
                <w:sz w:val="20"/>
                <w:szCs w:val="20"/>
                <w:color w:val="auto"/>
              </w:rPr>
            </w:pPr>
            <w:r>
              <w:rPr>
                <w:rFonts w:ascii="Arial" w:cs="Arial" w:eastAsia="Arial" w:hAnsi="Arial"/>
                <w:sz w:val="12"/>
                <w:szCs w:val="12"/>
                <w:color w:val="auto"/>
              </w:rPr>
              <w:t>Merchandise sales</w:t>
            </w:r>
          </w:p>
        </w:tc>
        <w:tc>
          <w:tcPr>
            <w:tcW w:w="900" w:type="dxa"/>
            <w:vAlign w:val="bottom"/>
          </w:tcPr>
          <w:p>
            <w:pPr>
              <w:spacing w:after="0"/>
              <w:rPr>
                <w:sz w:val="14"/>
                <w:szCs w:val="14"/>
                <w:color w:val="auto"/>
              </w:rPr>
            </w:pP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82,714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79,826</w:t>
            </w:r>
          </w:p>
        </w:tc>
        <w:tc>
          <w:tcPr>
            <w:tcW w:w="160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4%</w:t>
            </w:r>
          </w:p>
        </w:tc>
      </w:tr>
      <w:tr>
        <w:trPr>
          <w:trHeight w:val="189"/>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Merchandise sales gross profit</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30,226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29,240</w:t>
            </w:r>
          </w:p>
        </w:tc>
        <w:tc>
          <w:tcPr>
            <w:tcW w:w="16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3%</w:t>
            </w:r>
          </w:p>
        </w:tc>
      </w:tr>
      <w:tr>
        <w:trPr>
          <w:trHeight w:val="171"/>
        </w:trPr>
        <w:tc>
          <w:tcPr>
            <w:tcW w:w="6780" w:type="dxa"/>
            <w:vAlign w:val="bottom"/>
          </w:tcPr>
          <w:p>
            <w:pPr>
              <w:ind w:left="320"/>
              <w:spacing w:after="0"/>
              <w:rPr>
                <w:sz w:val="20"/>
                <w:szCs w:val="20"/>
                <w:color w:val="auto"/>
              </w:rPr>
            </w:pPr>
            <w:r>
              <w:rPr>
                <w:rFonts w:ascii="Arial" w:cs="Arial" w:eastAsia="Arial" w:hAnsi="Arial"/>
                <w:sz w:val="12"/>
                <w:szCs w:val="12"/>
                <w:color w:val="auto"/>
              </w:rPr>
              <w:t>Gross margin on merchandise sales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225"/>
        </w:trPr>
        <w:tc>
          <w:tcPr>
            <w:tcW w:w="6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71"/>
        </w:trPr>
        <w:tc>
          <w:tcPr>
            <w:tcW w:w="6780" w:type="dxa"/>
            <w:vAlign w:val="bottom"/>
          </w:tcPr>
          <w:p>
            <w:pPr>
              <w:ind w:left="180"/>
              <w:spacing w:after="0"/>
              <w:rPr>
                <w:sz w:val="20"/>
                <w:szCs w:val="20"/>
                <w:color w:val="auto"/>
              </w:rPr>
            </w:pPr>
            <w:r>
              <w:rPr>
                <w:rFonts w:ascii="Arial" w:cs="Arial" w:eastAsia="Arial" w:hAnsi="Arial"/>
                <w:sz w:val="12"/>
                <w:szCs w:val="12"/>
                <w:color w:val="auto"/>
              </w:rPr>
              <w:t>Jewelry scrapping sales</w:t>
            </w:r>
          </w:p>
        </w:tc>
        <w:tc>
          <w:tcPr>
            <w:tcW w:w="900" w:type="dxa"/>
            <w:vAlign w:val="bottom"/>
          </w:tcPr>
          <w:p>
            <w:pPr>
              <w:spacing w:after="0"/>
              <w:rPr>
                <w:sz w:val="14"/>
                <w:szCs w:val="14"/>
                <w:color w:val="auto"/>
              </w:rPr>
            </w:pP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17,257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10,918</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58%</w:t>
            </w:r>
          </w:p>
        </w:tc>
      </w:tr>
      <w:tr>
        <w:trPr>
          <w:trHeight w:val="189"/>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Jewelry scrapping sales gross profit</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2,583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2,073</w:t>
            </w:r>
          </w:p>
        </w:tc>
        <w:tc>
          <w:tcPr>
            <w:tcW w:w="160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25%</w:t>
            </w:r>
          </w:p>
        </w:tc>
      </w:tr>
      <w:tr>
        <w:trPr>
          <w:trHeight w:val="171"/>
        </w:trPr>
        <w:tc>
          <w:tcPr>
            <w:tcW w:w="6780" w:type="dxa"/>
            <w:vAlign w:val="bottom"/>
          </w:tcPr>
          <w:p>
            <w:pPr>
              <w:ind w:left="320"/>
              <w:spacing w:after="0"/>
              <w:rPr>
                <w:sz w:val="20"/>
                <w:szCs w:val="20"/>
                <w:color w:val="auto"/>
              </w:rPr>
            </w:pPr>
            <w:r>
              <w:rPr>
                <w:rFonts w:ascii="Arial" w:cs="Arial" w:eastAsia="Arial" w:hAnsi="Arial"/>
                <w:sz w:val="12"/>
                <w:szCs w:val="12"/>
                <w:color w:val="auto"/>
              </w:rPr>
              <w:t>Gross margin on jewelry scrapping sales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88"/>
              </w:rPr>
              <w:t>(400)bps</w:t>
            </w:r>
          </w:p>
        </w:tc>
      </w:tr>
      <w:tr>
        <w:trPr>
          <w:trHeight w:val="225"/>
        </w:trPr>
        <w:tc>
          <w:tcPr>
            <w:tcW w:w="6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71"/>
        </w:trPr>
        <w:tc>
          <w:tcPr>
            <w:tcW w:w="6780" w:type="dxa"/>
            <w:vAlign w:val="bottom"/>
          </w:tcPr>
          <w:p>
            <w:pPr>
              <w:ind w:left="180"/>
              <w:spacing w:after="0"/>
              <w:rPr>
                <w:sz w:val="20"/>
                <w:szCs w:val="20"/>
                <w:color w:val="auto"/>
              </w:rPr>
            </w:pPr>
            <w:r>
              <w:rPr>
                <w:rFonts w:ascii="Arial" w:cs="Arial" w:eastAsia="Arial" w:hAnsi="Arial"/>
                <w:sz w:val="12"/>
                <w:szCs w:val="12"/>
                <w:color w:val="auto"/>
              </w:rPr>
              <w:t>Other revenues</w:t>
            </w:r>
          </w:p>
        </w:tc>
        <w:tc>
          <w:tcPr>
            <w:tcW w:w="900" w:type="dxa"/>
            <w:vAlign w:val="bottom"/>
          </w:tcPr>
          <w:p>
            <w:pPr>
              <w:spacing w:after="0"/>
              <w:rPr>
                <w:sz w:val="14"/>
                <w:szCs w:val="14"/>
                <w:color w:val="auto"/>
              </w:rPr>
            </w:pP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39</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28%</w:t>
            </w:r>
          </w:p>
        </w:tc>
      </w:tr>
      <w:tr>
        <w:trPr>
          <w:trHeight w:val="189"/>
        </w:trPr>
        <w:tc>
          <w:tcPr>
            <w:tcW w:w="6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revenues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89,633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85,747</w:t>
            </w:r>
          </w:p>
        </w:tc>
        <w:tc>
          <w:tcPr>
            <w:tcW w:w="16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5%</w:t>
            </w:r>
          </w:p>
        </w:tc>
      </w:tr>
      <w:tr>
        <w:trPr>
          <w:trHeight w:val="216"/>
        </w:trPr>
        <w:tc>
          <w:tcPr>
            <w:tcW w:w="6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operating expenses: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1"/>
        </w:trPr>
        <w:tc>
          <w:tcPr>
            <w:tcW w:w="6780" w:type="dxa"/>
            <w:vAlign w:val="bottom"/>
          </w:tcPr>
          <w:p>
            <w:pPr>
              <w:ind w:left="180"/>
              <w:spacing w:after="0"/>
              <w:rPr>
                <w:sz w:val="20"/>
                <w:szCs w:val="20"/>
                <w:color w:val="auto"/>
              </w:rPr>
            </w:pPr>
            <w:r>
              <w:rPr>
                <w:rFonts w:ascii="Arial" w:cs="Arial" w:eastAsia="Arial" w:hAnsi="Arial"/>
                <w:sz w:val="12"/>
                <w:szCs w:val="12"/>
                <w:color w:val="auto"/>
              </w:rPr>
              <w:t>Operations</w:t>
            </w:r>
          </w:p>
        </w:tc>
        <w:tc>
          <w:tcPr>
            <w:tcW w:w="900" w:type="dxa"/>
            <w:vAlign w:val="bottom"/>
          </w:tcPr>
          <w:p>
            <w:pPr>
              <w:spacing w:after="0"/>
              <w:rPr>
                <w:sz w:val="14"/>
                <w:szCs w:val="14"/>
                <w:color w:val="auto"/>
              </w:rPr>
            </w:pP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63,593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62,733</w:t>
            </w:r>
          </w:p>
        </w:tc>
        <w:tc>
          <w:tcPr>
            <w:tcW w:w="160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1%</w:t>
            </w:r>
          </w:p>
        </w:tc>
      </w:tr>
      <w:tr>
        <w:trPr>
          <w:trHeight w:val="189"/>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2,210</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2,888</w:t>
            </w:r>
          </w:p>
        </w:tc>
        <w:tc>
          <w:tcPr>
            <w:tcW w:w="160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3"/>
              </w:rPr>
              <w:t>(23)%</w:t>
            </w:r>
          </w:p>
        </w:tc>
      </w:tr>
      <w:tr>
        <w:trPr>
          <w:trHeight w:val="160"/>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Segment operating contribution</w:t>
            </w:r>
          </w:p>
        </w:tc>
        <w:tc>
          <w:tcPr>
            <w:tcW w:w="9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23,830</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20,126</w:t>
            </w:r>
          </w:p>
        </w:tc>
        <w:tc>
          <w:tcPr>
            <w:tcW w:w="160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91"/>
              </w:rPr>
              <w:t>18%</w:t>
            </w:r>
          </w:p>
        </w:tc>
      </w:tr>
      <w:tr>
        <w:trPr>
          <w:trHeight w:val="214"/>
        </w:trPr>
        <w:tc>
          <w:tcPr>
            <w:tcW w:w="6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71"/>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segment expenses (income)</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(52)</w:t>
            </w:r>
          </w:p>
        </w:tc>
        <w:tc>
          <w:tcPr>
            <w:tcW w:w="160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rPr>
              <w:t>*</w:t>
            </w:r>
          </w:p>
        </w:tc>
      </w:tr>
      <w:tr>
        <w:trPr>
          <w:trHeight w:val="185"/>
        </w:trPr>
        <w:tc>
          <w:tcPr>
            <w:tcW w:w="6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Segment contribution</w:t>
            </w:r>
          </w:p>
        </w:tc>
        <w:tc>
          <w:tcPr>
            <w:tcW w:w="90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23,815</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20,178</w:t>
            </w:r>
          </w:p>
        </w:tc>
        <w:tc>
          <w:tcPr>
            <w:tcW w:w="16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18%</w:t>
            </w:r>
          </w:p>
        </w:tc>
      </w:tr>
      <w:tr>
        <w:trPr>
          <w:trHeight w:val="216"/>
        </w:trPr>
        <w:tc>
          <w:tcPr>
            <w:tcW w:w="6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data:</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1"/>
        </w:trPr>
        <w:tc>
          <w:tcPr>
            <w:tcW w:w="6780" w:type="dxa"/>
            <w:vAlign w:val="bottom"/>
          </w:tcPr>
          <w:p>
            <w:pPr>
              <w:ind w:left="180"/>
              <w:spacing w:after="0"/>
              <w:rPr>
                <w:sz w:val="20"/>
                <w:szCs w:val="20"/>
                <w:color w:val="auto"/>
              </w:rPr>
            </w:pPr>
            <w:r>
              <w:rPr>
                <w:rFonts w:ascii="Arial" w:cs="Arial" w:eastAsia="Arial" w:hAnsi="Arial"/>
                <w:sz w:val="12"/>
                <w:szCs w:val="12"/>
                <w:color w:val="auto"/>
              </w:rPr>
              <w:t>Net earning assets — continuing operations (a)</w:t>
            </w:r>
          </w:p>
        </w:tc>
        <w:tc>
          <w:tcPr>
            <w:tcW w:w="900" w:type="dxa"/>
            <w:vAlign w:val="bottom"/>
          </w:tcPr>
          <w:p>
            <w:pPr>
              <w:jc w:val="right"/>
              <w:ind w:right="76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264,042</w:t>
            </w:r>
          </w:p>
        </w:tc>
        <w:tc>
          <w:tcPr>
            <w:tcW w:w="100" w:type="dxa"/>
            <w:vAlign w:val="bottom"/>
          </w:tcPr>
          <w:p>
            <w:pPr>
              <w:spacing w:after="0"/>
              <w:rPr>
                <w:sz w:val="14"/>
                <w:szCs w:val="14"/>
                <w:color w:val="auto"/>
              </w:rPr>
            </w:pP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257,396</w:t>
            </w:r>
          </w:p>
        </w:tc>
        <w:tc>
          <w:tcPr>
            <w:tcW w:w="160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3%</w:t>
            </w:r>
          </w:p>
        </w:tc>
      </w:tr>
      <w:tr>
        <w:trPr>
          <w:trHeight w:val="189"/>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Inventory turnover — general merchandise (b)</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w:t>
            </w:r>
          </w:p>
        </w:tc>
        <w:tc>
          <w:tcPr>
            <w:tcW w:w="16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4"/>
              </w:rPr>
              <w:t>(8)%</w:t>
            </w:r>
          </w:p>
        </w:tc>
      </w:tr>
      <w:tr>
        <w:trPr>
          <w:trHeight w:val="171"/>
        </w:trPr>
        <w:tc>
          <w:tcPr>
            <w:tcW w:w="6780" w:type="dxa"/>
            <w:vAlign w:val="bottom"/>
          </w:tcPr>
          <w:p>
            <w:pPr>
              <w:ind w:left="180"/>
              <w:spacing w:after="0"/>
              <w:rPr>
                <w:sz w:val="20"/>
                <w:szCs w:val="20"/>
                <w:color w:val="auto"/>
              </w:rPr>
            </w:pPr>
            <w:r>
              <w:rPr>
                <w:rFonts w:ascii="Arial" w:cs="Arial" w:eastAsia="Arial" w:hAnsi="Arial"/>
                <w:sz w:val="12"/>
                <w:szCs w:val="12"/>
                <w:color w:val="auto"/>
              </w:rPr>
              <w:t>Inventory turnover — jewelry (b)</w:t>
            </w:r>
          </w:p>
        </w:tc>
        <w:tc>
          <w:tcPr>
            <w:tcW w:w="900" w:type="dxa"/>
            <w:vAlign w:val="bottom"/>
          </w:tcPr>
          <w:p>
            <w:pPr>
              <w:spacing w:after="0"/>
              <w:rPr>
                <w:sz w:val="14"/>
                <w:szCs w:val="14"/>
                <w:color w:val="auto"/>
              </w:rPr>
            </w:pP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96"/>
              </w:rPr>
              <w:t>—%</w:t>
            </w:r>
          </w:p>
        </w:tc>
      </w:tr>
      <w:tr>
        <w:trPr>
          <w:trHeight w:val="189"/>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Average monthly ending pawn loan balance per store (c)</w:t>
            </w:r>
          </w:p>
        </w:tc>
        <w:tc>
          <w:tcPr>
            <w:tcW w:w="900" w:type="dxa"/>
            <w:vAlign w:val="bottom"/>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262</w:t>
            </w:r>
          </w:p>
        </w:tc>
        <w:tc>
          <w:tcPr>
            <w:tcW w:w="16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4%</w:t>
            </w:r>
          </w:p>
        </w:tc>
      </w:tr>
      <w:tr>
        <w:trPr>
          <w:trHeight w:val="171"/>
        </w:trPr>
        <w:tc>
          <w:tcPr>
            <w:tcW w:w="6780" w:type="dxa"/>
            <w:vAlign w:val="bottom"/>
          </w:tcPr>
          <w:p>
            <w:pPr>
              <w:ind w:left="180"/>
              <w:spacing w:after="0"/>
              <w:rPr>
                <w:sz w:val="20"/>
                <w:szCs w:val="20"/>
                <w:color w:val="auto"/>
              </w:rPr>
            </w:pPr>
            <w:r>
              <w:rPr>
                <w:rFonts w:ascii="Arial" w:cs="Arial" w:eastAsia="Arial" w:hAnsi="Arial"/>
                <w:sz w:val="12"/>
                <w:szCs w:val="12"/>
                <w:color w:val="auto"/>
              </w:rPr>
              <w:t>Monthly average yield on pawn loans outstanding</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89"/>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Pawn loan redemption rate (d)</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bl>
    <w:p>
      <w:pPr>
        <w:spacing w:after="0" w:line="96" w:lineRule="exact"/>
        <w:rPr>
          <w:sz w:val="20"/>
          <w:szCs w:val="20"/>
          <w:color w:val="auto"/>
        </w:rPr>
      </w:pPr>
    </w:p>
    <w:p>
      <w:pPr>
        <w:ind w:left="360" w:hanging="350"/>
        <w:spacing w:after="0"/>
        <w:tabs>
          <w:tab w:leader="none" w:pos="360" w:val="left"/>
        </w:tabs>
        <w:numPr>
          <w:ilvl w:val="0"/>
          <w:numId w:val="16"/>
        </w:numPr>
        <w:rPr>
          <w:rFonts w:ascii="Arial" w:cs="Arial" w:eastAsia="Arial" w:hAnsi="Arial"/>
          <w:sz w:val="10"/>
          <w:szCs w:val="10"/>
          <w:color w:val="auto"/>
        </w:rPr>
      </w:pPr>
      <w:r>
        <w:rPr>
          <w:rFonts w:ascii="Arial" w:cs="Arial" w:eastAsia="Arial" w:hAnsi="Arial"/>
          <w:sz w:val="10"/>
          <w:szCs w:val="10"/>
          <w:color w:val="auto"/>
        </w:rPr>
        <w:t>Represents an increase or decrease that is not meaningful.</w:t>
      </w:r>
    </w:p>
    <w:p>
      <w:pPr>
        <w:spacing w:after="0" w:line="20" w:lineRule="exact"/>
        <w:rPr>
          <w:sz w:val="20"/>
          <w:szCs w:val="20"/>
          <w:color w:val="auto"/>
        </w:rPr>
      </w:pPr>
    </w:p>
    <w:p>
      <w:pPr>
        <w:ind w:left="360" w:hanging="350"/>
        <w:spacing w:after="0"/>
        <w:tabs>
          <w:tab w:leader="none" w:pos="360" w:val="left"/>
        </w:tabs>
        <w:numPr>
          <w:ilvl w:val="0"/>
          <w:numId w:val="17"/>
        </w:numPr>
        <w:rPr>
          <w:rFonts w:ascii="Arial" w:cs="Arial" w:eastAsia="Arial" w:hAnsi="Arial"/>
          <w:sz w:val="10"/>
          <w:szCs w:val="10"/>
          <w:color w:val="auto"/>
        </w:rPr>
      </w:pPr>
      <w:r>
        <w:rPr>
          <w:rFonts w:ascii="Arial" w:cs="Arial" w:eastAsia="Arial" w:hAnsi="Arial"/>
          <w:sz w:val="10"/>
          <w:szCs w:val="10"/>
          <w:color w:val="auto"/>
        </w:rPr>
        <w:t>Balance includes pawn loans and inventory.</w:t>
      </w:r>
    </w:p>
    <w:p>
      <w:pPr>
        <w:spacing w:after="0" w:line="20" w:lineRule="exact"/>
        <w:rPr>
          <w:rFonts w:ascii="Arial" w:cs="Arial" w:eastAsia="Arial" w:hAnsi="Arial"/>
          <w:sz w:val="10"/>
          <w:szCs w:val="10"/>
          <w:color w:val="auto"/>
        </w:rPr>
      </w:pPr>
    </w:p>
    <w:p>
      <w:pPr>
        <w:ind w:left="360" w:hanging="350"/>
        <w:spacing w:after="0"/>
        <w:tabs>
          <w:tab w:leader="none" w:pos="360" w:val="left"/>
        </w:tabs>
        <w:numPr>
          <w:ilvl w:val="0"/>
          <w:numId w:val="17"/>
        </w:numPr>
        <w:rPr>
          <w:rFonts w:ascii="Arial" w:cs="Arial" w:eastAsia="Arial" w:hAnsi="Arial"/>
          <w:sz w:val="10"/>
          <w:szCs w:val="10"/>
          <w:color w:val="auto"/>
        </w:rPr>
      </w:pPr>
      <w:r>
        <w:rPr>
          <w:rFonts w:ascii="Arial" w:cs="Arial" w:eastAsia="Arial" w:hAnsi="Arial"/>
          <w:sz w:val="10"/>
          <w:szCs w:val="10"/>
          <w:color w:val="auto"/>
        </w:rPr>
        <w:t>Calculation of inventory turnover excludes the effects of scrapping.</w:t>
      </w:r>
    </w:p>
    <w:p>
      <w:pPr>
        <w:spacing w:after="0" w:line="20" w:lineRule="exact"/>
        <w:rPr>
          <w:rFonts w:ascii="Arial" w:cs="Arial" w:eastAsia="Arial" w:hAnsi="Arial"/>
          <w:sz w:val="10"/>
          <w:szCs w:val="10"/>
          <w:color w:val="auto"/>
        </w:rPr>
      </w:pPr>
    </w:p>
    <w:p>
      <w:pPr>
        <w:ind w:left="360" w:hanging="350"/>
        <w:spacing w:after="0"/>
        <w:tabs>
          <w:tab w:leader="none" w:pos="360" w:val="left"/>
        </w:tabs>
        <w:numPr>
          <w:ilvl w:val="0"/>
          <w:numId w:val="17"/>
        </w:numPr>
        <w:rPr>
          <w:rFonts w:ascii="Arial" w:cs="Arial" w:eastAsia="Arial" w:hAnsi="Arial"/>
          <w:sz w:val="10"/>
          <w:szCs w:val="10"/>
          <w:color w:val="auto"/>
        </w:rPr>
      </w:pPr>
      <w:r>
        <w:rPr>
          <w:rFonts w:ascii="Arial" w:cs="Arial" w:eastAsia="Arial" w:hAnsi="Arial"/>
          <w:sz w:val="10"/>
          <w:szCs w:val="10"/>
          <w:color w:val="auto"/>
        </w:rPr>
        <w:t>Balance is calculated based upon the average of the monthly ending balance averages during the applicable period.</w:t>
      </w:r>
    </w:p>
    <w:p>
      <w:pPr>
        <w:spacing w:after="0" w:line="20" w:lineRule="exact"/>
        <w:rPr>
          <w:rFonts w:ascii="Arial" w:cs="Arial" w:eastAsia="Arial" w:hAnsi="Arial"/>
          <w:sz w:val="10"/>
          <w:szCs w:val="10"/>
          <w:color w:val="auto"/>
        </w:rPr>
      </w:pPr>
    </w:p>
    <w:p>
      <w:pPr>
        <w:ind w:left="360" w:hanging="350"/>
        <w:spacing w:after="0"/>
        <w:tabs>
          <w:tab w:leader="none" w:pos="360" w:val="left"/>
        </w:tabs>
        <w:numPr>
          <w:ilvl w:val="0"/>
          <w:numId w:val="17"/>
        </w:numPr>
        <w:rPr>
          <w:rFonts w:ascii="Arial" w:cs="Arial" w:eastAsia="Arial" w:hAnsi="Arial"/>
          <w:sz w:val="10"/>
          <w:szCs w:val="10"/>
          <w:color w:val="auto"/>
        </w:rPr>
      </w:pPr>
      <w:r>
        <w:rPr>
          <w:rFonts w:ascii="Arial" w:cs="Arial" w:eastAsia="Arial" w:hAnsi="Arial"/>
          <w:sz w:val="10"/>
          <w:szCs w:val="10"/>
          <w:color w:val="auto"/>
        </w:rPr>
        <w:t>Our pawn loan redemption rate represents the percentage of loans made that are repaid, renewed or extended at a point in time as opposed to the life of the loan.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128" w:right="199" w:bottom="1440" w:gutter="0" w:footer="0" w:header="0"/>
        </w:sectPr>
      </w:pPr>
    </w:p>
    <w:bookmarkStart w:id="30" w:name="page31"/>
    <w:bookmarkEnd w:id="3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Net revenue increased $3.9 million, or 5%. The increase in net revenue attributable to same stores and new stores added since the prior-year quarter is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44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5"/>
              </w:rPr>
              <w:t>Change in Net Revenue</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69"/>
        </w:trPr>
        <w:tc>
          <w:tcPr>
            <w:tcW w:w="644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Pawn Service Charges</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86"/>
              </w:rPr>
              <w:t>Merchandise Sales Gross Profit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Total</w:t>
            </w:r>
          </w:p>
        </w:tc>
      </w:tr>
      <w:tr>
        <w:trPr>
          <w:trHeight w:val="250"/>
        </w:trPr>
        <w:tc>
          <w:tcPr>
            <w:tcW w:w="6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0"/>
                <w:szCs w:val="10"/>
                <w:i w:val="1"/>
                <w:iCs w:val="1"/>
                <w:color w:val="auto"/>
                <w:w w:val="94"/>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84"/>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Same stores</w:t>
            </w:r>
          </w:p>
        </w:tc>
        <w:tc>
          <w:tcPr>
            <w:tcW w:w="1280" w:type="dxa"/>
            <w:vAlign w:val="bottom"/>
            <w:shd w:val="clear" w:color="auto" w:fill="CCEEFF"/>
          </w:tcPr>
          <w:p>
            <w:pPr>
              <w:jc w:val="right"/>
              <w:ind w:right="1144"/>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w:t>
            </w:r>
          </w:p>
        </w:tc>
      </w:tr>
      <w:tr>
        <w:trPr>
          <w:trHeight w:val="171"/>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New stores and other</w:t>
            </w:r>
          </w:p>
        </w:tc>
        <w:tc>
          <w:tcPr>
            <w:tcW w:w="1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7"/>
              </w:rPr>
              <w:t>(0.2)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color w:val="auto"/>
              </w:rPr>
              <w:t>(0.2)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(0.4)</w:t>
            </w:r>
          </w:p>
        </w:tc>
      </w:tr>
      <w:tr>
        <w:trPr>
          <w:trHeight w:val="185"/>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1280" w:type="dxa"/>
            <w:vAlign w:val="bottom"/>
            <w:tcBorders>
              <w:bottom w:val="single" w:sz="8" w:color="auto"/>
            </w:tcBorders>
            <w:shd w:val="clear" w:color="auto" w:fill="CCEEFF"/>
          </w:tcPr>
          <w:p>
            <w:pPr>
              <w:jc w:val="right"/>
              <w:ind w:right="1144"/>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3.4</w:t>
            </w:r>
          </w:p>
        </w:tc>
      </w:tr>
      <w:tr>
        <w:trPr>
          <w:trHeight w:val="171"/>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Change in jewelry scrapping sales gross profit and other revenues</w:t>
            </w:r>
          </w:p>
        </w:tc>
        <w:tc>
          <w:tcPr>
            <w:tcW w:w="1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0.5</w:t>
            </w:r>
          </w:p>
        </w:tc>
      </w:tr>
      <w:tr>
        <w:trPr>
          <w:trHeight w:val="185"/>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change in net revenue</w:t>
            </w:r>
          </w:p>
        </w:tc>
        <w:tc>
          <w:tcPr>
            <w:tcW w:w="1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3.9</w:t>
            </w:r>
          </w:p>
        </w:tc>
      </w:tr>
    </w:tbl>
    <w:p>
      <w:pPr>
        <w:spacing w:after="0" w:line="99"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We continue to invest in the core pawn business, including commencement of our upgraded point of sale system rollout. We are confident that these initiatives, combined with further investments in product and customer analytics and, in sustained training, coaching and mentoring of our field team, will continue to provide a robust platform for further profitable growth.</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Pawn service charges increased 4% primarily due to an increase in average pawn loan balances outstanding during the quarter, the seventh consecutive quarter of year over year pawn loan balance growth, driven by continued intense focus on market leadership in meeting our customers' desire for cash.</w:t>
      </w:r>
    </w:p>
    <w:p>
      <w:pPr>
        <w:spacing w:after="0" w:line="79"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Merchandise sales increased 4% with gross margin on merchandise sales of 37%, consistent with recent prior quarters and the prior-year quarter, and within our target range of 35-38%. As a result, merchandise sales gross profit increased 3% to $30.2 million.</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Jewelry scrapping sales gross profit remained relatively flat at 3% of current quarter net revenues, but was a 25% increase to the prior-year quarter. Scrapping revenues increased 58% with a lower margin, due to the timing of our scrapping activities, with more jewelry scrapping taking place in the current quarter relative to our first and second quarters of fiscal 2017.</w:t>
      </w:r>
    </w:p>
    <w:p>
      <w:pPr>
        <w:spacing w:after="0" w:line="79"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We leveraged a 5% increase in net revenue into an 18% increase in segment contribution due to focused expense management resulting in only 1% increase in operations expense and a $0.7 million, or 23%, decrease in depreciation and amortization as a result of ongoing savings realized from a lower depreciable fixed asset base as a result of our strategic review completed in fiscal 2015.</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Non-GAAP Financial Information</w:t>
      </w:r>
    </w:p>
    <w:p>
      <w:pPr>
        <w:spacing w:after="0" w:line="114"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our Mexico Pawn operations, which are denominated in Mexican pesos, and believe that presentation of constant currency results are meaningful and useful in understanding the activities and business metrics of our Mexico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78" w:lineRule="exact"/>
        <w:rPr>
          <w:sz w:val="20"/>
          <w:szCs w:val="20"/>
          <w:color w:val="auto"/>
        </w:rPr>
      </w:pPr>
    </w:p>
    <w:p>
      <w:pPr>
        <w:spacing w:after="0" w:line="306" w:lineRule="auto"/>
        <w:rPr>
          <w:sz w:val="20"/>
          <w:szCs w:val="20"/>
          <w:color w:val="auto"/>
        </w:rPr>
      </w:pPr>
      <w:r>
        <w:rPr>
          <w:rFonts w:ascii="Arial" w:cs="Arial" w:eastAsia="Arial" w:hAnsi="Arial"/>
          <w:sz w:val="10"/>
          <w:szCs w:val="10"/>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exchange rate as of June 30, 2017 and 2016 was 18.0 to 1 and 18.6 to 1, respectively. The approximate average exchange rate for the three months</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color w:val="auto"/>
        </w:rPr>
        <w:t>ended June 30, 2017 and 2016 was 18.6 to 1 and 18.1 to 1, respectively. The approximate average exchange rate for the nine months ended June 30, 2017 and 2016 was 19.6 to 1 and 17.6 to 1, respectively; however, our statement of operations constant currency results reflect the impact of monthly effects of exchange rates and so are not directly calculable from the above rates. Constant currency results, where presented, also exclude the foreign currency gain or loss and the related foreign currency derivative gain or loss impact. We have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128" w:right="199" w:bottom="1440" w:gutter="0" w:footer="0" w:header="0"/>
        </w:sectPr>
      </w:pPr>
    </w:p>
    <w:bookmarkStart w:id="31" w:name="page32"/>
    <w:bookmarkEnd w:id="3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experienced a prolonged weakening of the Mexican peso to the U.S. dollar and may continue to experience further weakening in future reporting periods, which may adversely impact our future operating results when stated on a GAAP basis.</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0"/>
          </w:cols>
          <w:pgMar w:left="220" w:top="128" w:right="379" w:bottom="1440" w:gutter="0" w:footer="0" w:header="0"/>
        </w:sectPr>
      </w:pPr>
    </w:p>
    <w:bookmarkStart w:id="32" w:name="page33"/>
    <w:bookmarkEnd w:id="3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Mexico Pawn</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presents selected summary financial data from continuing operations for the Mexico Pawn segment, including constant currency results, after translation to U.S. dollars from its functional currency of the Mexican peso.</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See “Results of Operations — Non-GAAP Financial Information” above.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69"/>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2017 (GAAP)</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2016 (GAAP)</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Change (GAAP)</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w w:val="85"/>
              </w:rPr>
              <w:t>2017 (Constant Currency)</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Change (Constant Currency)</w:t>
            </w:r>
          </w:p>
        </w:tc>
      </w:tr>
      <w:tr>
        <w:trPr>
          <w:trHeight w:val="250"/>
        </w:trPr>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gridSpan w:val="4"/>
          </w:tcPr>
          <w:p>
            <w:pPr>
              <w:jc w:val="right"/>
              <w:ind w:right="761"/>
              <w:spacing w:after="0"/>
              <w:rPr>
                <w:sz w:val="20"/>
                <w:szCs w:val="20"/>
                <w:color w:val="auto"/>
              </w:rPr>
            </w:pPr>
            <w:r>
              <w:rPr>
                <w:rFonts w:ascii="Arial" w:cs="Arial" w:eastAsia="Arial" w:hAnsi="Arial"/>
                <w:sz w:val="10"/>
                <w:szCs w:val="10"/>
                <w:i w:val="1"/>
                <w:iCs w:val="1"/>
                <w:color w:val="auto"/>
              </w:rPr>
              <w:t>(in USD thousands)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181"/>
              <w:spacing w:after="0"/>
              <w:rPr>
                <w:sz w:val="20"/>
                <w:szCs w:val="20"/>
                <w:color w:val="auto"/>
              </w:rPr>
            </w:pPr>
            <w:r>
              <w:rPr>
                <w:rFonts w:ascii="Arial" w:cs="Arial" w:eastAsia="Arial" w:hAnsi="Arial"/>
                <w:sz w:val="10"/>
                <w:szCs w:val="10"/>
                <w:i w:val="1"/>
                <w:iCs w:val="1"/>
                <w:color w:val="auto"/>
              </w:rPr>
              <w:t>(in USD thousands)</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Pawn service charges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9,104</w:t>
            </w:r>
          </w:p>
        </w:tc>
        <w:tc>
          <w:tcPr>
            <w:tcW w:w="120" w:type="dxa"/>
            <w:vAlign w:val="bottom"/>
          </w:tcPr>
          <w:p>
            <w:pPr>
              <w:spacing w:after="0"/>
              <w:rPr>
                <w:sz w:val="14"/>
                <w:szCs w:val="14"/>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8,078</w:t>
            </w:r>
          </w:p>
        </w:tc>
        <w:tc>
          <w:tcPr>
            <w:tcW w:w="138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13%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9,363</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16%</w:t>
            </w:r>
          </w:p>
        </w:tc>
      </w:tr>
      <w:tr>
        <w:trPr>
          <w:trHeight w:val="189"/>
        </w:trPr>
        <w:tc>
          <w:tcPr>
            <w:tcW w:w="4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Merchandise sales</w:t>
            </w:r>
          </w:p>
        </w:tc>
        <w:tc>
          <w:tcPr>
            <w:tcW w:w="20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15,207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14,187</w:t>
            </w:r>
          </w:p>
        </w:tc>
        <w:tc>
          <w:tcPr>
            <w:tcW w:w="138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15,627</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10%</w:t>
            </w: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Merchandise sales gross profit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5,080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4,633</w:t>
            </w:r>
          </w:p>
        </w:tc>
        <w:tc>
          <w:tcPr>
            <w:tcW w:w="138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5,220</w:t>
            </w:r>
          </w:p>
        </w:tc>
        <w:tc>
          <w:tcPr>
            <w:tcW w:w="160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13%</w:t>
            </w:r>
          </w:p>
        </w:tc>
      </w:tr>
      <w:tr>
        <w:trPr>
          <w:trHeight w:val="171"/>
        </w:trPr>
        <w:tc>
          <w:tcPr>
            <w:tcW w:w="4700" w:type="dxa"/>
            <w:vAlign w:val="bottom"/>
          </w:tcPr>
          <w:p>
            <w:pPr>
              <w:ind w:left="320"/>
              <w:spacing w:after="0"/>
              <w:rPr>
                <w:sz w:val="20"/>
                <w:szCs w:val="20"/>
                <w:color w:val="auto"/>
              </w:rPr>
            </w:pPr>
            <w:r>
              <w:rPr>
                <w:rFonts w:ascii="Arial" w:cs="Arial" w:eastAsia="Arial" w:hAnsi="Arial"/>
                <w:sz w:val="12"/>
                <w:szCs w:val="12"/>
                <w:color w:val="auto"/>
              </w:rPr>
              <w:t>Gross margin on merchandise sales</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89"/>
        </w:trPr>
        <w:tc>
          <w:tcPr>
            <w:tcW w:w="4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Jewelry scrapping sales</w:t>
            </w:r>
          </w:p>
        </w:tc>
        <w:tc>
          <w:tcPr>
            <w:tcW w:w="20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384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312</w:t>
            </w:r>
          </w:p>
        </w:tc>
        <w:tc>
          <w:tcPr>
            <w:tcW w:w="138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397</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27%</w:t>
            </w: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Jewelry scrapping sales gross profit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47</w:t>
            </w:r>
          </w:p>
        </w:tc>
        <w:tc>
          <w:tcPr>
            <w:tcW w:w="13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50</w:t>
            </w:r>
          </w:p>
        </w:tc>
        <w:tc>
          <w:tcPr>
            <w:tcW w:w="16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6%</w:t>
            </w:r>
          </w:p>
        </w:tc>
      </w:tr>
      <w:tr>
        <w:trPr>
          <w:trHeight w:val="171"/>
        </w:trPr>
        <w:tc>
          <w:tcPr>
            <w:tcW w:w="4700" w:type="dxa"/>
            <w:vAlign w:val="bottom"/>
          </w:tcPr>
          <w:p>
            <w:pPr>
              <w:ind w:left="320"/>
              <w:spacing w:after="0"/>
              <w:rPr>
                <w:sz w:val="20"/>
                <w:szCs w:val="20"/>
                <w:color w:val="auto"/>
              </w:rPr>
            </w:pPr>
            <w:r>
              <w:rPr>
                <w:rFonts w:ascii="Arial" w:cs="Arial" w:eastAsia="Arial" w:hAnsi="Arial"/>
                <w:sz w:val="12"/>
                <w:szCs w:val="12"/>
                <w:color w:val="auto"/>
              </w:rPr>
              <w:t>Gross margin on jewelry scrapping sales</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(200)bps</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88"/>
              </w:rPr>
              <w:t>(200)bps</w:t>
            </w:r>
          </w:p>
        </w:tc>
      </w:tr>
      <w:tr>
        <w:trPr>
          <w:trHeight w:val="189"/>
        </w:trPr>
        <w:tc>
          <w:tcPr>
            <w:tcW w:w="4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Other revenues</w:t>
            </w:r>
          </w:p>
        </w:tc>
        <w:tc>
          <w:tcPr>
            <w:tcW w:w="20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179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157</w:t>
            </w:r>
          </w:p>
        </w:tc>
        <w:tc>
          <w:tcPr>
            <w:tcW w:w="138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181</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15%</w:t>
            </w:r>
          </w:p>
        </w:tc>
      </w:tr>
      <w:tr>
        <w:trPr>
          <w:trHeight w:val="189"/>
        </w:trPr>
        <w:tc>
          <w:tcPr>
            <w:tcW w:w="47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revenues</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14,411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12,915</w:t>
            </w:r>
          </w:p>
        </w:tc>
        <w:tc>
          <w:tcPr>
            <w:tcW w:w="138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14,814</w:t>
            </w:r>
          </w:p>
        </w:tc>
        <w:tc>
          <w:tcPr>
            <w:tcW w:w="160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15%</w:t>
            </w:r>
          </w:p>
        </w:tc>
      </w:tr>
      <w:tr>
        <w:trPr>
          <w:trHeight w:val="180"/>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operating expenses:</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Operations</w:t>
            </w:r>
          </w:p>
        </w:tc>
        <w:tc>
          <w:tcPr>
            <w:tcW w:w="20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8,898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8,744</w:t>
            </w:r>
          </w:p>
        </w:tc>
        <w:tc>
          <w:tcPr>
            <w:tcW w:w="138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9,152</w:t>
            </w:r>
          </w:p>
        </w:tc>
        <w:tc>
          <w:tcPr>
            <w:tcW w:w="160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5%</w:t>
            </w: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619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720</w:t>
            </w:r>
          </w:p>
        </w:tc>
        <w:tc>
          <w:tcPr>
            <w:tcW w:w="138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3"/>
              </w:rPr>
              <w:t>(14)%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638</w:t>
            </w:r>
          </w:p>
        </w:tc>
        <w:tc>
          <w:tcPr>
            <w:tcW w:w="160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3"/>
              </w:rPr>
              <w:t>(11)%</w:t>
            </w:r>
          </w:p>
        </w:tc>
      </w:tr>
      <w:tr>
        <w:trPr>
          <w:trHeight w:val="160"/>
        </w:trPr>
        <w:tc>
          <w:tcPr>
            <w:tcW w:w="470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Segment operating contribution</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4,894</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3,451</w:t>
            </w:r>
          </w:p>
        </w:tc>
        <w:tc>
          <w:tcPr>
            <w:tcW w:w="1380" w:type="dxa"/>
            <w:vAlign w:val="bottom"/>
            <w:tcBorders>
              <w:bottom w:val="single" w:sz="8" w:color="CCEEFF"/>
            </w:tcBorders>
            <w:gridSpan w:val="2"/>
          </w:tcPr>
          <w:p>
            <w:pPr>
              <w:jc w:val="center"/>
              <w:ind w:left="60"/>
              <w:spacing w:after="0"/>
              <w:rPr>
                <w:sz w:val="20"/>
                <w:szCs w:val="20"/>
                <w:color w:val="auto"/>
              </w:rPr>
            </w:pPr>
            <w:r>
              <w:rPr>
                <w:rFonts w:ascii="Arial" w:cs="Arial" w:eastAsia="Arial" w:hAnsi="Arial"/>
                <w:sz w:val="12"/>
                <w:szCs w:val="12"/>
                <w:color w:val="auto"/>
                <w:w w:val="91"/>
              </w:rPr>
              <w:t>42%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5,024</w:t>
            </w:r>
          </w:p>
        </w:tc>
        <w:tc>
          <w:tcPr>
            <w:tcW w:w="160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91"/>
              </w:rPr>
              <w:t>46%</w:t>
            </w:r>
          </w:p>
        </w:tc>
      </w:tr>
      <w:tr>
        <w:trPr>
          <w:trHeight w:val="178"/>
        </w:trPr>
        <w:tc>
          <w:tcPr>
            <w:tcW w:w="4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segment (income) expenses (a)</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(505)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748</w:t>
            </w:r>
          </w:p>
        </w:tc>
        <w:tc>
          <w:tcPr>
            <w:tcW w:w="1380" w:type="dxa"/>
            <w:vAlign w:val="bottom"/>
            <w:tcBorders>
              <w:bottom w:val="single" w:sz="8" w:color="CCEEFF"/>
            </w:tcBorders>
            <w:gridSpan w:val="2"/>
          </w:tcPr>
          <w:p>
            <w:pPr>
              <w:jc w:val="center"/>
              <w:ind w:lef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(499)</w:t>
            </w:r>
          </w:p>
        </w:tc>
        <w:tc>
          <w:tcPr>
            <w:tcW w:w="160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rPr>
              <w:t>*</w:t>
            </w:r>
          </w:p>
        </w:tc>
      </w:tr>
      <w:tr>
        <w:trPr>
          <w:trHeight w:val="185"/>
        </w:trPr>
        <w:tc>
          <w:tcPr>
            <w:tcW w:w="4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Segment contribution</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5,399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2,703</w:t>
            </w:r>
          </w:p>
        </w:tc>
        <w:tc>
          <w:tcPr>
            <w:tcW w:w="138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5,523</w:t>
            </w:r>
          </w:p>
        </w:tc>
        <w:tc>
          <w:tcPr>
            <w:tcW w:w="1600" w:type="dxa"/>
            <w:vAlign w:val="bottom"/>
            <w:tcBorders>
              <w:bottom w:val="single" w:sz="8" w:color="CCEEFF"/>
            </w:tcBorders>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104%</w:t>
            </w:r>
          </w:p>
        </w:tc>
      </w:tr>
      <w:tr>
        <w:trPr>
          <w:trHeight w:val="198"/>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data:</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Net earning assets — continuing operations (b)</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39,246</w:t>
            </w:r>
          </w:p>
        </w:tc>
        <w:tc>
          <w:tcPr>
            <w:tcW w:w="120" w:type="dxa"/>
            <w:vAlign w:val="bottom"/>
          </w:tcPr>
          <w:p>
            <w:pPr>
              <w:spacing w:after="0"/>
              <w:rPr>
                <w:sz w:val="14"/>
                <w:szCs w:val="14"/>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33,214</w:t>
            </w:r>
          </w:p>
        </w:tc>
        <w:tc>
          <w:tcPr>
            <w:tcW w:w="138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18%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38,131</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15%</w:t>
            </w: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Inventory turnover (c)</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6"/>
              </w:rPr>
              <w: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w:t>
            </w: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Average monthly ending pawn loan balance per store (d)</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4"/>
                <w:szCs w:val="14"/>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71</w:t>
            </w:r>
          </w:p>
        </w:tc>
        <w:tc>
          <w:tcPr>
            <w:tcW w:w="138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80</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13%</w:t>
            </w: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Monthly average yield on pawn loans outstanding</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62"/>
        </w:trPr>
        <w:tc>
          <w:tcPr>
            <w:tcW w:w="4700" w:type="dxa"/>
            <w:vAlign w:val="bottom"/>
          </w:tcPr>
          <w:p>
            <w:pPr>
              <w:ind w:left="180"/>
              <w:spacing w:after="0"/>
              <w:rPr>
                <w:sz w:val="20"/>
                <w:szCs w:val="20"/>
                <w:color w:val="auto"/>
              </w:rPr>
            </w:pPr>
            <w:r>
              <w:rPr>
                <w:rFonts w:ascii="Arial" w:cs="Arial" w:eastAsia="Arial" w:hAnsi="Arial"/>
                <w:sz w:val="12"/>
                <w:szCs w:val="12"/>
                <w:color w:val="auto"/>
              </w:rPr>
              <w:t>Pawn loan redemption rate (e)</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100bps</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86"/>
              </w:rPr>
              <w:t>100bps</w:t>
            </w:r>
          </w:p>
        </w:tc>
      </w:tr>
    </w:tbl>
    <w:p>
      <w:pPr>
        <w:spacing w:after="0" w:line="114" w:lineRule="exact"/>
        <w:rPr>
          <w:sz w:val="20"/>
          <w:szCs w:val="20"/>
          <w:color w:val="auto"/>
        </w:rPr>
      </w:pPr>
    </w:p>
    <w:p>
      <w:pPr>
        <w:ind w:left="360" w:hanging="350"/>
        <w:spacing w:after="0"/>
        <w:tabs>
          <w:tab w:leader="none" w:pos="3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Represents an increase or decrease that is not meaningful.</w:t>
      </w:r>
    </w:p>
    <w:p>
      <w:pPr>
        <w:spacing w:after="0" w:line="20" w:lineRule="exact"/>
        <w:rPr>
          <w:sz w:val="20"/>
          <w:szCs w:val="20"/>
          <w:color w:val="auto"/>
        </w:rPr>
      </w:pPr>
    </w:p>
    <w:p>
      <w:pPr>
        <w:ind w:left="360" w:right="120" w:hanging="350"/>
        <w:spacing w:after="0" w:line="230" w:lineRule="auto"/>
        <w:tabs>
          <w:tab w:leader="none" w:pos="3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The three months ended June 30, 2017 constant currency balance excludes nominal net foreign currency transaction gains resulting from movement in exchange rates. The three months ended June 30, 2016 includes $0.8 million net foreign currency transaction losses that are included in the above results.</w:t>
      </w:r>
    </w:p>
    <w:p>
      <w:pPr>
        <w:spacing w:after="0" w:line="13" w:lineRule="exact"/>
        <w:rPr>
          <w:rFonts w:ascii="Arial" w:cs="Arial" w:eastAsia="Arial" w:hAnsi="Arial"/>
          <w:sz w:val="10"/>
          <w:szCs w:val="10"/>
          <w:color w:val="auto"/>
        </w:rPr>
      </w:pPr>
    </w:p>
    <w:p>
      <w:pPr>
        <w:ind w:left="360" w:hanging="350"/>
        <w:spacing w:after="0"/>
        <w:tabs>
          <w:tab w:leader="none" w:pos="3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Balance includes pawn loans and inventory.</w:t>
      </w:r>
    </w:p>
    <w:p>
      <w:pPr>
        <w:spacing w:after="0" w:line="20" w:lineRule="exact"/>
        <w:rPr>
          <w:rFonts w:ascii="Arial" w:cs="Arial" w:eastAsia="Arial" w:hAnsi="Arial"/>
          <w:sz w:val="10"/>
          <w:szCs w:val="10"/>
          <w:color w:val="auto"/>
        </w:rPr>
      </w:pPr>
    </w:p>
    <w:p>
      <w:pPr>
        <w:ind w:left="360" w:hanging="350"/>
        <w:spacing w:after="0"/>
        <w:tabs>
          <w:tab w:leader="none" w:pos="3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Calculation of inventory turnover excludes the effects of scrapping.</w:t>
      </w:r>
    </w:p>
    <w:p>
      <w:pPr>
        <w:spacing w:after="0" w:line="20" w:lineRule="exact"/>
        <w:rPr>
          <w:rFonts w:ascii="Arial" w:cs="Arial" w:eastAsia="Arial" w:hAnsi="Arial"/>
          <w:sz w:val="10"/>
          <w:szCs w:val="10"/>
          <w:color w:val="auto"/>
        </w:rPr>
      </w:pPr>
    </w:p>
    <w:p>
      <w:pPr>
        <w:ind w:left="360" w:hanging="350"/>
        <w:spacing w:after="0"/>
        <w:tabs>
          <w:tab w:leader="none" w:pos="3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Balance is calculated based upon the average of the monthly ending balance averages during the applicable period.</w:t>
      </w:r>
    </w:p>
    <w:p>
      <w:pPr>
        <w:spacing w:after="0" w:line="20" w:lineRule="exact"/>
        <w:rPr>
          <w:rFonts w:ascii="Arial" w:cs="Arial" w:eastAsia="Arial" w:hAnsi="Arial"/>
          <w:sz w:val="10"/>
          <w:szCs w:val="10"/>
          <w:color w:val="auto"/>
        </w:rPr>
      </w:pPr>
    </w:p>
    <w:p>
      <w:pPr>
        <w:ind w:left="360" w:hanging="350"/>
        <w:spacing w:after="0"/>
        <w:tabs>
          <w:tab w:leader="none" w:pos="3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Our pawn loan redemption rate represents the percentage of loans made that are repaid, renewed or extended at a point in time as opposed to the life of the loan.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128" w:right="199" w:bottom="1440" w:gutter="0" w:footer="0" w:header="0"/>
        </w:sectPr>
      </w:pPr>
    </w:p>
    <w:bookmarkStart w:id="33" w:name="page34"/>
    <w:bookmarkEnd w:id="3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color w:val="auto"/>
        </w:rPr>
        <w:t>The Mexico market continues to be fast-growing, and we have plans to open an additional four de novo stores during the remainder of fiscal 2017, with significant runway for continued store openings and acquisitions in Latin America.</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Net revenue increased $1.5 million, or 12% (up $1.9 million, or 15%, on a constant currency basis). The increase in net revenue attributable to same stores and new stores added since the prior-year quarter is summarized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44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5"/>
              </w:rPr>
              <w:t>Change in Net Revenue</w:t>
            </w: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69"/>
        </w:trPr>
        <w:tc>
          <w:tcPr>
            <w:tcW w:w="644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Pawn Service Charges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65"/>
              <w:spacing w:after="0"/>
              <w:rPr>
                <w:sz w:val="20"/>
                <w:szCs w:val="20"/>
                <w:color w:val="auto"/>
              </w:rPr>
            </w:pPr>
            <w:r>
              <w:rPr>
                <w:rFonts w:ascii="Arial" w:cs="Arial" w:eastAsia="Arial" w:hAnsi="Arial"/>
                <w:sz w:val="10"/>
                <w:szCs w:val="10"/>
                <w:b w:val="1"/>
                <w:bCs w:val="1"/>
                <w:color w:val="auto"/>
                <w:w w:val="86"/>
              </w:rPr>
              <w:t>Merchandise Sales Gross Profit</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Total</w:t>
            </w:r>
          </w:p>
        </w:tc>
      </w:tr>
      <w:tr>
        <w:trPr>
          <w:trHeight w:val="250"/>
        </w:trPr>
        <w:tc>
          <w:tcPr>
            <w:tcW w:w="6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0"/>
                <w:szCs w:val="10"/>
                <w:i w:val="1"/>
                <w:iCs w:val="1"/>
                <w:color w:val="auto"/>
                <w:w w:val="94"/>
              </w:rPr>
              <w:t>(in millions)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84"/>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Same stores</w:t>
            </w:r>
          </w:p>
        </w:tc>
        <w:tc>
          <w:tcPr>
            <w:tcW w:w="1300" w:type="dxa"/>
            <w:vAlign w:val="bottom"/>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0.3</w:t>
            </w: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w:t>
            </w:r>
          </w:p>
        </w:tc>
      </w:tr>
      <w:tr>
        <w:trPr>
          <w:trHeight w:val="171"/>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New stores and other</w:t>
            </w: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0.3</w:t>
            </w:r>
          </w:p>
        </w:tc>
      </w:tr>
      <w:tr>
        <w:trPr>
          <w:trHeight w:val="185"/>
        </w:trPr>
        <w:tc>
          <w:tcPr>
            <w:tcW w:w="64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1300" w:type="dxa"/>
            <w:vAlign w:val="bottom"/>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0.5</w:t>
            </w: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r>
      <w:tr>
        <w:trPr>
          <w:trHeight w:val="171"/>
        </w:trPr>
        <w:tc>
          <w:tcPr>
            <w:tcW w:w="644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2"/>
                <w:szCs w:val="12"/>
                <w:color w:val="auto"/>
              </w:rPr>
              <w:t>Change in jewelry scrapping sales gross profit and other revenues</w:t>
            </w:r>
          </w:p>
        </w:tc>
        <w:tc>
          <w:tcPr>
            <w:tcW w:w="13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r>
      <w:tr>
        <w:trPr>
          <w:trHeight w:val="176"/>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change in net revenue</w:t>
            </w:r>
          </w:p>
        </w:tc>
        <w:tc>
          <w:tcPr>
            <w:tcW w:w="1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r>
      <w:tr>
        <w:trPr>
          <w:trHeight w:val="20"/>
        </w:trPr>
        <w:tc>
          <w:tcPr>
            <w:tcW w:w="6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55"/>
        </w:trPr>
        <w:tc>
          <w:tcPr>
            <w:tcW w:w="644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87"/>
              </w:rPr>
              <w:t>Change in Net Revenue (Constant Currency)</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169"/>
        </w:trPr>
        <w:tc>
          <w:tcPr>
            <w:tcW w:w="644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Pawn Service Charges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65"/>
              <w:spacing w:after="0"/>
              <w:rPr>
                <w:sz w:val="20"/>
                <w:szCs w:val="20"/>
                <w:color w:val="auto"/>
              </w:rPr>
            </w:pPr>
            <w:r>
              <w:rPr>
                <w:rFonts w:ascii="Arial" w:cs="Arial" w:eastAsia="Arial" w:hAnsi="Arial"/>
                <w:sz w:val="10"/>
                <w:szCs w:val="10"/>
                <w:b w:val="1"/>
                <w:bCs w:val="1"/>
                <w:color w:val="auto"/>
                <w:w w:val="86"/>
              </w:rPr>
              <w:t>Merchandise Sales Gross Profit</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Total</w:t>
            </w:r>
          </w:p>
        </w:tc>
      </w:tr>
      <w:tr>
        <w:trPr>
          <w:trHeight w:val="250"/>
        </w:trPr>
        <w:tc>
          <w:tcPr>
            <w:tcW w:w="6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0"/>
                <w:szCs w:val="10"/>
                <w:i w:val="1"/>
                <w:iCs w:val="1"/>
                <w:color w:val="auto"/>
                <w:w w:val="94"/>
              </w:rPr>
              <w:t>(in millions)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84"/>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Same stores</w:t>
            </w:r>
          </w:p>
        </w:tc>
        <w:tc>
          <w:tcPr>
            <w:tcW w:w="1300" w:type="dxa"/>
            <w:vAlign w:val="bottom"/>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0.4</w:t>
            </w: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r>
      <w:tr>
        <w:trPr>
          <w:trHeight w:val="171"/>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New stores and other</w:t>
            </w: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0.4</w:t>
            </w:r>
          </w:p>
        </w:tc>
      </w:tr>
      <w:tr>
        <w:trPr>
          <w:trHeight w:val="185"/>
        </w:trPr>
        <w:tc>
          <w:tcPr>
            <w:tcW w:w="64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1300" w:type="dxa"/>
            <w:vAlign w:val="bottom"/>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0.6</w:t>
            </w: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r>
      <w:tr>
        <w:trPr>
          <w:trHeight w:val="171"/>
        </w:trPr>
        <w:tc>
          <w:tcPr>
            <w:tcW w:w="644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2"/>
                <w:szCs w:val="12"/>
                <w:color w:val="auto"/>
              </w:rPr>
              <w:t>Change in jewelry scrapping sales gross profit and other revenues</w:t>
            </w:r>
          </w:p>
        </w:tc>
        <w:tc>
          <w:tcPr>
            <w:tcW w:w="13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r>
      <w:tr>
        <w:trPr>
          <w:trHeight w:val="185"/>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change in net revenue</w:t>
            </w:r>
          </w:p>
        </w:tc>
        <w:tc>
          <w:tcPr>
            <w:tcW w:w="13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r>
    </w:tbl>
    <w:p>
      <w:pPr>
        <w:spacing w:after="0" w:line="99"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We continue to invest in the core pawn business, including commencement of our upgraded point of sale system rollout. We are confident that these initiatives, combined with further investments in product and customer analytics and, in sustained training, coaching and mentoring of our field team, and in disciplined acquisitions and de novo openings, will continue to provide a robust platform for further profitable growth.</w:t>
      </w:r>
    </w:p>
    <w:p>
      <w:pPr>
        <w:spacing w:after="0" w:line="7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Pawn service charges were up 13% (up 16% on a constant currency basis) primarily as a result of same store growth, offset by foreign currency impacts. We increased our average pawn loan balances outstanding during the quarter, driven by continued intense focus on market leadership in meeting our customers' desire for cash, offset by foreign currency impacts.</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Merchandise sales increased 7% (up 10% on a constant currency basis), with gross margin on merchandise sales of 33%, consistent with recent prior quarters and the prior-year quarter. Merchandise sales gross profit increased 10% to $5.1 million (up 13% to $5.2 million on a constant currency basis).</w:t>
      </w:r>
    </w:p>
    <w:p>
      <w:pPr>
        <w:spacing w:after="0" w:line="79"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We leveraged a 12% increase in net revenue (15% increase on a constant currency basis) into a 42% increase in segment operating contribution (46% increase on a constant currency basis) due to focused expense management resulting in only 2% increase (5% increase on a constant currency basis) in operations expense. After a $1.3 million improvement in other segment income, primarily interest income and foreign currency impacts, segment contribution increased 100% (104% on a constant currency basis).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128" w:right="199" w:bottom="1440" w:gutter="0" w:footer="0" w:header="0"/>
        </w:sectPr>
      </w:pPr>
    </w:p>
    <w:bookmarkStart w:id="34" w:name="page35"/>
    <w:bookmarkEnd w:id="3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International</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presents selected financial data from continuing operations for the Other International segment after translation to U.S. dollars from its reporting units' functional currency of primarily Canadian and Australian dollars: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0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0"/>
                <w:szCs w:val="10"/>
                <w:b w:val="1"/>
                <w:bCs w:val="1"/>
                <w:color w:val="auto"/>
                <w:w w:val="88"/>
              </w:rPr>
              <w:t>Three Months Ended June 30,</w:t>
            </w: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9"/>
        </w:trPr>
        <w:tc>
          <w:tcPr>
            <w:tcW w:w="7000" w:type="dxa"/>
            <w:vAlign w:val="bottom"/>
          </w:tcPr>
          <w:p>
            <w:pPr>
              <w:spacing w:after="0"/>
              <w:rPr>
                <w:sz w:val="14"/>
                <w:szCs w:val="14"/>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2017</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2016</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Percentage Change</w:t>
            </w:r>
          </w:p>
        </w:tc>
      </w:tr>
      <w:tr>
        <w:trPr>
          <w:trHeight w:val="250"/>
        </w:trPr>
        <w:tc>
          <w:tcPr>
            <w:tcW w:w="7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40" w:type="dxa"/>
            <w:vAlign w:val="bottom"/>
            <w:gridSpan w:val="3"/>
          </w:tcPr>
          <w:p>
            <w:pPr>
              <w:jc w:val="right"/>
              <w:ind w:right="744"/>
              <w:spacing w:after="0"/>
              <w:rPr>
                <w:sz w:val="20"/>
                <w:szCs w:val="20"/>
                <w:color w:val="auto"/>
              </w:rPr>
            </w:pPr>
            <w:r>
              <w:rPr>
                <w:rFonts w:ascii="Arial" w:cs="Arial" w:eastAsia="Arial" w:hAnsi="Arial"/>
                <w:sz w:val="10"/>
                <w:szCs w:val="10"/>
                <w:i w:val="1"/>
                <w:iCs w:val="1"/>
                <w:color w:val="auto"/>
              </w:rPr>
              <w:t>(in thousands)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84"/>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1"/>
        </w:trPr>
        <w:tc>
          <w:tcPr>
            <w:tcW w:w="7000" w:type="dxa"/>
            <w:vAlign w:val="bottom"/>
          </w:tcPr>
          <w:p>
            <w:pPr>
              <w:ind w:left="180"/>
              <w:spacing w:after="0"/>
              <w:rPr>
                <w:sz w:val="20"/>
                <w:szCs w:val="20"/>
                <w:color w:val="auto"/>
              </w:rPr>
            </w:pPr>
            <w:r>
              <w:rPr>
                <w:rFonts w:ascii="Arial" w:cs="Arial" w:eastAsia="Arial" w:hAnsi="Arial"/>
                <w:sz w:val="12"/>
                <w:szCs w:val="12"/>
                <w:color w:val="auto"/>
              </w:rPr>
              <w:t>Consumer loan fees, interest and other</w:t>
            </w:r>
          </w:p>
        </w:tc>
        <w:tc>
          <w:tcPr>
            <w:tcW w:w="960" w:type="dxa"/>
            <w:vAlign w:val="bottom"/>
          </w:tcPr>
          <w:p>
            <w:pPr>
              <w:jc w:val="right"/>
              <w:ind w:right="824"/>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1,964</w:t>
            </w:r>
          </w:p>
        </w:tc>
        <w:tc>
          <w:tcPr>
            <w:tcW w:w="120" w:type="dxa"/>
            <w:vAlign w:val="bottom"/>
          </w:tcPr>
          <w:p>
            <w:pPr>
              <w:spacing w:after="0"/>
              <w:rPr>
                <w:sz w:val="14"/>
                <w:szCs w:val="14"/>
                <w:color w:val="auto"/>
              </w:rPr>
            </w:pPr>
          </w:p>
        </w:tc>
        <w:tc>
          <w:tcPr>
            <w:tcW w:w="960" w:type="dxa"/>
            <w:vAlign w:val="bottom"/>
          </w:tcPr>
          <w:p>
            <w:pPr>
              <w:jc w:val="right"/>
              <w:ind w:right="82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2,237</w:t>
            </w:r>
          </w:p>
        </w:tc>
        <w:tc>
          <w:tcPr>
            <w:tcW w:w="1260" w:type="dxa"/>
            <w:vAlign w:val="bottom"/>
            <w:gridSpan w:val="2"/>
          </w:tcPr>
          <w:p>
            <w:pPr>
              <w:jc w:val="center"/>
              <w:ind w:left="60"/>
              <w:spacing w:after="0"/>
              <w:rPr>
                <w:sz w:val="20"/>
                <w:szCs w:val="20"/>
                <w:color w:val="auto"/>
              </w:rPr>
            </w:pPr>
            <w:r>
              <w:rPr>
                <w:rFonts w:ascii="Arial" w:cs="Arial" w:eastAsia="Arial" w:hAnsi="Arial"/>
                <w:sz w:val="12"/>
                <w:szCs w:val="12"/>
                <w:color w:val="auto"/>
                <w:w w:val="93"/>
              </w:rPr>
              <w:t>(12)%</w:t>
            </w:r>
          </w:p>
        </w:tc>
      </w:tr>
      <w:tr>
        <w:trPr>
          <w:trHeight w:val="189"/>
        </w:trPr>
        <w:tc>
          <w:tcPr>
            <w:tcW w:w="7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Consumer loan bad debt</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(453)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3"/>
              </w:rPr>
              <w:t>(10)%</w:t>
            </w:r>
          </w:p>
        </w:tc>
      </w:tr>
      <w:tr>
        <w:trPr>
          <w:trHeight w:val="171"/>
        </w:trPr>
        <w:tc>
          <w:tcPr>
            <w:tcW w:w="7000" w:type="dxa"/>
            <w:vAlign w:val="bottom"/>
          </w:tcPr>
          <w:p>
            <w:pPr>
              <w:ind w:left="180"/>
              <w:spacing w:after="0"/>
              <w:rPr>
                <w:sz w:val="20"/>
                <w:szCs w:val="20"/>
                <w:color w:val="auto"/>
              </w:rPr>
            </w:pPr>
            <w:r>
              <w:rPr>
                <w:rFonts w:ascii="Arial" w:cs="Arial" w:eastAsia="Arial" w:hAnsi="Arial"/>
                <w:sz w:val="12"/>
                <w:szCs w:val="12"/>
                <w:color w:val="auto"/>
              </w:rPr>
              <w:t>Other revenues, net</w:t>
            </w:r>
          </w:p>
        </w:tc>
        <w:tc>
          <w:tcPr>
            <w:tcW w:w="9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w:t>
            </w:r>
          </w:p>
        </w:tc>
        <w:tc>
          <w:tcPr>
            <w:tcW w:w="1260" w:type="dxa"/>
            <w:vAlign w:val="bottom"/>
            <w:gridSpan w:val="2"/>
          </w:tcPr>
          <w:p>
            <w:pPr>
              <w:jc w:val="center"/>
              <w:ind w:left="40"/>
              <w:spacing w:after="0"/>
              <w:rPr>
                <w:sz w:val="20"/>
                <w:szCs w:val="20"/>
                <w:color w:val="auto"/>
              </w:rPr>
            </w:pPr>
            <w:r>
              <w:rPr>
                <w:rFonts w:ascii="Arial" w:cs="Arial" w:eastAsia="Arial" w:hAnsi="Arial"/>
                <w:sz w:val="12"/>
                <w:szCs w:val="12"/>
                <w:color w:val="auto"/>
                <w:w w:val="92"/>
              </w:rPr>
              <w:t>(100)%</w:t>
            </w:r>
          </w:p>
        </w:tc>
      </w:tr>
      <w:tr>
        <w:trPr>
          <w:trHeight w:val="178"/>
        </w:trPr>
        <w:tc>
          <w:tcPr>
            <w:tcW w:w="70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Net revenues</w:t>
            </w:r>
          </w:p>
        </w:tc>
        <w:tc>
          <w:tcPr>
            <w:tcW w:w="9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1,511</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1,732</w:t>
            </w:r>
          </w:p>
        </w:tc>
        <w:tc>
          <w:tcPr>
            <w:tcW w:w="1260" w:type="dxa"/>
            <w:vAlign w:val="bottom"/>
            <w:tcBorders>
              <w:top w:val="single" w:sz="8" w:color="CCEEFF"/>
            </w:tcBorders>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3"/>
              </w:rPr>
              <w:t>(13)%</w:t>
            </w:r>
          </w:p>
        </w:tc>
      </w:tr>
      <w:tr>
        <w:trPr>
          <w:trHeight w:val="180"/>
        </w:trPr>
        <w:tc>
          <w:tcPr>
            <w:tcW w:w="7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operating expenses (income):</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7000" w:type="dxa"/>
            <w:vAlign w:val="bottom"/>
          </w:tcPr>
          <w:p>
            <w:pPr>
              <w:ind w:left="180"/>
              <w:spacing w:after="0"/>
              <w:rPr>
                <w:sz w:val="20"/>
                <w:szCs w:val="20"/>
                <w:color w:val="auto"/>
              </w:rPr>
            </w:pPr>
            <w:r>
              <w:rPr>
                <w:rFonts w:ascii="Arial" w:cs="Arial" w:eastAsia="Arial" w:hAnsi="Arial"/>
                <w:sz w:val="12"/>
                <w:szCs w:val="12"/>
                <w:color w:val="auto"/>
              </w:rPr>
              <w:t>Operating expenses</w:t>
            </w:r>
          </w:p>
        </w:tc>
        <w:tc>
          <w:tcPr>
            <w:tcW w:w="960" w:type="dxa"/>
            <w:vAlign w:val="bottom"/>
          </w:tcPr>
          <w:p>
            <w:pPr>
              <w:spacing w:after="0"/>
              <w:rPr>
                <w:sz w:val="14"/>
                <w:szCs w:val="14"/>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1,799</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1,751</w:t>
            </w:r>
          </w:p>
        </w:tc>
        <w:tc>
          <w:tcPr>
            <w:tcW w:w="126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3%</w:t>
            </w:r>
          </w:p>
        </w:tc>
      </w:tr>
      <w:tr>
        <w:trPr>
          <w:trHeight w:val="189"/>
        </w:trPr>
        <w:tc>
          <w:tcPr>
            <w:tcW w:w="7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Equity in net income of unconsolidated affiliate</w:t>
            </w:r>
          </w:p>
        </w:tc>
        <w:tc>
          <w:tcPr>
            <w:tcW w:w="9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(1,047)</w:t>
            </w:r>
          </w:p>
        </w:tc>
        <w:tc>
          <w:tcPr>
            <w:tcW w:w="1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(1,694)</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3"/>
              </w:rPr>
              <w:t>(38)%</w:t>
            </w:r>
          </w:p>
        </w:tc>
      </w:tr>
      <w:tr>
        <w:trPr>
          <w:trHeight w:val="160"/>
        </w:trPr>
        <w:tc>
          <w:tcPr>
            <w:tcW w:w="7000" w:type="dxa"/>
            <w:vAlign w:val="bottom"/>
          </w:tcPr>
          <w:p>
            <w:pPr>
              <w:ind w:left="320"/>
              <w:spacing w:after="0"/>
              <w:rPr>
                <w:sz w:val="20"/>
                <w:szCs w:val="20"/>
                <w:color w:val="auto"/>
              </w:rPr>
            </w:pPr>
            <w:r>
              <w:rPr>
                <w:rFonts w:ascii="Arial" w:cs="Arial" w:eastAsia="Arial" w:hAnsi="Arial"/>
                <w:sz w:val="12"/>
                <w:szCs w:val="12"/>
                <w:color w:val="auto"/>
              </w:rPr>
              <w:t>Segment operating contribution</w:t>
            </w:r>
          </w:p>
        </w:tc>
        <w:tc>
          <w:tcPr>
            <w:tcW w:w="960" w:type="dxa"/>
            <w:vAlign w:val="bottom"/>
          </w:tcPr>
          <w:p>
            <w:pPr>
              <w:spacing w:after="0"/>
              <w:rPr>
                <w:sz w:val="13"/>
                <w:szCs w:val="13"/>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759</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1,675</w:t>
            </w:r>
          </w:p>
        </w:tc>
        <w:tc>
          <w:tcPr>
            <w:tcW w:w="1260" w:type="dxa"/>
            <w:vAlign w:val="bottom"/>
            <w:gridSpan w:val="2"/>
          </w:tcPr>
          <w:p>
            <w:pPr>
              <w:jc w:val="center"/>
              <w:ind w:left="60"/>
              <w:spacing w:after="0"/>
              <w:rPr>
                <w:sz w:val="20"/>
                <w:szCs w:val="20"/>
                <w:color w:val="auto"/>
              </w:rPr>
            </w:pPr>
            <w:r>
              <w:rPr>
                <w:rFonts w:ascii="Arial" w:cs="Arial" w:eastAsia="Arial" w:hAnsi="Arial"/>
                <w:sz w:val="12"/>
                <w:szCs w:val="12"/>
                <w:color w:val="auto"/>
                <w:w w:val="93"/>
              </w:rPr>
              <w:t>(55)%</w:t>
            </w:r>
          </w:p>
        </w:tc>
      </w:tr>
      <w:tr>
        <w:trPr>
          <w:trHeight w:val="225"/>
        </w:trPr>
        <w:tc>
          <w:tcPr>
            <w:tcW w:w="7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71"/>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segment income</w:t>
            </w: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(68)</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CCEEFF"/>
            </w:tcBorders>
            <w:gridSpan w:val="2"/>
          </w:tcPr>
          <w:p>
            <w:pPr>
              <w:jc w:val="center"/>
              <w:ind w:left="60"/>
              <w:spacing w:after="0"/>
              <w:rPr>
                <w:sz w:val="20"/>
                <w:szCs w:val="20"/>
                <w:color w:val="auto"/>
              </w:rPr>
            </w:pPr>
            <w:r>
              <w:rPr>
                <w:rFonts w:ascii="Arial" w:cs="Arial" w:eastAsia="Arial" w:hAnsi="Arial"/>
                <w:sz w:val="12"/>
                <w:szCs w:val="12"/>
                <w:color w:val="auto"/>
              </w:rPr>
              <w:t>*</w:t>
            </w:r>
          </w:p>
        </w:tc>
      </w:tr>
      <w:tr>
        <w:trPr>
          <w:trHeight w:val="185"/>
        </w:trPr>
        <w:tc>
          <w:tcPr>
            <w:tcW w:w="7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Segment contribution</w:t>
            </w:r>
          </w:p>
        </w:tc>
        <w:tc>
          <w:tcPr>
            <w:tcW w:w="96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827</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1,675</w:t>
            </w:r>
          </w:p>
        </w:tc>
        <w:tc>
          <w:tcPr>
            <w:tcW w:w="1260" w:type="dxa"/>
            <w:vAlign w:val="bottom"/>
            <w:tcBorders>
              <w:bottom w:val="single" w:sz="8" w:color="CCEEFF"/>
            </w:tcBorders>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3"/>
              </w:rPr>
              <w:t>(51)%</w:t>
            </w:r>
          </w:p>
        </w:tc>
      </w:tr>
    </w:tbl>
    <w:p>
      <w:pPr>
        <w:spacing w:after="0" w:line="96" w:lineRule="exact"/>
        <w:rPr>
          <w:sz w:val="20"/>
          <w:szCs w:val="20"/>
          <w:color w:val="auto"/>
        </w:rPr>
      </w:pPr>
    </w:p>
    <w:p>
      <w:pPr>
        <w:ind w:left="240" w:hanging="230"/>
        <w:spacing w:after="0"/>
        <w:tabs>
          <w:tab w:leader="none" w:pos="240" w:val="left"/>
        </w:tabs>
        <w:numPr>
          <w:ilvl w:val="0"/>
          <w:numId w:val="20"/>
        </w:numPr>
        <w:rPr>
          <w:rFonts w:ascii="Arial" w:cs="Arial" w:eastAsia="Arial" w:hAnsi="Arial"/>
          <w:sz w:val="10"/>
          <w:szCs w:val="10"/>
          <w:color w:val="auto"/>
        </w:rPr>
      </w:pPr>
      <w:r>
        <w:rPr>
          <w:rFonts w:ascii="Arial" w:cs="Arial" w:eastAsia="Arial" w:hAnsi="Arial"/>
          <w:sz w:val="10"/>
          <w:szCs w:val="10"/>
          <w:color w:val="auto"/>
        </w:rPr>
        <w:t>Represents an increase or decrease that is not meaningful.</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Segment contribution decreased $0.8 million, or 51%, primarily due to a $0.6 million decrease in earnings from Cash Converters International.</w:t>
      </w:r>
    </w:p>
    <w:p>
      <w:pPr>
        <w:spacing w:after="0" w:line="114"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 fair value of our investment in Cash Converters International was $4.4 million below its carrying value as of June 30, 2017. We have taken impairment charges on this investment in prior periods and continue to monitor the fair value of our investment for other-than-temporary impairments. We may record an impairment charge should the fair value of our investment remain below its carrying value for an extended period of time, or if we no longer had the intent or ability to hold our investment for a period of time sufficient to allow for any anticipated recovery in market value.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128" w:right="199" w:bottom="1440" w:gutter="0" w:footer="0" w:header="0"/>
        </w:sectPr>
      </w:pPr>
    </w:p>
    <w:bookmarkStart w:id="35" w:name="page36"/>
    <w:bookmarkEnd w:id="3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Items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reconciles our consolidated segment contribution discussed above to net income (loss) attributable to EZCORP, Inc., including items that affect our consolidated financial results but are not allocated among segments: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3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0"/>
                <w:szCs w:val="10"/>
                <w:b w:val="1"/>
                <w:bCs w:val="1"/>
                <w:color w:val="auto"/>
                <w:w w:val="87"/>
              </w:rPr>
              <w:t>Three Months Ended June 30,</w:t>
            </w: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9"/>
        </w:trPr>
        <w:tc>
          <w:tcPr>
            <w:tcW w:w="73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2016</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Percentage Change</w:t>
            </w:r>
          </w:p>
        </w:tc>
      </w:tr>
      <w:tr>
        <w:trPr>
          <w:trHeight w:val="250"/>
        </w:trPr>
        <w:tc>
          <w:tcPr>
            <w:tcW w:w="7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60" w:type="dxa"/>
            <w:vAlign w:val="bottom"/>
            <w:gridSpan w:val="3"/>
          </w:tcPr>
          <w:p>
            <w:pPr>
              <w:jc w:val="right"/>
              <w:ind w:right="584"/>
              <w:spacing w:after="0"/>
              <w:rPr>
                <w:sz w:val="20"/>
                <w:szCs w:val="20"/>
                <w:color w:val="auto"/>
              </w:rPr>
            </w:pPr>
            <w:r>
              <w:rPr>
                <w:rFonts w:ascii="Arial" w:cs="Arial" w:eastAsia="Arial" w:hAnsi="Arial"/>
                <w:sz w:val="10"/>
                <w:szCs w:val="10"/>
                <w:i w:val="1"/>
                <w:iCs w:val="1"/>
                <w:color w:val="auto"/>
              </w:rPr>
              <w:t>(in thousands)</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84"/>
        </w:trPr>
        <w:tc>
          <w:tcPr>
            <w:tcW w:w="7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contribution</w:t>
            </w:r>
          </w:p>
        </w:tc>
        <w:tc>
          <w:tcPr>
            <w:tcW w:w="800" w:type="dxa"/>
            <w:vAlign w:val="bottom"/>
            <w:shd w:val="clear" w:color="auto" w:fill="CCEEFF"/>
          </w:tcPr>
          <w:p>
            <w:pPr>
              <w:jc w:val="right"/>
              <w:ind w:right="69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30,041</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24,556</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22%</w:t>
            </w:r>
          </w:p>
        </w:tc>
      </w:tr>
      <w:tr>
        <w:trPr>
          <w:trHeight w:val="171"/>
        </w:trPr>
        <w:tc>
          <w:tcPr>
            <w:tcW w:w="7360" w:type="dxa"/>
            <w:vAlign w:val="bottom"/>
          </w:tcPr>
          <w:p>
            <w:pPr>
              <w:ind w:left="180"/>
              <w:spacing w:after="0"/>
              <w:rPr>
                <w:sz w:val="20"/>
                <w:szCs w:val="20"/>
                <w:color w:val="auto"/>
              </w:rPr>
            </w:pPr>
            <w:r>
              <w:rPr>
                <w:rFonts w:ascii="Arial" w:cs="Arial" w:eastAsia="Arial" w:hAnsi="Arial"/>
                <w:sz w:val="12"/>
                <w:szCs w:val="12"/>
                <w:color w:val="auto"/>
              </w:rPr>
              <w:t>Corporate expenses (income):</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9"/>
        </w:trPr>
        <w:tc>
          <w:tcPr>
            <w:tcW w:w="7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Administrative</w:t>
            </w:r>
          </w:p>
        </w:tc>
        <w:tc>
          <w:tcPr>
            <w:tcW w:w="8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14,095</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14,481</w:t>
            </w:r>
          </w:p>
        </w:tc>
        <w:tc>
          <w:tcPr>
            <w:tcW w:w="126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4"/>
              </w:rPr>
              <w:t>(3)%</w:t>
            </w:r>
          </w:p>
        </w:tc>
      </w:tr>
      <w:tr>
        <w:trPr>
          <w:trHeight w:val="171"/>
        </w:trPr>
        <w:tc>
          <w:tcPr>
            <w:tcW w:w="7360" w:type="dxa"/>
            <w:vAlign w:val="bottom"/>
          </w:tcPr>
          <w:p>
            <w:pPr>
              <w:ind w:left="320"/>
              <w:spacing w:after="0"/>
              <w:rPr>
                <w:sz w:val="20"/>
                <w:szCs w:val="20"/>
                <w:color w:val="auto"/>
              </w:rPr>
            </w:pPr>
            <w:r>
              <w:rPr>
                <w:rFonts w:ascii="Arial" w:cs="Arial" w:eastAsia="Arial" w:hAnsi="Arial"/>
                <w:sz w:val="12"/>
                <w:szCs w:val="12"/>
                <w:color w:val="auto"/>
              </w:rPr>
              <w:t>Depreciation and amortization</w:t>
            </w:r>
          </w:p>
        </w:tc>
        <w:tc>
          <w:tcPr>
            <w:tcW w:w="80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2,970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2,610</w:t>
            </w:r>
          </w:p>
        </w:tc>
        <w:tc>
          <w:tcPr>
            <w:tcW w:w="126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14%</w:t>
            </w:r>
          </w:p>
        </w:tc>
      </w:tr>
      <w:tr>
        <w:trPr>
          <w:trHeight w:val="189"/>
        </w:trPr>
        <w:tc>
          <w:tcPr>
            <w:tcW w:w="7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Loss on sale or disposal of assets</w:t>
            </w:r>
          </w:p>
        </w:tc>
        <w:tc>
          <w:tcPr>
            <w:tcW w:w="8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w:t>
            </w:r>
          </w:p>
        </w:tc>
        <w:tc>
          <w:tcPr>
            <w:tcW w:w="126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2"/>
              </w:rPr>
              <w:t>(100)%</w:t>
            </w:r>
          </w:p>
        </w:tc>
      </w:tr>
      <w:tr>
        <w:trPr>
          <w:trHeight w:val="171"/>
        </w:trPr>
        <w:tc>
          <w:tcPr>
            <w:tcW w:w="7360" w:type="dxa"/>
            <w:vAlign w:val="bottom"/>
          </w:tcPr>
          <w:p>
            <w:pPr>
              <w:ind w:left="320"/>
              <w:spacing w:after="0"/>
              <w:rPr>
                <w:sz w:val="20"/>
                <w:szCs w:val="20"/>
                <w:color w:val="auto"/>
              </w:rPr>
            </w:pPr>
            <w:r>
              <w:rPr>
                <w:rFonts w:ascii="Arial" w:cs="Arial" w:eastAsia="Arial" w:hAnsi="Arial"/>
                <w:sz w:val="12"/>
                <w:szCs w:val="12"/>
                <w:color w:val="auto"/>
              </w:rPr>
              <w:t>Interest expense</w:t>
            </w:r>
          </w:p>
        </w:tc>
        <w:tc>
          <w:tcPr>
            <w:tcW w:w="80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5,652</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3,911</w:t>
            </w:r>
          </w:p>
        </w:tc>
        <w:tc>
          <w:tcPr>
            <w:tcW w:w="126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45%</w:t>
            </w:r>
          </w:p>
        </w:tc>
      </w:tr>
      <w:tr>
        <w:trPr>
          <w:trHeight w:val="189"/>
        </w:trPr>
        <w:tc>
          <w:tcPr>
            <w:tcW w:w="7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Interest income</w:t>
            </w:r>
          </w:p>
        </w:tc>
        <w:tc>
          <w:tcPr>
            <w:tcW w:w="8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(1,573)</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rPr>
              <w:t>*</w:t>
            </w:r>
          </w:p>
        </w:tc>
      </w:tr>
      <w:tr>
        <w:trPr>
          <w:trHeight w:val="171"/>
        </w:trPr>
        <w:tc>
          <w:tcPr>
            <w:tcW w:w="73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Other income</w:t>
            </w: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w:t>
            </w:r>
          </w:p>
        </w:tc>
        <w:tc>
          <w:tcPr>
            <w:tcW w:w="1260" w:type="dxa"/>
            <w:vAlign w:val="bottom"/>
            <w:tcBorders>
              <w:bottom w:val="single" w:sz="8" w:color="CCEEFF"/>
            </w:tcBorders>
            <w:gridSpan w:val="2"/>
          </w:tcPr>
          <w:p>
            <w:pPr>
              <w:jc w:val="center"/>
              <w:ind w:left="60"/>
              <w:spacing w:after="0"/>
              <w:rPr>
                <w:sz w:val="20"/>
                <w:szCs w:val="20"/>
                <w:color w:val="auto"/>
              </w:rPr>
            </w:pPr>
            <w:r>
              <w:rPr>
                <w:rFonts w:ascii="Arial" w:cs="Arial" w:eastAsia="Arial" w:hAnsi="Arial"/>
                <w:sz w:val="12"/>
                <w:szCs w:val="12"/>
                <w:color w:val="auto"/>
                <w:w w:val="93"/>
              </w:rPr>
              <w:t>(99)%</w:t>
            </w:r>
          </w:p>
        </w:tc>
      </w:tr>
      <w:tr>
        <w:trPr>
          <w:trHeight w:val="178"/>
        </w:trPr>
        <w:tc>
          <w:tcPr>
            <w:tcW w:w="73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Income from continuing operations before income taxes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8,899</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3,816</w:t>
            </w:r>
          </w:p>
        </w:tc>
        <w:tc>
          <w:tcPr>
            <w:tcW w:w="126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133%</w:t>
            </w:r>
          </w:p>
        </w:tc>
      </w:tr>
      <w:tr>
        <w:trPr>
          <w:trHeight w:val="171"/>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expense</w:t>
            </w: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3,432</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1,038</w:t>
            </w:r>
          </w:p>
        </w:tc>
        <w:tc>
          <w:tcPr>
            <w:tcW w:w="126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91"/>
              </w:rPr>
              <w:t>231%</w:t>
            </w:r>
          </w:p>
        </w:tc>
      </w:tr>
      <w:tr>
        <w:trPr>
          <w:trHeight w:val="178"/>
        </w:trPr>
        <w:tc>
          <w:tcPr>
            <w:tcW w:w="7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from continuing operations, net of tax</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5,467</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2,778</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97%</w:t>
            </w:r>
          </w:p>
        </w:tc>
      </w:tr>
      <w:tr>
        <w:trPr>
          <w:trHeight w:val="171"/>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Loss from discontinued operations, net of tax</w:t>
            </w: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(265)</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(9,133)</w:t>
            </w:r>
          </w:p>
        </w:tc>
        <w:tc>
          <w:tcPr>
            <w:tcW w:w="1260" w:type="dxa"/>
            <w:vAlign w:val="bottom"/>
            <w:tcBorders>
              <w:bottom w:val="single" w:sz="8" w:color="CCEEFF"/>
            </w:tcBorders>
            <w:gridSpan w:val="2"/>
          </w:tcPr>
          <w:p>
            <w:pPr>
              <w:jc w:val="center"/>
              <w:ind w:left="60"/>
              <w:spacing w:after="0"/>
              <w:rPr>
                <w:sz w:val="20"/>
                <w:szCs w:val="20"/>
                <w:color w:val="auto"/>
              </w:rPr>
            </w:pPr>
            <w:r>
              <w:rPr>
                <w:rFonts w:ascii="Arial" w:cs="Arial" w:eastAsia="Arial" w:hAnsi="Arial"/>
                <w:sz w:val="12"/>
                <w:szCs w:val="12"/>
                <w:color w:val="auto"/>
                <w:w w:val="93"/>
              </w:rPr>
              <w:t>(97)%</w:t>
            </w:r>
          </w:p>
        </w:tc>
      </w:tr>
      <w:tr>
        <w:trPr>
          <w:trHeight w:val="178"/>
        </w:trPr>
        <w:tc>
          <w:tcPr>
            <w:tcW w:w="7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5,202</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(6,355)</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rPr>
              <w:t>*</w:t>
            </w:r>
          </w:p>
        </w:tc>
      </w:tr>
      <w:tr>
        <w:trPr>
          <w:trHeight w:val="171"/>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loss attributable to noncontrolling interest</w:t>
            </w: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(58)</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w:t>
            </w:r>
          </w:p>
        </w:tc>
        <w:tc>
          <w:tcPr>
            <w:tcW w:w="1260" w:type="dxa"/>
            <w:vAlign w:val="bottom"/>
            <w:tcBorders>
              <w:bottom w:val="single" w:sz="8" w:color="CCEEFF"/>
            </w:tcBorders>
            <w:gridSpan w:val="2"/>
          </w:tcPr>
          <w:p>
            <w:pPr>
              <w:jc w:val="center"/>
              <w:ind w:left="60"/>
              <w:spacing w:after="0"/>
              <w:rPr>
                <w:sz w:val="20"/>
                <w:szCs w:val="20"/>
                <w:color w:val="auto"/>
              </w:rPr>
            </w:pPr>
            <w:r>
              <w:rPr>
                <w:rFonts w:ascii="Arial" w:cs="Arial" w:eastAsia="Arial" w:hAnsi="Arial"/>
                <w:sz w:val="12"/>
                <w:szCs w:val="12"/>
                <w:color w:val="auto"/>
                <w:w w:val="93"/>
              </w:rPr>
              <w:t>(91)%</w:t>
            </w:r>
          </w:p>
        </w:tc>
      </w:tr>
      <w:tr>
        <w:trPr>
          <w:trHeight w:val="18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 (loss) attributable to EZCORP, Inc.</w:t>
            </w:r>
          </w:p>
        </w:tc>
        <w:tc>
          <w:tcPr>
            <w:tcW w:w="8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5,260</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(5,689)</w:t>
            </w:r>
          </w:p>
        </w:tc>
        <w:tc>
          <w:tcPr>
            <w:tcW w:w="1260" w:type="dxa"/>
            <w:vAlign w:val="bottom"/>
            <w:tcBorders>
              <w:bottom w:val="single" w:sz="8" w:color="CCEEFF"/>
            </w:tcBorders>
            <w:gridSpan w:val="2"/>
            <w:shd w:val="clear" w:color="auto" w:fill="CCEEFF"/>
          </w:tcPr>
          <w:p>
            <w:pPr>
              <w:jc w:val="center"/>
              <w:ind w:left="60"/>
              <w:spacing w:after="0"/>
              <w:rPr>
                <w:sz w:val="20"/>
                <w:szCs w:val="20"/>
                <w:color w:val="auto"/>
              </w:rPr>
            </w:pPr>
            <w:r>
              <w:rPr>
                <w:rFonts w:ascii="Arial" w:cs="Arial" w:eastAsia="Arial" w:hAnsi="Arial"/>
                <w:sz w:val="12"/>
                <w:szCs w:val="12"/>
                <w:color w:val="auto"/>
              </w:rPr>
              <w:t>*</w:t>
            </w:r>
          </w:p>
        </w:tc>
      </w:tr>
    </w:tbl>
    <w:p>
      <w:pPr>
        <w:spacing w:after="0" w:line="96" w:lineRule="exact"/>
        <w:rPr>
          <w:sz w:val="20"/>
          <w:szCs w:val="20"/>
          <w:color w:val="auto"/>
        </w:rPr>
      </w:pPr>
    </w:p>
    <w:p>
      <w:pPr>
        <w:ind w:left="240" w:hanging="230"/>
        <w:spacing w:after="0"/>
        <w:tabs>
          <w:tab w:leader="none" w:pos="240" w:val="left"/>
        </w:tabs>
        <w:numPr>
          <w:ilvl w:val="0"/>
          <w:numId w:val="21"/>
        </w:numPr>
        <w:rPr>
          <w:rFonts w:ascii="Arial" w:cs="Arial" w:eastAsia="Arial" w:hAnsi="Arial"/>
          <w:sz w:val="10"/>
          <w:szCs w:val="10"/>
          <w:color w:val="auto"/>
        </w:rPr>
      </w:pPr>
      <w:r>
        <w:rPr>
          <w:rFonts w:ascii="Arial" w:cs="Arial" w:eastAsia="Arial" w:hAnsi="Arial"/>
          <w:sz w:val="10"/>
          <w:szCs w:val="10"/>
          <w:color w:val="auto"/>
        </w:rPr>
        <w:t>Represents an increase or decrease that is not meaningful.</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Administrative expenses decreased $0.4 million, or 3%, in the current quarter, and we remain on track to reduce administrative expenses to no more than $50 million in fiscal 2018.</w:t>
      </w:r>
    </w:p>
    <w:p>
      <w:pPr>
        <w:spacing w:after="0" w:line="11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Interest expense increased $1.7 million, or 45%, as a result of our Term Loan Facility obtained in September 2016, including accruals of interest in addition to amortization of associated discounts and deferred financings costs. Interest income increased $1.5 million as a result of our notes receivable from the sale of Grupo Finmart, including ordinary accruals of interest in addition to accretion of associated discounts.</w:t>
      </w:r>
    </w:p>
    <w:p>
      <w:pPr>
        <w:spacing w:after="0" w:line="79" w:lineRule="exact"/>
        <w:rPr>
          <w:sz w:val="20"/>
          <w:szCs w:val="20"/>
          <w:color w:val="auto"/>
        </w:rPr>
      </w:pPr>
    </w:p>
    <w:p>
      <w:pPr>
        <w:ind w:right="200"/>
        <w:spacing w:after="0" w:line="298" w:lineRule="auto"/>
        <w:rPr>
          <w:sz w:val="20"/>
          <w:szCs w:val="20"/>
          <w:color w:val="auto"/>
        </w:rPr>
      </w:pPr>
      <w:r>
        <w:rPr>
          <w:rFonts w:ascii="Arial" w:cs="Arial" w:eastAsia="Arial" w:hAnsi="Arial"/>
          <w:sz w:val="11"/>
          <w:szCs w:val="11"/>
          <w:color w:val="auto"/>
        </w:rPr>
        <w:t>Subsequent to the end of the quarter, we raised additional capital through the issuance of $143.75 million aggregate principal amount of our 2.875% Convertible Senior Notes due 2024, repaid all outstanding borrowings under our Term Loan Facility and repurchase and retired $35.0 million aggregate principal amount of our outstanding Cash Convertible Notes. As a result of these transactions, we expect to record one-time charges of approximately $5 million in the fourth quarter of fiscal 2017. See "Part I, Item 2 — Management’s Discussion and Analysis of Financial Condition and Results of Operations — Liquidity and Capital Resources."</w:t>
      </w:r>
    </w:p>
    <w:p>
      <w:pPr>
        <w:spacing w:after="0" w:line="69"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Income tax expense increased $2.4 million, due primarily to the impacts of a $5.1 million increase in income from continuing operations before income taxes. Income tax expense includes other items that do not necessarily correspond to pre-tax earnings and create volatility in our effective tax rate, of which no items were material during the current quarter.</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We have substantially eliminated activities associated with our discontinued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128" w:right="199" w:bottom="1440" w:gutter="0" w:footer="0" w:header="0"/>
        </w:sectPr>
      </w:pPr>
    </w:p>
    <w:bookmarkStart w:id="36" w:name="page37"/>
    <w:bookmarkEnd w:id="3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Nine Months Ended June 30, 2017 vs. Nine Months Ended June 30, 2016</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Pawn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selected summary financial data from continuing operations for the U.S. Pawn segment:</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67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0"/>
                <w:szCs w:val="10"/>
                <w:b w:val="1"/>
                <w:bCs w:val="1"/>
                <w:color w:val="auto"/>
                <w:w w:val="89"/>
              </w:rPr>
              <w:t>Nine Months Ended June 30,</w:t>
            </w: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69"/>
        </w:trPr>
        <w:tc>
          <w:tcPr>
            <w:tcW w:w="6760" w:type="dxa"/>
            <w:vAlign w:val="bottom"/>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2017</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2016</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Change</w:t>
            </w:r>
          </w:p>
        </w:tc>
      </w:tr>
      <w:tr>
        <w:trPr>
          <w:trHeight w:val="250"/>
        </w:trPr>
        <w:tc>
          <w:tcPr>
            <w:tcW w:w="6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gridSpan w:val="3"/>
          </w:tcPr>
          <w:p>
            <w:pPr>
              <w:jc w:val="right"/>
              <w:ind w:right="623"/>
              <w:spacing w:after="0"/>
              <w:rPr>
                <w:sz w:val="20"/>
                <w:szCs w:val="20"/>
                <w:color w:val="auto"/>
              </w:rPr>
            </w:pPr>
            <w:r>
              <w:rPr>
                <w:rFonts w:ascii="Arial" w:cs="Arial" w:eastAsia="Arial" w:hAnsi="Arial"/>
                <w:sz w:val="10"/>
                <w:szCs w:val="10"/>
                <w:i w:val="1"/>
                <w:iCs w:val="1"/>
                <w:color w:val="auto"/>
              </w:rPr>
              <w:t>(in thousands)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184"/>
        </w:trPr>
        <w:tc>
          <w:tcPr>
            <w:tcW w:w="6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71"/>
        </w:trPr>
        <w:tc>
          <w:tcPr>
            <w:tcW w:w="6760" w:type="dxa"/>
            <w:vAlign w:val="bottom"/>
          </w:tcPr>
          <w:p>
            <w:pPr>
              <w:ind w:left="180"/>
              <w:spacing w:after="0"/>
              <w:rPr>
                <w:sz w:val="20"/>
                <w:szCs w:val="20"/>
                <w:color w:val="auto"/>
              </w:rPr>
            </w:pPr>
            <w:r>
              <w:rPr>
                <w:rFonts w:ascii="Arial" w:cs="Arial" w:eastAsia="Arial" w:hAnsi="Arial"/>
                <w:sz w:val="12"/>
                <w:szCs w:val="12"/>
                <w:color w:val="auto"/>
              </w:rPr>
              <w:t>Pawn service charges</w:t>
            </w: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177,480</w:t>
            </w:r>
          </w:p>
        </w:tc>
        <w:tc>
          <w:tcPr>
            <w:tcW w:w="120" w:type="dxa"/>
            <w:vAlign w:val="bottom"/>
          </w:tcPr>
          <w:p>
            <w:pPr>
              <w:spacing w:after="0"/>
              <w:rPr>
                <w:sz w:val="14"/>
                <w:szCs w:val="14"/>
                <w:color w:val="auto"/>
              </w:rPr>
            </w:pPr>
          </w:p>
        </w:tc>
        <w:tc>
          <w:tcPr>
            <w:tcW w:w="900" w:type="dxa"/>
            <w:vAlign w:val="bottom"/>
          </w:tcPr>
          <w:p>
            <w:pPr>
              <w:jc w:val="right"/>
              <w:ind w:right="763"/>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169,630</w:t>
            </w:r>
          </w:p>
        </w:tc>
        <w:tc>
          <w:tcPr>
            <w:tcW w:w="160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5%</w:t>
            </w:r>
          </w:p>
        </w:tc>
      </w:tr>
      <w:tr>
        <w:trPr>
          <w:trHeight w:val="225"/>
        </w:trPr>
        <w:tc>
          <w:tcPr>
            <w:tcW w:w="67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171"/>
        </w:trPr>
        <w:tc>
          <w:tcPr>
            <w:tcW w:w="6760" w:type="dxa"/>
            <w:vAlign w:val="bottom"/>
          </w:tcPr>
          <w:p>
            <w:pPr>
              <w:ind w:left="180"/>
              <w:spacing w:after="0"/>
              <w:rPr>
                <w:sz w:val="20"/>
                <w:szCs w:val="20"/>
                <w:color w:val="auto"/>
              </w:rPr>
            </w:pPr>
            <w:r>
              <w:rPr>
                <w:rFonts w:ascii="Arial" w:cs="Arial" w:eastAsia="Arial" w:hAnsi="Arial"/>
                <w:sz w:val="12"/>
                <w:szCs w:val="12"/>
                <w:color w:val="auto"/>
              </w:rPr>
              <w:t>Merchandise sales</w:t>
            </w:r>
          </w:p>
        </w:tc>
        <w:tc>
          <w:tcPr>
            <w:tcW w:w="90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273,125</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266,560</w:t>
            </w:r>
          </w:p>
        </w:tc>
        <w:tc>
          <w:tcPr>
            <w:tcW w:w="160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2%</w:t>
            </w:r>
          </w:p>
        </w:tc>
      </w:tr>
      <w:tr>
        <w:trPr>
          <w:trHeight w:val="189"/>
        </w:trPr>
        <w:tc>
          <w:tcPr>
            <w:tcW w:w="6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Merchandise sales gross profit</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99,890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102,272</w:t>
            </w:r>
          </w:p>
        </w:tc>
        <w:tc>
          <w:tcPr>
            <w:tcW w:w="16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4"/>
              </w:rPr>
              <w:t>(2)%</w:t>
            </w:r>
          </w:p>
        </w:tc>
      </w:tr>
      <w:tr>
        <w:trPr>
          <w:trHeight w:val="171"/>
        </w:trPr>
        <w:tc>
          <w:tcPr>
            <w:tcW w:w="6760" w:type="dxa"/>
            <w:vAlign w:val="bottom"/>
          </w:tcPr>
          <w:p>
            <w:pPr>
              <w:ind w:left="320"/>
              <w:spacing w:after="0"/>
              <w:rPr>
                <w:sz w:val="20"/>
                <w:szCs w:val="20"/>
                <w:color w:val="auto"/>
              </w:rPr>
            </w:pPr>
            <w:r>
              <w:rPr>
                <w:rFonts w:ascii="Arial" w:cs="Arial" w:eastAsia="Arial" w:hAnsi="Arial"/>
                <w:sz w:val="12"/>
                <w:szCs w:val="12"/>
                <w:color w:val="auto"/>
              </w:rPr>
              <w:t>Gross margin on merchandise sales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(100)bps</w:t>
            </w:r>
          </w:p>
        </w:tc>
      </w:tr>
      <w:tr>
        <w:trPr>
          <w:trHeight w:val="225"/>
        </w:trPr>
        <w:tc>
          <w:tcPr>
            <w:tcW w:w="67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171"/>
        </w:trPr>
        <w:tc>
          <w:tcPr>
            <w:tcW w:w="6760" w:type="dxa"/>
            <w:vAlign w:val="bottom"/>
          </w:tcPr>
          <w:p>
            <w:pPr>
              <w:ind w:left="180"/>
              <w:spacing w:after="0"/>
              <w:rPr>
                <w:sz w:val="20"/>
                <w:szCs w:val="20"/>
                <w:color w:val="auto"/>
              </w:rPr>
            </w:pPr>
            <w:r>
              <w:rPr>
                <w:rFonts w:ascii="Arial" w:cs="Arial" w:eastAsia="Arial" w:hAnsi="Arial"/>
                <w:sz w:val="12"/>
                <w:szCs w:val="12"/>
                <w:color w:val="auto"/>
              </w:rPr>
              <w:t>Jewelry scrapping sales</w:t>
            </w:r>
          </w:p>
        </w:tc>
        <w:tc>
          <w:tcPr>
            <w:tcW w:w="90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35,158</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32,117</w:t>
            </w:r>
          </w:p>
        </w:tc>
        <w:tc>
          <w:tcPr>
            <w:tcW w:w="160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9%</w:t>
            </w:r>
          </w:p>
        </w:tc>
      </w:tr>
      <w:tr>
        <w:trPr>
          <w:trHeight w:val="189"/>
        </w:trPr>
        <w:tc>
          <w:tcPr>
            <w:tcW w:w="6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Jewelry scrapping sales gross profit</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5,044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5,084</w:t>
            </w:r>
          </w:p>
        </w:tc>
        <w:tc>
          <w:tcPr>
            <w:tcW w:w="16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4"/>
              </w:rPr>
              <w:t>(1)%</w:t>
            </w:r>
          </w:p>
        </w:tc>
      </w:tr>
      <w:tr>
        <w:trPr>
          <w:trHeight w:val="171"/>
        </w:trPr>
        <w:tc>
          <w:tcPr>
            <w:tcW w:w="6760" w:type="dxa"/>
            <w:vAlign w:val="bottom"/>
          </w:tcPr>
          <w:p>
            <w:pPr>
              <w:ind w:left="320"/>
              <w:spacing w:after="0"/>
              <w:rPr>
                <w:sz w:val="20"/>
                <w:szCs w:val="20"/>
                <w:color w:val="auto"/>
              </w:rPr>
            </w:pPr>
            <w:r>
              <w:rPr>
                <w:rFonts w:ascii="Arial" w:cs="Arial" w:eastAsia="Arial" w:hAnsi="Arial"/>
                <w:sz w:val="12"/>
                <w:szCs w:val="12"/>
                <w:color w:val="auto"/>
              </w:rPr>
              <w:t>Gross margin on jewelry scrapping sales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(200)bps</w:t>
            </w:r>
          </w:p>
        </w:tc>
      </w:tr>
      <w:tr>
        <w:trPr>
          <w:trHeight w:val="225"/>
        </w:trPr>
        <w:tc>
          <w:tcPr>
            <w:tcW w:w="67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171"/>
        </w:trPr>
        <w:tc>
          <w:tcPr>
            <w:tcW w:w="6760" w:type="dxa"/>
            <w:vAlign w:val="bottom"/>
          </w:tcPr>
          <w:p>
            <w:pPr>
              <w:ind w:left="180"/>
              <w:spacing w:after="0"/>
              <w:rPr>
                <w:sz w:val="20"/>
                <w:szCs w:val="20"/>
                <w:color w:val="auto"/>
              </w:rPr>
            </w:pPr>
            <w:r>
              <w:rPr>
                <w:rFonts w:ascii="Arial" w:cs="Arial" w:eastAsia="Arial" w:hAnsi="Arial"/>
                <w:sz w:val="12"/>
                <w:szCs w:val="12"/>
                <w:color w:val="auto"/>
              </w:rPr>
              <w:t>Other revenues</w:t>
            </w:r>
          </w:p>
        </w:tc>
        <w:tc>
          <w:tcPr>
            <w:tcW w:w="90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157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281</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3"/>
              </w:rPr>
              <w:t>(44)%</w:t>
            </w:r>
          </w:p>
        </w:tc>
      </w:tr>
      <w:tr>
        <w:trPr>
          <w:trHeight w:val="189"/>
        </w:trPr>
        <w:tc>
          <w:tcPr>
            <w:tcW w:w="6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revenues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282,571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277,267</w:t>
            </w:r>
          </w:p>
        </w:tc>
        <w:tc>
          <w:tcPr>
            <w:tcW w:w="16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2%</w:t>
            </w:r>
          </w:p>
        </w:tc>
      </w:tr>
      <w:tr>
        <w:trPr>
          <w:trHeight w:val="216"/>
        </w:trPr>
        <w:tc>
          <w:tcPr>
            <w:tcW w:w="6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operating expenses:</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71"/>
        </w:trPr>
        <w:tc>
          <w:tcPr>
            <w:tcW w:w="6760" w:type="dxa"/>
            <w:vAlign w:val="bottom"/>
          </w:tcPr>
          <w:p>
            <w:pPr>
              <w:ind w:left="180"/>
              <w:spacing w:after="0"/>
              <w:rPr>
                <w:sz w:val="20"/>
                <w:szCs w:val="20"/>
                <w:color w:val="auto"/>
              </w:rPr>
            </w:pPr>
            <w:r>
              <w:rPr>
                <w:rFonts w:ascii="Arial" w:cs="Arial" w:eastAsia="Arial" w:hAnsi="Arial"/>
                <w:sz w:val="12"/>
                <w:szCs w:val="12"/>
                <w:color w:val="auto"/>
              </w:rPr>
              <w:t>Operations</w:t>
            </w:r>
          </w:p>
        </w:tc>
        <w:tc>
          <w:tcPr>
            <w:tcW w:w="90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194,499</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187,518</w:t>
            </w:r>
          </w:p>
        </w:tc>
        <w:tc>
          <w:tcPr>
            <w:tcW w:w="160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4%</w:t>
            </w:r>
          </w:p>
        </w:tc>
      </w:tr>
      <w:tr>
        <w:trPr>
          <w:trHeight w:val="189"/>
        </w:trPr>
        <w:tc>
          <w:tcPr>
            <w:tcW w:w="6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7,487</w:t>
            </w:r>
          </w:p>
        </w:tc>
        <w:tc>
          <w:tcPr>
            <w:tcW w:w="1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9,489</w:t>
            </w:r>
          </w:p>
        </w:tc>
        <w:tc>
          <w:tcPr>
            <w:tcW w:w="160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3"/>
              </w:rPr>
              <w:t>(21)%</w:t>
            </w:r>
          </w:p>
        </w:tc>
      </w:tr>
      <w:tr>
        <w:trPr>
          <w:trHeight w:val="160"/>
        </w:trPr>
        <w:tc>
          <w:tcPr>
            <w:tcW w:w="67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Segment operating contribution</w:t>
            </w:r>
          </w:p>
        </w:tc>
        <w:tc>
          <w:tcPr>
            <w:tcW w:w="9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80,585</w:t>
            </w: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80,260</w:t>
            </w:r>
          </w:p>
        </w:tc>
        <w:tc>
          <w:tcPr>
            <w:tcW w:w="12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6"/>
              </w:rPr>
              <w:t>—%</w:t>
            </w:r>
          </w:p>
        </w:tc>
      </w:tr>
      <w:tr>
        <w:trPr>
          <w:trHeight w:val="214"/>
        </w:trPr>
        <w:tc>
          <w:tcPr>
            <w:tcW w:w="6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71"/>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segment (income) expenses</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(68)</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1,607</w:t>
            </w:r>
          </w:p>
        </w:tc>
        <w:tc>
          <w:tcPr>
            <w:tcW w:w="160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rPr>
              <w:t>*</w:t>
            </w:r>
          </w:p>
        </w:tc>
      </w:tr>
      <w:tr>
        <w:trPr>
          <w:trHeight w:val="185"/>
        </w:trPr>
        <w:tc>
          <w:tcPr>
            <w:tcW w:w="6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Segment contribution</w:t>
            </w: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80,653</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78,653</w:t>
            </w:r>
          </w:p>
        </w:tc>
        <w:tc>
          <w:tcPr>
            <w:tcW w:w="1600" w:type="dxa"/>
            <w:vAlign w:val="bottom"/>
            <w:tcBorders>
              <w:bottom w:val="single" w:sz="8" w:color="CCEEFF"/>
            </w:tcBorders>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3%</w:t>
            </w:r>
          </w:p>
        </w:tc>
      </w:tr>
      <w:tr>
        <w:trPr>
          <w:trHeight w:val="216"/>
        </w:trPr>
        <w:tc>
          <w:tcPr>
            <w:tcW w:w="6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data:</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71"/>
        </w:trPr>
        <w:tc>
          <w:tcPr>
            <w:tcW w:w="6760" w:type="dxa"/>
            <w:vAlign w:val="bottom"/>
          </w:tcPr>
          <w:p>
            <w:pPr>
              <w:ind w:left="180"/>
              <w:spacing w:after="0"/>
              <w:rPr>
                <w:sz w:val="20"/>
                <w:szCs w:val="20"/>
                <w:color w:val="auto"/>
              </w:rPr>
            </w:pPr>
            <w:r>
              <w:rPr>
                <w:rFonts w:ascii="Arial" w:cs="Arial" w:eastAsia="Arial" w:hAnsi="Arial"/>
                <w:sz w:val="12"/>
                <w:szCs w:val="12"/>
                <w:color w:val="auto"/>
              </w:rPr>
              <w:t>Average monthly ending pawn loan balance per store (a)</w:t>
            </w: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274</w:t>
            </w:r>
          </w:p>
        </w:tc>
        <w:tc>
          <w:tcPr>
            <w:tcW w:w="120" w:type="dxa"/>
            <w:vAlign w:val="bottom"/>
          </w:tcPr>
          <w:p>
            <w:pPr>
              <w:spacing w:after="0"/>
              <w:rPr>
                <w:sz w:val="14"/>
                <w:szCs w:val="14"/>
                <w:color w:val="auto"/>
              </w:rPr>
            </w:pPr>
          </w:p>
        </w:tc>
        <w:tc>
          <w:tcPr>
            <w:tcW w:w="900" w:type="dxa"/>
            <w:vAlign w:val="bottom"/>
          </w:tcPr>
          <w:p>
            <w:pPr>
              <w:jc w:val="right"/>
              <w:ind w:right="763"/>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264</w:t>
            </w:r>
          </w:p>
        </w:tc>
        <w:tc>
          <w:tcPr>
            <w:tcW w:w="160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4%</w:t>
            </w:r>
          </w:p>
        </w:tc>
      </w:tr>
      <w:tr>
        <w:trPr>
          <w:trHeight w:val="189"/>
        </w:trPr>
        <w:tc>
          <w:tcPr>
            <w:tcW w:w="6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Monthly average yield on pawn loans outstanding</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62"/>
        </w:trPr>
        <w:tc>
          <w:tcPr>
            <w:tcW w:w="6760" w:type="dxa"/>
            <w:vAlign w:val="bottom"/>
          </w:tcPr>
          <w:p>
            <w:pPr>
              <w:ind w:left="180"/>
              <w:spacing w:after="0"/>
              <w:rPr>
                <w:sz w:val="20"/>
                <w:szCs w:val="20"/>
                <w:color w:val="auto"/>
              </w:rPr>
            </w:pPr>
            <w:r>
              <w:rPr>
                <w:rFonts w:ascii="Arial" w:cs="Arial" w:eastAsia="Arial" w:hAnsi="Arial"/>
                <w:sz w:val="12"/>
                <w:szCs w:val="12"/>
                <w:color w:val="auto"/>
              </w:rPr>
              <w:t>Pawn loan redemption rate (b)</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114" w:lineRule="exact"/>
        <w:rPr>
          <w:sz w:val="20"/>
          <w:szCs w:val="20"/>
          <w:color w:val="auto"/>
        </w:rPr>
      </w:pPr>
    </w:p>
    <w:p>
      <w:pPr>
        <w:ind w:left="360" w:hanging="350"/>
        <w:spacing w:after="0"/>
        <w:tabs>
          <w:tab w:leader="none" w:pos="36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an increase or decrease that is not meaningful.</w:t>
      </w:r>
    </w:p>
    <w:p>
      <w:pPr>
        <w:spacing w:after="0" w:line="20" w:lineRule="exact"/>
        <w:rPr>
          <w:sz w:val="20"/>
          <w:szCs w:val="20"/>
          <w:color w:val="auto"/>
        </w:rPr>
      </w:pPr>
    </w:p>
    <w:p>
      <w:pPr>
        <w:ind w:left="360" w:hanging="350"/>
        <w:spacing w:after="0"/>
        <w:tabs>
          <w:tab w:leader="none" w:pos="360" w:val="left"/>
        </w:tabs>
        <w:numPr>
          <w:ilvl w:val="0"/>
          <w:numId w:val="23"/>
        </w:numPr>
        <w:rPr>
          <w:rFonts w:ascii="Arial" w:cs="Arial" w:eastAsia="Arial" w:hAnsi="Arial"/>
          <w:sz w:val="10"/>
          <w:szCs w:val="10"/>
          <w:color w:val="auto"/>
        </w:rPr>
      </w:pPr>
      <w:r>
        <w:rPr>
          <w:rFonts w:ascii="Arial" w:cs="Arial" w:eastAsia="Arial" w:hAnsi="Arial"/>
          <w:sz w:val="10"/>
          <w:szCs w:val="10"/>
          <w:color w:val="auto"/>
        </w:rPr>
        <w:t>Balance is calculated based upon the average of the monthly ending balance averages during the applicable period.</w:t>
      </w:r>
    </w:p>
    <w:p>
      <w:pPr>
        <w:spacing w:after="0" w:line="20" w:lineRule="exact"/>
        <w:rPr>
          <w:rFonts w:ascii="Arial" w:cs="Arial" w:eastAsia="Arial" w:hAnsi="Arial"/>
          <w:sz w:val="10"/>
          <w:szCs w:val="10"/>
          <w:color w:val="auto"/>
        </w:rPr>
      </w:pPr>
    </w:p>
    <w:p>
      <w:pPr>
        <w:ind w:left="360" w:hanging="350"/>
        <w:spacing w:after="0"/>
        <w:tabs>
          <w:tab w:leader="none" w:pos="360" w:val="left"/>
        </w:tabs>
        <w:numPr>
          <w:ilvl w:val="0"/>
          <w:numId w:val="23"/>
        </w:numPr>
        <w:rPr>
          <w:rFonts w:ascii="Arial" w:cs="Arial" w:eastAsia="Arial" w:hAnsi="Arial"/>
          <w:sz w:val="10"/>
          <w:szCs w:val="10"/>
          <w:color w:val="auto"/>
        </w:rPr>
      </w:pPr>
      <w:r>
        <w:rPr>
          <w:rFonts w:ascii="Arial" w:cs="Arial" w:eastAsia="Arial" w:hAnsi="Arial"/>
          <w:sz w:val="10"/>
          <w:szCs w:val="10"/>
          <w:color w:val="auto"/>
        </w:rPr>
        <w:t>Our pawn loan redemption rate represents the percentage of loans made that are repaid, renewed or extended at a point in time as opposed to the life of the loan.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60"/>
          </w:cols>
          <w:pgMar w:left="220" w:top="128" w:right="219" w:bottom="1440" w:gutter="0" w:footer="0" w:header="0"/>
        </w:sectPr>
      </w:pPr>
    </w:p>
    <w:bookmarkStart w:id="37" w:name="page38"/>
    <w:bookmarkEnd w:id="3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Net revenue increased $5.3 million, or 2%. The increase in net revenue attributable to same stores and new stores added since the prior-year nine-months is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44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5"/>
              </w:rPr>
              <w:t>Change in Net Revenue</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69"/>
        </w:trPr>
        <w:tc>
          <w:tcPr>
            <w:tcW w:w="644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Pawn Service Charges</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86"/>
              </w:rPr>
              <w:t>Merchandise Sales Gross Profit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Total</w:t>
            </w:r>
          </w:p>
        </w:tc>
      </w:tr>
      <w:tr>
        <w:trPr>
          <w:trHeight w:val="250"/>
        </w:trPr>
        <w:tc>
          <w:tcPr>
            <w:tcW w:w="6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0"/>
                <w:szCs w:val="10"/>
                <w:i w:val="1"/>
                <w:iCs w:val="1"/>
                <w:color w:val="auto"/>
                <w:w w:val="94"/>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84"/>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Same stores</w:t>
            </w:r>
          </w:p>
        </w:tc>
        <w:tc>
          <w:tcPr>
            <w:tcW w:w="1300" w:type="dxa"/>
            <w:vAlign w:val="bottom"/>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5.2</w:t>
            </w:r>
          </w:p>
        </w:tc>
      </w:tr>
      <w:tr>
        <w:trPr>
          <w:trHeight w:val="171"/>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New stores and other</w:t>
            </w:r>
          </w:p>
        </w:tc>
        <w:tc>
          <w:tcPr>
            <w:tcW w:w="1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color w:val="auto"/>
              </w:rPr>
              <w:t>(0.2)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0.3</w:t>
            </w:r>
          </w:p>
        </w:tc>
      </w:tr>
      <w:tr>
        <w:trPr>
          <w:trHeight w:val="185"/>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1300" w:type="dxa"/>
            <w:vAlign w:val="bottom"/>
            <w:tcBorders>
              <w:bottom w:val="single" w:sz="8" w:color="auto"/>
            </w:tcBorders>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5.5</w:t>
            </w:r>
          </w:p>
        </w:tc>
      </w:tr>
      <w:tr>
        <w:trPr>
          <w:trHeight w:val="171"/>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Change in jewelry scrapping sales gross profit and other revenues</w:t>
            </w:r>
          </w:p>
        </w:tc>
        <w:tc>
          <w:tcPr>
            <w:tcW w:w="1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(0.2)</w:t>
            </w:r>
          </w:p>
        </w:tc>
      </w:tr>
      <w:tr>
        <w:trPr>
          <w:trHeight w:val="185"/>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change in net revenue</w:t>
            </w:r>
          </w:p>
        </w:tc>
        <w:tc>
          <w:tcPr>
            <w:tcW w:w="13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5.3</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0"/>
          <w:szCs w:val="10"/>
          <w:color w:val="auto"/>
        </w:rPr>
        <w:t>Pawn service charges increased 5% primarily due to an increase in average pawn loan balances outstanding during the current nine-months, driven by continued intense focus on market leadership in meeting our customers' desire for cash.</w:t>
      </w:r>
    </w:p>
    <w:p>
      <w:pPr>
        <w:spacing w:after="0" w:line="137"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Merchandise sales increased 2% with gross margin on merchandise sales of 37%, consistent with recent prior periods and within our target range of 35-38%, but 100bps lower than the prior-year nine-months. As a result, merchandise sales gross profit decreased 2% to $99.9 million.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Jewelry scrapping sales gross profit remained flat at 2% of current nine-months net revenues, in-line with our strategy to sell rather than scrap merchandise. Jewelry margins were relatively stable.</w:t>
      </w:r>
    </w:p>
    <w:p>
      <w:pPr>
        <w:spacing w:after="0" w:line="114"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We maintained a consistent level of total segment expenses at 42% of revenues. In dollar terms, segment expenses increased by $3.3 million, in line with our increase in net revenue. This increase was primarily due to $5.1 million higher labor costs with investment in greater field leadership and customer-facing team members in addition to higher employee benefit costs, partially offset by a $2.0 million decrease in depreciation and amortization from a lower depreciable asset base. Restructuring activities have been substantially completed, resulting in a further $1.0 million offsetting reduction.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128" w:right="199" w:bottom="1440" w:gutter="0" w:footer="0" w:header="0"/>
        </w:sectPr>
      </w:pPr>
    </w:p>
    <w:bookmarkStart w:id="38" w:name="page39"/>
    <w:bookmarkEnd w:id="3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Mexico Pawn</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presents selected summary financial data from continuing operations for the Mexico Pawn segment, including constant currency results, after translation to U.S. dollars from its functional currency of the Mexican peso.</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See “Results of Operations — Non-GAAP Financial Information” above.</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Nine Months Ended June 30,</w:t>
            </w:r>
          </w:p>
        </w:tc>
        <w:tc>
          <w:tcPr>
            <w:tcW w:w="1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2017 (GAAP)</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2016 (GAAP)</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Change (GAAP)</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w w:val="87"/>
              </w:rPr>
              <w:t>2017 (Constant Currency)</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Change (Constant Currency)</w:t>
            </w:r>
          </w:p>
        </w:tc>
        <w:tc>
          <w:tcPr>
            <w:tcW w:w="0" w:type="dxa"/>
            <w:vAlign w:val="bottom"/>
          </w:tcPr>
          <w:p>
            <w:pPr>
              <w:spacing w:after="0"/>
              <w:rPr>
                <w:sz w:val="1"/>
                <w:szCs w:val="1"/>
                <w:color w:val="auto"/>
              </w:rPr>
            </w:pPr>
          </w:p>
        </w:tc>
      </w:tr>
      <w:tr>
        <w:trPr>
          <w:trHeight w:val="201"/>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4"/>
            <w:vMerge w:val="restart"/>
          </w:tcPr>
          <w:p>
            <w:pPr>
              <w:jc w:val="right"/>
              <w:ind w:right="781"/>
              <w:spacing w:after="0"/>
              <w:rPr>
                <w:sz w:val="20"/>
                <w:szCs w:val="20"/>
                <w:color w:val="auto"/>
              </w:rPr>
            </w:pPr>
            <w:r>
              <w:rPr>
                <w:rFonts w:ascii="Arial" w:cs="Arial" w:eastAsia="Arial" w:hAnsi="Arial"/>
                <w:sz w:val="10"/>
                <w:szCs w:val="10"/>
                <w:i w:val="1"/>
                <w:iCs w:val="1"/>
                <w:color w:val="auto"/>
              </w:rPr>
              <w:t>(in USD thousands)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81"/>
              <w:spacing w:after="0"/>
              <w:rPr>
                <w:sz w:val="20"/>
                <w:szCs w:val="20"/>
                <w:color w:val="auto"/>
              </w:rPr>
            </w:pPr>
            <w:r>
              <w:rPr>
                <w:rFonts w:ascii="Arial" w:cs="Arial" w:eastAsia="Arial" w:hAnsi="Arial"/>
                <w:sz w:val="10"/>
                <w:szCs w:val="10"/>
                <w:i w:val="1"/>
                <w:iCs w:val="1"/>
                <w:color w:val="auto"/>
              </w:rPr>
              <w:t>(in USD thousands)</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4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4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Pawn service charges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24,503</w:t>
            </w:r>
          </w:p>
        </w:tc>
        <w:tc>
          <w:tcPr>
            <w:tcW w:w="120" w:type="dxa"/>
            <w:vAlign w:val="bottom"/>
          </w:tcPr>
          <w:p>
            <w:pPr>
              <w:spacing w:after="0"/>
              <w:rPr>
                <w:sz w:val="14"/>
                <w:szCs w:val="14"/>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23,567</w:t>
            </w:r>
          </w:p>
        </w:tc>
        <w:tc>
          <w:tcPr>
            <w:tcW w:w="1360" w:type="dxa"/>
            <w:vAlign w:val="bottom"/>
            <w:gridSpan w:val="2"/>
          </w:tcPr>
          <w:p>
            <w:pPr>
              <w:jc w:val="center"/>
              <w:ind w:left="20"/>
              <w:spacing w:after="0"/>
              <w:rPr>
                <w:sz w:val="20"/>
                <w:szCs w:val="20"/>
                <w:color w:val="auto"/>
              </w:rPr>
            </w:pPr>
            <w:r>
              <w:rPr>
                <w:rFonts w:ascii="Arial" w:cs="Arial" w:eastAsia="Arial" w:hAnsi="Arial"/>
                <w:sz w:val="12"/>
                <w:szCs w:val="12"/>
                <w:color w:val="auto"/>
                <w:w w:val="91"/>
              </w:rPr>
              <w:t>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27,167</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15%</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Merchandise sales</w:t>
            </w:r>
          </w:p>
        </w:tc>
        <w:tc>
          <w:tcPr>
            <w:tcW w:w="18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46,547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45,376</w:t>
            </w:r>
          </w:p>
        </w:tc>
        <w:tc>
          <w:tcPr>
            <w:tcW w:w="1360" w:type="dxa"/>
            <w:vAlign w:val="bottom"/>
            <w:gridSpan w:val="2"/>
          </w:tcPr>
          <w:p>
            <w:pPr>
              <w:jc w:val="center"/>
              <w:ind w:left="20"/>
              <w:spacing w:after="0"/>
              <w:rPr>
                <w:sz w:val="20"/>
                <w:szCs w:val="20"/>
                <w:color w:val="auto"/>
              </w:rPr>
            </w:pPr>
            <w:r>
              <w:rPr>
                <w:rFonts w:ascii="Arial" w:cs="Arial" w:eastAsia="Arial" w:hAnsi="Arial"/>
                <w:sz w:val="12"/>
                <w:szCs w:val="12"/>
                <w:color w:val="auto"/>
                <w:w w:val="91"/>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52,007</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15%</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Merchandise sales gross profit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14,942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14,934</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6"/>
              </w:rPr>
              <w:t>—%</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16,653</w:t>
            </w:r>
          </w:p>
        </w:tc>
        <w:tc>
          <w:tcPr>
            <w:tcW w:w="160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12%</w:t>
            </w:r>
          </w:p>
        </w:tc>
        <w:tc>
          <w:tcPr>
            <w:tcW w:w="0" w:type="dxa"/>
            <w:vAlign w:val="bottom"/>
          </w:tcPr>
          <w:p>
            <w:pPr>
              <w:spacing w:after="0"/>
              <w:rPr>
                <w:sz w:val="1"/>
                <w:szCs w:val="1"/>
                <w:color w:val="auto"/>
              </w:rPr>
            </w:pPr>
          </w:p>
        </w:tc>
      </w:tr>
      <w:tr>
        <w:trPr>
          <w:trHeight w:val="171"/>
        </w:trPr>
        <w:tc>
          <w:tcPr>
            <w:tcW w:w="4700" w:type="dxa"/>
            <w:vAlign w:val="bottom"/>
          </w:tcPr>
          <w:p>
            <w:pPr>
              <w:ind w:left="320"/>
              <w:spacing w:after="0"/>
              <w:rPr>
                <w:sz w:val="20"/>
                <w:szCs w:val="20"/>
                <w:color w:val="auto"/>
              </w:rPr>
            </w:pPr>
            <w:r>
              <w:rPr>
                <w:rFonts w:ascii="Arial" w:cs="Arial" w:eastAsia="Arial" w:hAnsi="Arial"/>
                <w:sz w:val="12"/>
                <w:szCs w:val="12"/>
                <w:color w:val="auto"/>
              </w:rPr>
              <w:t>Gross margin on merchandise sales</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(100)bps</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(100)bps</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Jewelry scrapping sales</w:t>
            </w:r>
          </w:p>
        </w:tc>
        <w:tc>
          <w:tcPr>
            <w:tcW w:w="18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2,500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1,493</w:t>
            </w:r>
          </w:p>
        </w:tc>
        <w:tc>
          <w:tcPr>
            <w:tcW w:w="136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2,825</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89%</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Jewelry scrapping sales gross profit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419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271</w:t>
            </w:r>
          </w:p>
        </w:tc>
        <w:tc>
          <w:tcPr>
            <w:tcW w:w="136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55%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474</w:t>
            </w:r>
          </w:p>
        </w:tc>
        <w:tc>
          <w:tcPr>
            <w:tcW w:w="160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75%</w:t>
            </w:r>
          </w:p>
        </w:tc>
        <w:tc>
          <w:tcPr>
            <w:tcW w:w="0" w:type="dxa"/>
            <w:vAlign w:val="bottom"/>
          </w:tcPr>
          <w:p>
            <w:pPr>
              <w:spacing w:after="0"/>
              <w:rPr>
                <w:sz w:val="1"/>
                <w:szCs w:val="1"/>
                <w:color w:val="auto"/>
              </w:rPr>
            </w:pPr>
          </w:p>
        </w:tc>
      </w:tr>
      <w:tr>
        <w:trPr>
          <w:trHeight w:val="171"/>
        </w:trPr>
        <w:tc>
          <w:tcPr>
            <w:tcW w:w="4700" w:type="dxa"/>
            <w:vAlign w:val="bottom"/>
          </w:tcPr>
          <w:p>
            <w:pPr>
              <w:ind w:left="320"/>
              <w:spacing w:after="0"/>
              <w:rPr>
                <w:sz w:val="20"/>
                <w:szCs w:val="20"/>
                <w:color w:val="auto"/>
              </w:rPr>
            </w:pPr>
            <w:r>
              <w:rPr>
                <w:rFonts w:ascii="Arial" w:cs="Arial" w:eastAsia="Arial" w:hAnsi="Arial"/>
                <w:sz w:val="12"/>
                <w:szCs w:val="12"/>
                <w:color w:val="auto"/>
              </w:rPr>
              <w:t>Gross margin on jewelry scrapping sales</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(100)bps</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88"/>
              </w:rPr>
              <w:t>(100)bps</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Other revenues</w:t>
            </w:r>
          </w:p>
        </w:tc>
        <w:tc>
          <w:tcPr>
            <w:tcW w:w="18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457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231</w:t>
            </w:r>
          </w:p>
        </w:tc>
        <w:tc>
          <w:tcPr>
            <w:tcW w:w="136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504</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revenues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40,321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39,003</w:t>
            </w:r>
          </w:p>
        </w:tc>
        <w:tc>
          <w:tcPr>
            <w:tcW w:w="136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44,798</w:t>
            </w:r>
          </w:p>
        </w:tc>
        <w:tc>
          <w:tcPr>
            <w:tcW w:w="160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15%</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operating expenses:</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Operations</w:t>
            </w:r>
          </w:p>
        </w:tc>
        <w:tc>
          <w:tcPr>
            <w:tcW w:w="18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26,439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28,961</w:t>
            </w:r>
          </w:p>
        </w:tc>
        <w:tc>
          <w:tcPr>
            <w:tcW w:w="1360" w:type="dxa"/>
            <w:vAlign w:val="bottom"/>
            <w:gridSpan w:val="2"/>
          </w:tcPr>
          <w:p>
            <w:pPr>
              <w:jc w:val="center"/>
              <w:ind w:left="20"/>
              <w:spacing w:after="0"/>
              <w:rPr>
                <w:sz w:val="20"/>
                <w:szCs w:val="20"/>
                <w:color w:val="auto"/>
              </w:rPr>
            </w:pPr>
            <w:r>
              <w:rPr>
                <w:rFonts w:ascii="Arial" w:cs="Arial" w:eastAsia="Arial" w:hAnsi="Arial"/>
                <w:sz w:val="12"/>
                <w:szCs w:val="12"/>
                <w:color w:val="auto"/>
                <w:w w:val="94"/>
              </w:rPr>
              <w:t>(9)%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29,451</w:t>
            </w:r>
          </w:p>
        </w:tc>
        <w:tc>
          <w:tcPr>
            <w:tcW w:w="160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2%</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1,910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2,285</w:t>
            </w:r>
          </w:p>
        </w:tc>
        <w:tc>
          <w:tcPr>
            <w:tcW w:w="136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3"/>
              </w:rPr>
              <w:t>(16)%</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2,131</w:t>
            </w:r>
          </w:p>
        </w:tc>
        <w:tc>
          <w:tcPr>
            <w:tcW w:w="16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4"/>
              </w:rPr>
              <w:t>(7)%</w:t>
            </w:r>
          </w:p>
        </w:tc>
        <w:tc>
          <w:tcPr>
            <w:tcW w:w="0" w:type="dxa"/>
            <w:vAlign w:val="bottom"/>
          </w:tcPr>
          <w:p>
            <w:pPr>
              <w:spacing w:after="0"/>
              <w:rPr>
                <w:sz w:val="1"/>
                <w:szCs w:val="1"/>
                <w:color w:val="auto"/>
              </w:rPr>
            </w:pPr>
          </w:p>
        </w:tc>
      </w:tr>
      <w:tr>
        <w:trPr>
          <w:trHeight w:val="160"/>
        </w:trPr>
        <w:tc>
          <w:tcPr>
            <w:tcW w:w="470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Segment operating contribution</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11,972</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7,757</w:t>
            </w:r>
          </w:p>
        </w:tc>
        <w:tc>
          <w:tcPr>
            <w:tcW w:w="136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91"/>
              </w:rPr>
              <w:t>54%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13,216</w:t>
            </w:r>
          </w:p>
        </w:tc>
        <w:tc>
          <w:tcPr>
            <w:tcW w:w="160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91"/>
              </w:rPr>
              <w:t>70%</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segment (income) expenses (a)</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(878)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1,547</w:t>
            </w:r>
          </w:p>
        </w:tc>
        <w:tc>
          <w:tcPr>
            <w:tcW w:w="136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(872)</w:t>
            </w:r>
          </w:p>
        </w:tc>
        <w:tc>
          <w:tcPr>
            <w:tcW w:w="160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Segment contribution</w:t>
            </w: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12,850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6,210</w:t>
            </w:r>
          </w:p>
        </w:tc>
        <w:tc>
          <w:tcPr>
            <w:tcW w:w="136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91"/>
              </w:rPr>
              <w:t>107%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14,088</w:t>
            </w:r>
          </w:p>
        </w:tc>
        <w:tc>
          <w:tcPr>
            <w:tcW w:w="1600" w:type="dxa"/>
            <w:vAlign w:val="bottom"/>
            <w:tcBorders>
              <w:bottom w:val="single" w:sz="8" w:color="CCEEFF"/>
            </w:tcBorders>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127%</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data:</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80"/>
              <w:spacing w:after="0"/>
              <w:rPr>
                <w:sz w:val="20"/>
                <w:szCs w:val="20"/>
                <w:color w:val="auto"/>
              </w:rPr>
            </w:pPr>
            <w:r>
              <w:rPr>
                <w:rFonts w:ascii="Arial" w:cs="Arial" w:eastAsia="Arial" w:hAnsi="Arial"/>
                <w:sz w:val="12"/>
                <w:szCs w:val="12"/>
                <w:color w:val="auto"/>
              </w:rPr>
              <w:t>Average monthly ending pawn loan balance per store (b)</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14"/>
                <w:szCs w:val="14"/>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69</w:t>
            </w:r>
          </w:p>
        </w:tc>
        <w:tc>
          <w:tcPr>
            <w:tcW w:w="1360" w:type="dxa"/>
            <w:vAlign w:val="bottom"/>
            <w:gridSpan w:val="2"/>
          </w:tcPr>
          <w:p>
            <w:pPr>
              <w:jc w:val="center"/>
              <w:ind w:left="20"/>
              <w:spacing w:after="0"/>
              <w:rPr>
                <w:sz w:val="20"/>
                <w:szCs w:val="20"/>
                <w:color w:val="auto"/>
              </w:rPr>
            </w:pPr>
            <w:r>
              <w:rPr>
                <w:rFonts w:ascii="Arial" w:cs="Arial" w:eastAsia="Arial" w:hAnsi="Arial"/>
                <w:sz w:val="12"/>
                <w:szCs w:val="12"/>
                <w:color w:val="auto"/>
                <w:w w:val="91"/>
              </w:rPr>
              <w:t>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78</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13%</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Monthly average yield on pawn loans outstanding</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62"/>
        </w:trPr>
        <w:tc>
          <w:tcPr>
            <w:tcW w:w="4700" w:type="dxa"/>
            <w:vAlign w:val="bottom"/>
          </w:tcPr>
          <w:p>
            <w:pPr>
              <w:ind w:left="180"/>
              <w:spacing w:after="0"/>
              <w:rPr>
                <w:sz w:val="20"/>
                <w:szCs w:val="20"/>
                <w:color w:val="auto"/>
              </w:rPr>
            </w:pPr>
            <w:r>
              <w:rPr>
                <w:rFonts w:ascii="Arial" w:cs="Arial" w:eastAsia="Arial" w:hAnsi="Arial"/>
                <w:sz w:val="12"/>
                <w:szCs w:val="12"/>
                <w:color w:val="auto"/>
              </w:rPr>
              <w:t>Pawn loan redemption rate (c)</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60" w:hanging="350"/>
        <w:spacing w:after="0"/>
        <w:tabs>
          <w:tab w:leader="none" w:pos="360" w:val="left"/>
        </w:tabs>
        <w:numPr>
          <w:ilvl w:val="0"/>
          <w:numId w:val="24"/>
        </w:numPr>
        <w:rPr>
          <w:rFonts w:ascii="Arial" w:cs="Arial" w:eastAsia="Arial" w:hAnsi="Arial"/>
          <w:sz w:val="10"/>
          <w:szCs w:val="10"/>
          <w:color w:val="auto"/>
        </w:rPr>
      </w:pPr>
      <w:r>
        <w:rPr>
          <w:rFonts w:ascii="Arial" w:cs="Arial" w:eastAsia="Arial" w:hAnsi="Arial"/>
          <w:sz w:val="10"/>
          <w:szCs w:val="10"/>
          <w:color w:val="auto"/>
        </w:rPr>
        <w:t>Represents an increase or decrease that is not meaningful.</w:t>
      </w:r>
    </w:p>
    <w:p>
      <w:pPr>
        <w:spacing w:after="0" w:line="20" w:lineRule="exact"/>
        <w:rPr>
          <w:sz w:val="20"/>
          <w:szCs w:val="20"/>
          <w:color w:val="auto"/>
        </w:rPr>
      </w:pPr>
    </w:p>
    <w:p>
      <w:pPr>
        <w:ind w:left="360" w:right="100" w:hanging="350"/>
        <w:spacing w:after="0" w:line="230" w:lineRule="auto"/>
        <w:tabs>
          <w:tab w:leader="none" w:pos="3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The nine months ended June 30, 2017 constant currency balance excludes $0.1 million net foreign currency transaction gains resulting from movement in exchange rates. The nine months ended June 30, 2016 includes $0.8 million net foreign currency transaction losses that are included in the above results.</w:t>
      </w:r>
    </w:p>
    <w:p>
      <w:pPr>
        <w:spacing w:after="0" w:line="13" w:lineRule="exact"/>
        <w:rPr>
          <w:rFonts w:ascii="Arial" w:cs="Arial" w:eastAsia="Arial" w:hAnsi="Arial"/>
          <w:sz w:val="10"/>
          <w:szCs w:val="10"/>
          <w:color w:val="auto"/>
        </w:rPr>
      </w:pPr>
    </w:p>
    <w:p>
      <w:pPr>
        <w:ind w:left="360" w:hanging="350"/>
        <w:spacing w:after="0"/>
        <w:tabs>
          <w:tab w:leader="none" w:pos="3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Balance is calculated based upon the average of the monthly ending balance averages during the applicable period.</w:t>
      </w:r>
    </w:p>
    <w:p>
      <w:pPr>
        <w:spacing w:after="0" w:line="20" w:lineRule="exact"/>
        <w:rPr>
          <w:rFonts w:ascii="Arial" w:cs="Arial" w:eastAsia="Arial" w:hAnsi="Arial"/>
          <w:sz w:val="10"/>
          <w:szCs w:val="10"/>
          <w:color w:val="auto"/>
        </w:rPr>
      </w:pPr>
    </w:p>
    <w:p>
      <w:pPr>
        <w:ind w:left="360" w:hanging="350"/>
        <w:spacing w:after="0"/>
        <w:tabs>
          <w:tab w:leader="none" w:pos="3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Our pawn loan redemption rate represents the percentage of loans made that are repaid, renewed or extended at a point in time as opposed to the life of the loan.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60"/>
          </w:cols>
          <w:pgMar w:left="220" w:top="128" w:right="219" w:bottom="1440" w:gutter="0" w:footer="0" w:header="0"/>
        </w:sectPr>
      </w:pPr>
    </w:p>
    <w:bookmarkStart w:id="39" w:name="page40"/>
    <w:bookmarkEnd w:id="3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Net revenue increased $1.3 million, or 3% (up $5.8 million, or 15%, on a constant currency basis). The increase in net revenue attributable to same stores and new stores added since the prior-year nine-months is summarized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44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5"/>
              </w:rPr>
              <w:t>Change in Net Revenue</w:t>
            </w: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69"/>
        </w:trPr>
        <w:tc>
          <w:tcPr>
            <w:tcW w:w="644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Pawn Service Charges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65"/>
              <w:spacing w:after="0"/>
              <w:rPr>
                <w:sz w:val="20"/>
                <w:szCs w:val="20"/>
                <w:color w:val="auto"/>
              </w:rPr>
            </w:pPr>
            <w:r>
              <w:rPr>
                <w:rFonts w:ascii="Arial" w:cs="Arial" w:eastAsia="Arial" w:hAnsi="Arial"/>
                <w:sz w:val="10"/>
                <w:szCs w:val="10"/>
                <w:b w:val="1"/>
                <w:bCs w:val="1"/>
                <w:color w:val="auto"/>
                <w:w w:val="86"/>
              </w:rPr>
              <w:t>Merchandise Sales Gross Profit</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Total</w:t>
            </w:r>
          </w:p>
        </w:tc>
      </w:tr>
      <w:tr>
        <w:trPr>
          <w:trHeight w:val="250"/>
        </w:trPr>
        <w:tc>
          <w:tcPr>
            <w:tcW w:w="6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0"/>
                <w:szCs w:val="10"/>
                <w:i w:val="1"/>
                <w:iCs w:val="1"/>
                <w:color w:val="auto"/>
                <w:w w:val="94"/>
              </w:rPr>
              <w:t>(in millions)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84"/>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Same stores</w:t>
            </w:r>
          </w:p>
        </w:tc>
        <w:tc>
          <w:tcPr>
            <w:tcW w:w="1300" w:type="dxa"/>
            <w:vAlign w:val="bottom"/>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25"/>
              <w:spacing w:after="0"/>
              <w:rPr>
                <w:sz w:val="20"/>
                <w:szCs w:val="20"/>
                <w:color w:val="auto"/>
              </w:rPr>
            </w:pPr>
            <w:r>
              <w:rPr>
                <w:rFonts w:ascii="Arial" w:cs="Arial" w:eastAsia="Arial" w:hAnsi="Arial"/>
                <w:sz w:val="12"/>
                <w:szCs w:val="12"/>
                <w:color w:val="auto"/>
              </w:rPr>
              <w:t>(0.1)</w:t>
            </w: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0.5</w:t>
            </w:r>
          </w:p>
        </w:tc>
      </w:tr>
      <w:tr>
        <w:trPr>
          <w:trHeight w:val="171"/>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New stores and other</w:t>
            </w: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0.4</w:t>
            </w:r>
          </w:p>
        </w:tc>
      </w:tr>
      <w:tr>
        <w:trPr>
          <w:trHeight w:val="185"/>
        </w:trPr>
        <w:tc>
          <w:tcPr>
            <w:tcW w:w="64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1300" w:type="dxa"/>
            <w:vAlign w:val="bottom"/>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0.9</w:t>
            </w:r>
          </w:p>
        </w:tc>
      </w:tr>
      <w:tr>
        <w:trPr>
          <w:trHeight w:val="171"/>
        </w:trPr>
        <w:tc>
          <w:tcPr>
            <w:tcW w:w="644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2"/>
                <w:szCs w:val="12"/>
                <w:color w:val="auto"/>
              </w:rPr>
              <w:t>Change in jewelry scrapping sales gross profit and other revenues</w:t>
            </w:r>
          </w:p>
        </w:tc>
        <w:tc>
          <w:tcPr>
            <w:tcW w:w="13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0.4</w:t>
            </w:r>
          </w:p>
        </w:tc>
      </w:tr>
      <w:tr>
        <w:trPr>
          <w:trHeight w:val="176"/>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change in net revenue</w:t>
            </w:r>
          </w:p>
        </w:tc>
        <w:tc>
          <w:tcPr>
            <w:tcW w:w="1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r>
      <w:tr>
        <w:trPr>
          <w:trHeight w:val="20"/>
        </w:trPr>
        <w:tc>
          <w:tcPr>
            <w:tcW w:w="6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55"/>
        </w:trPr>
        <w:tc>
          <w:tcPr>
            <w:tcW w:w="644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87"/>
              </w:rPr>
              <w:t>Change in Net Revenue (Constant Currency)</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169"/>
        </w:trPr>
        <w:tc>
          <w:tcPr>
            <w:tcW w:w="644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Pawn Service Charges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65"/>
              <w:spacing w:after="0"/>
              <w:rPr>
                <w:sz w:val="20"/>
                <w:szCs w:val="20"/>
                <w:color w:val="auto"/>
              </w:rPr>
            </w:pPr>
            <w:r>
              <w:rPr>
                <w:rFonts w:ascii="Arial" w:cs="Arial" w:eastAsia="Arial" w:hAnsi="Arial"/>
                <w:sz w:val="10"/>
                <w:szCs w:val="10"/>
                <w:b w:val="1"/>
                <w:bCs w:val="1"/>
                <w:color w:val="auto"/>
                <w:w w:val="86"/>
              </w:rPr>
              <w:t>Merchandise Sales Gross Profit</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Total</w:t>
            </w:r>
          </w:p>
        </w:tc>
      </w:tr>
      <w:tr>
        <w:trPr>
          <w:trHeight w:val="250"/>
        </w:trPr>
        <w:tc>
          <w:tcPr>
            <w:tcW w:w="6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0"/>
                <w:szCs w:val="10"/>
                <w:i w:val="1"/>
                <w:iCs w:val="1"/>
                <w:color w:val="auto"/>
                <w:w w:val="94"/>
              </w:rPr>
              <w:t>(in millions)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84"/>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Same stores</w:t>
            </w:r>
          </w:p>
        </w:tc>
        <w:tc>
          <w:tcPr>
            <w:tcW w:w="1300" w:type="dxa"/>
            <w:vAlign w:val="bottom"/>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1.5</w:t>
            </w: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4.6</w:t>
            </w:r>
          </w:p>
        </w:tc>
      </w:tr>
      <w:tr>
        <w:trPr>
          <w:trHeight w:val="171"/>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New stores and other</w:t>
            </w: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0.7</w:t>
            </w:r>
          </w:p>
        </w:tc>
      </w:tr>
      <w:tr>
        <w:trPr>
          <w:trHeight w:val="185"/>
        </w:trPr>
        <w:tc>
          <w:tcPr>
            <w:tcW w:w="64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1300" w:type="dxa"/>
            <w:vAlign w:val="bottom"/>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1.7</w:t>
            </w: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5.3</w:t>
            </w:r>
          </w:p>
        </w:tc>
      </w:tr>
      <w:tr>
        <w:trPr>
          <w:trHeight w:val="171"/>
        </w:trPr>
        <w:tc>
          <w:tcPr>
            <w:tcW w:w="644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2"/>
                <w:szCs w:val="12"/>
                <w:color w:val="auto"/>
              </w:rPr>
              <w:t>Change in jewelry scrapping sales gross profit and other revenues</w:t>
            </w:r>
          </w:p>
        </w:tc>
        <w:tc>
          <w:tcPr>
            <w:tcW w:w="13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0.5</w:t>
            </w:r>
          </w:p>
        </w:tc>
      </w:tr>
      <w:tr>
        <w:trPr>
          <w:trHeight w:val="185"/>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change in net revenue</w:t>
            </w:r>
          </w:p>
        </w:tc>
        <w:tc>
          <w:tcPr>
            <w:tcW w:w="13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5.8</w:t>
            </w:r>
          </w:p>
        </w:tc>
      </w:tr>
    </w:tbl>
    <w:p>
      <w:pPr>
        <w:spacing w:after="0" w:line="99"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Pawn service charges were up 4% (up 15% on a constant currency basis) primarily as a result of same store growth, offset by foreign currency impacts. We increased our average pawn loan balances outstanding during the quarter, driven by continued intense focus on market leadership in meeting our customers' desire for cash, offset by foreign currency impacts.</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Merchandise sales were up 3% (up 15% on a constant currency basis), with gross margin on merchandise sales of 32%, consistent with recent prior quarters, but 100bps lower than the prior-year nine-months. As a result of the combination of these effects, offset by foreign currency impacts, merchandise sales gross profit was flat at $14.9 million (up 12% to $16.7 million on a constant currency basis).</w:t>
      </w:r>
    </w:p>
    <w:p>
      <w:pPr>
        <w:spacing w:after="0" w:line="79"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We leveraged a 3% increase in net revenue (15% increase on a constant currency basis) into a 54% increase in segment operating contribution (70% increase on a constant currency basis) due to focused expense management. After a $2.4 million improvement in other segment income, primarily interest income and foreign currency impacts, segment contribution increased 107% (127% increase on a constant currency basis).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Segment expenses decreased by $5.3 million ($2.1 million decrease on a constant currency basis) primarily due to:</w:t>
      </w:r>
    </w:p>
    <w:p>
      <w:pPr>
        <w:spacing w:after="0" w:line="114" w:lineRule="exact"/>
        <w:rPr>
          <w:sz w:val="20"/>
          <w:szCs w:val="20"/>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 $1.4 million decrease ($0.2 million decrease on a constant currency basis) in labor costs as a result of foreign currency impacts;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 $0.9 million increase in interest income as a result of our notes receivable from the sale of Grupo Finmart, including ordinary accruals of interest in addition to accretion of associated discounts;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 $0.5 million decrease in restructuring charges as we have substantially completed all prior restructuring actions;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 $0.9 million decrease in foreign currency transaction losses; partially offset by</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$0.5 million in losses, net of insurance recoveries, on a GAAP basis associated with looting of 12 stores during our second fiscal quarter.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128" w:right="199" w:bottom="1440" w:gutter="0" w:footer="0" w:header="0"/>
        </w:sectPr>
      </w:pPr>
    </w:p>
    <w:bookmarkStart w:id="40" w:name="page41"/>
    <w:bookmarkEnd w:id="4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International</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presents selected financial data from continuing operations for the Other International segment after translation to U.S. dollars from its reporting units' functional currency of primarily Canadian and Australian dollars: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69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ind w:right="424"/>
              <w:spacing w:after="0"/>
              <w:rPr>
                <w:sz w:val="20"/>
                <w:szCs w:val="20"/>
                <w:color w:val="auto"/>
              </w:rPr>
            </w:pPr>
            <w:r>
              <w:rPr>
                <w:rFonts w:ascii="Arial" w:cs="Arial" w:eastAsia="Arial" w:hAnsi="Arial"/>
                <w:sz w:val="10"/>
                <w:szCs w:val="10"/>
                <w:b w:val="1"/>
                <w:bCs w:val="1"/>
                <w:color w:val="auto"/>
                <w:w w:val="89"/>
              </w:rPr>
              <w:t>Nine Months Ended June 30,</w:t>
            </w: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9"/>
        </w:trPr>
        <w:tc>
          <w:tcPr>
            <w:tcW w:w="6980" w:type="dxa"/>
            <w:vAlign w:val="bottom"/>
          </w:tcPr>
          <w:p>
            <w:pPr>
              <w:spacing w:after="0"/>
              <w:rPr>
                <w:sz w:val="14"/>
                <w:szCs w:val="14"/>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2017</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2016</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Percentage Change</w:t>
            </w:r>
          </w:p>
        </w:tc>
      </w:tr>
      <w:tr>
        <w:trPr>
          <w:trHeight w:val="250"/>
        </w:trPr>
        <w:tc>
          <w:tcPr>
            <w:tcW w:w="6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20" w:type="dxa"/>
            <w:vAlign w:val="bottom"/>
            <w:gridSpan w:val="3"/>
          </w:tcPr>
          <w:p>
            <w:pPr>
              <w:jc w:val="right"/>
              <w:ind w:right="744"/>
              <w:spacing w:after="0"/>
              <w:rPr>
                <w:sz w:val="20"/>
                <w:szCs w:val="20"/>
                <w:color w:val="auto"/>
              </w:rPr>
            </w:pPr>
            <w:r>
              <w:rPr>
                <w:rFonts w:ascii="Arial" w:cs="Arial" w:eastAsia="Arial" w:hAnsi="Arial"/>
                <w:sz w:val="10"/>
                <w:szCs w:val="10"/>
                <w:i w:val="1"/>
                <w:iCs w:val="1"/>
                <w:color w:val="auto"/>
              </w:rPr>
              <w:t>(in thousands)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84"/>
        </w:trPr>
        <w:tc>
          <w:tcPr>
            <w:tcW w:w="6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1"/>
        </w:trPr>
        <w:tc>
          <w:tcPr>
            <w:tcW w:w="6980" w:type="dxa"/>
            <w:vAlign w:val="bottom"/>
          </w:tcPr>
          <w:p>
            <w:pPr>
              <w:ind w:left="180"/>
              <w:spacing w:after="0"/>
              <w:rPr>
                <w:sz w:val="20"/>
                <w:szCs w:val="20"/>
                <w:color w:val="auto"/>
              </w:rPr>
            </w:pPr>
            <w:r>
              <w:rPr>
                <w:rFonts w:ascii="Arial" w:cs="Arial" w:eastAsia="Arial" w:hAnsi="Arial"/>
                <w:sz w:val="12"/>
                <w:szCs w:val="12"/>
                <w:color w:val="auto"/>
              </w:rPr>
              <w:t>Consumer loan fees and interest</w:t>
            </w:r>
          </w:p>
        </w:tc>
        <w:tc>
          <w:tcPr>
            <w:tcW w:w="960" w:type="dxa"/>
            <w:vAlign w:val="bottom"/>
          </w:tcPr>
          <w:p>
            <w:pPr>
              <w:jc w:val="right"/>
              <w:ind w:right="824"/>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5,958</w:t>
            </w:r>
          </w:p>
        </w:tc>
        <w:tc>
          <w:tcPr>
            <w:tcW w:w="100" w:type="dxa"/>
            <w:vAlign w:val="bottom"/>
          </w:tcPr>
          <w:p>
            <w:pPr>
              <w:spacing w:after="0"/>
              <w:rPr>
                <w:sz w:val="14"/>
                <w:szCs w:val="14"/>
                <w:color w:val="auto"/>
              </w:rPr>
            </w:pPr>
          </w:p>
        </w:tc>
        <w:tc>
          <w:tcPr>
            <w:tcW w:w="960" w:type="dxa"/>
            <w:vAlign w:val="bottom"/>
          </w:tcPr>
          <w:p>
            <w:pPr>
              <w:jc w:val="right"/>
              <w:ind w:right="82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6,639</w:t>
            </w:r>
          </w:p>
        </w:tc>
        <w:tc>
          <w:tcPr>
            <w:tcW w:w="1260" w:type="dxa"/>
            <w:vAlign w:val="bottom"/>
            <w:gridSpan w:val="2"/>
          </w:tcPr>
          <w:p>
            <w:pPr>
              <w:jc w:val="center"/>
              <w:ind w:left="60"/>
              <w:spacing w:after="0"/>
              <w:rPr>
                <w:sz w:val="20"/>
                <w:szCs w:val="20"/>
                <w:color w:val="auto"/>
              </w:rPr>
            </w:pPr>
            <w:r>
              <w:rPr>
                <w:rFonts w:ascii="Arial" w:cs="Arial" w:eastAsia="Arial" w:hAnsi="Arial"/>
                <w:sz w:val="12"/>
                <w:szCs w:val="12"/>
                <w:color w:val="auto"/>
                <w:w w:val="93"/>
              </w:rPr>
              <w:t>(10)%</w:t>
            </w:r>
          </w:p>
        </w:tc>
      </w:tr>
      <w:tr>
        <w:trPr>
          <w:trHeight w:val="189"/>
        </w:trPr>
        <w:tc>
          <w:tcPr>
            <w:tcW w:w="69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Consumer loan bad debt</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(1,433)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(1,549)</w:t>
            </w:r>
          </w:p>
        </w:tc>
        <w:tc>
          <w:tcPr>
            <w:tcW w:w="126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4"/>
              </w:rPr>
              <w:t>(7)%</w:t>
            </w:r>
          </w:p>
        </w:tc>
      </w:tr>
      <w:tr>
        <w:trPr>
          <w:trHeight w:val="171"/>
        </w:trPr>
        <w:tc>
          <w:tcPr>
            <w:tcW w:w="6980" w:type="dxa"/>
            <w:vAlign w:val="bottom"/>
          </w:tcPr>
          <w:p>
            <w:pPr>
              <w:ind w:left="180"/>
              <w:spacing w:after="0"/>
              <w:rPr>
                <w:sz w:val="20"/>
                <w:szCs w:val="20"/>
                <w:color w:val="auto"/>
              </w:rPr>
            </w:pPr>
            <w:r>
              <w:rPr>
                <w:rFonts w:ascii="Arial" w:cs="Arial" w:eastAsia="Arial" w:hAnsi="Arial"/>
                <w:sz w:val="12"/>
                <w:szCs w:val="12"/>
                <w:color w:val="auto"/>
              </w:rPr>
              <w:t>Other revenues, net</w:t>
            </w:r>
          </w:p>
        </w:tc>
        <w:tc>
          <w:tcPr>
            <w:tcW w:w="9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9</w:t>
            </w:r>
          </w:p>
        </w:tc>
        <w:tc>
          <w:tcPr>
            <w:tcW w:w="1260" w:type="dxa"/>
            <w:vAlign w:val="bottom"/>
            <w:gridSpan w:val="2"/>
          </w:tcPr>
          <w:p>
            <w:pPr>
              <w:jc w:val="center"/>
              <w:ind w:left="40"/>
              <w:spacing w:after="0"/>
              <w:rPr>
                <w:sz w:val="20"/>
                <w:szCs w:val="20"/>
                <w:color w:val="auto"/>
              </w:rPr>
            </w:pPr>
            <w:r>
              <w:rPr>
                <w:rFonts w:ascii="Arial" w:cs="Arial" w:eastAsia="Arial" w:hAnsi="Arial"/>
                <w:sz w:val="12"/>
                <w:szCs w:val="12"/>
                <w:color w:val="auto"/>
                <w:w w:val="92"/>
              </w:rPr>
              <w:t>(100)%</w:t>
            </w:r>
          </w:p>
        </w:tc>
      </w:tr>
      <w:tr>
        <w:trPr>
          <w:trHeight w:val="178"/>
        </w:trPr>
        <w:tc>
          <w:tcPr>
            <w:tcW w:w="6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Net revenues</w:t>
            </w:r>
          </w:p>
        </w:tc>
        <w:tc>
          <w:tcPr>
            <w:tcW w:w="9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4,525</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5,099</w:t>
            </w:r>
          </w:p>
        </w:tc>
        <w:tc>
          <w:tcPr>
            <w:tcW w:w="1260" w:type="dxa"/>
            <w:vAlign w:val="bottom"/>
            <w:tcBorders>
              <w:top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7"/>
              </w:rPr>
              <w:t>(11)%</w:t>
            </w:r>
          </w:p>
        </w:tc>
      </w:tr>
      <w:tr>
        <w:trPr>
          <w:trHeight w:val="216"/>
        </w:trPr>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0"/>
        </w:trPr>
        <w:tc>
          <w:tcPr>
            <w:tcW w:w="6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operating expenses (income):</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6980" w:type="dxa"/>
            <w:vAlign w:val="bottom"/>
          </w:tcPr>
          <w:p>
            <w:pPr>
              <w:ind w:left="180"/>
              <w:spacing w:after="0"/>
              <w:rPr>
                <w:sz w:val="20"/>
                <w:szCs w:val="20"/>
                <w:color w:val="auto"/>
              </w:rPr>
            </w:pPr>
            <w:r>
              <w:rPr>
                <w:rFonts w:ascii="Arial" w:cs="Arial" w:eastAsia="Arial" w:hAnsi="Arial"/>
                <w:sz w:val="12"/>
                <w:szCs w:val="12"/>
                <w:color w:val="auto"/>
              </w:rPr>
              <w:t>Operating expenses</w:t>
            </w:r>
          </w:p>
        </w:tc>
        <w:tc>
          <w:tcPr>
            <w:tcW w:w="960" w:type="dxa"/>
            <w:vAlign w:val="bottom"/>
          </w:tcPr>
          <w:p>
            <w:pPr>
              <w:spacing w:after="0"/>
              <w:rPr>
                <w:sz w:val="14"/>
                <w:szCs w:val="14"/>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5,558</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5,130</w:t>
            </w:r>
          </w:p>
        </w:tc>
        <w:tc>
          <w:tcPr>
            <w:tcW w:w="126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8%</w:t>
            </w:r>
          </w:p>
        </w:tc>
      </w:tr>
      <w:tr>
        <w:trPr>
          <w:trHeight w:val="189"/>
        </w:trPr>
        <w:tc>
          <w:tcPr>
            <w:tcW w:w="69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Equity in net income of unconsolidated affiliate</w:t>
            </w:r>
          </w:p>
        </w:tc>
        <w:tc>
          <w:tcPr>
            <w:tcW w:w="9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(3,768)</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(5,626)</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3"/>
              </w:rPr>
              <w:t>(33)%</w:t>
            </w:r>
          </w:p>
        </w:tc>
      </w:tr>
      <w:tr>
        <w:trPr>
          <w:trHeight w:val="160"/>
        </w:trPr>
        <w:tc>
          <w:tcPr>
            <w:tcW w:w="6980" w:type="dxa"/>
            <w:vAlign w:val="bottom"/>
          </w:tcPr>
          <w:p>
            <w:pPr>
              <w:ind w:left="320"/>
              <w:spacing w:after="0"/>
              <w:rPr>
                <w:sz w:val="20"/>
                <w:szCs w:val="20"/>
                <w:color w:val="auto"/>
              </w:rPr>
            </w:pPr>
            <w:r>
              <w:rPr>
                <w:rFonts w:ascii="Arial" w:cs="Arial" w:eastAsia="Arial" w:hAnsi="Arial"/>
                <w:sz w:val="12"/>
                <w:szCs w:val="12"/>
                <w:color w:val="auto"/>
              </w:rPr>
              <w:t>Segment operating contribution</w:t>
            </w:r>
          </w:p>
        </w:tc>
        <w:tc>
          <w:tcPr>
            <w:tcW w:w="960" w:type="dxa"/>
            <w:vAlign w:val="bottom"/>
          </w:tcPr>
          <w:p>
            <w:pPr>
              <w:spacing w:after="0"/>
              <w:rPr>
                <w:sz w:val="13"/>
                <w:szCs w:val="13"/>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2,735</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5,595</w:t>
            </w:r>
          </w:p>
        </w:tc>
        <w:tc>
          <w:tcPr>
            <w:tcW w:w="1260" w:type="dxa"/>
            <w:vAlign w:val="bottom"/>
            <w:gridSpan w:val="2"/>
          </w:tcPr>
          <w:p>
            <w:pPr>
              <w:jc w:val="center"/>
              <w:ind w:left="60"/>
              <w:spacing w:after="0"/>
              <w:rPr>
                <w:sz w:val="20"/>
                <w:szCs w:val="20"/>
                <w:color w:val="auto"/>
              </w:rPr>
            </w:pPr>
            <w:r>
              <w:rPr>
                <w:rFonts w:ascii="Arial" w:cs="Arial" w:eastAsia="Arial" w:hAnsi="Arial"/>
                <w:sz w:val="12"/>
                <w:szCs w:val="12"/>
                <w:color w:val="auto"/>
                <w:w w:val="93"/>
              </w:rPr>
              <w:t>(51)%</w:t>
            </w:r>
          </w:p>
        </w:tc>
      </w:tr>
      <w:tr>
        <w:trPr>
          <w:trHeight w:val="225"/>
        </w:trPr>
        <w:tc>
          <w:tcPr>
            <w:tcW w:w="6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71"/>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segment (income) expenses</w:t>
            </w: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(28)</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205</w:t>
            </w:r>
          </w:p>
        </w:tc>
        <w:tc>
          <w:tcPr>
            <w:tcW w:w="1260" w:type="dxa"/>
            <w:vAlign w:val="bottom"/>
            <w:tcBorders>
              <w:bottom w:val="single" w:sz="8" w:color="CCEEFF"/>
            </w:tcBorders>
            <w:gridSpan w:val="2"/>
          </w:tcPr>
          <w:p>
            <w:pPr>
              <w:jc w:val="center"/>
              <w:ind w:left="60"/>
              <w:spacing w:after="0"/>
              <w:rPr>
                <w:sz w:val="20"/>
                <w:szCs w:val="20"/>
                <w:color w:val="auto"/>
              </w:rPr>
            </w:pPr>
            <w:r>
              <w:rPr>
                <w:rFonts w:ascii="Arial" w:cs="Arial" w:eastAsia="Arial" w:hAnsi="Arial"/>
                <w:sz w:val="12"/>
                <w:szCs w:val="12"/>
                <w:color w:val="auto"/>
              </w:rPr>
              <w:t>*</w:t>
            </w:r>
          </w:p>
        </w:tc>
      </w:tr>
      <w:tr>
        <w:trPr>
          <w:trHeight w:val="185"/>
        </w:trPr>
        <w:tc>
          <w:tcPr>
            <w:tcW w:w="6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Segment contribution</w:t>
            </w:r>
          </w:p>
        </w:tc>
        <w:tc>
          <w:tcPr>
            <w:tcW w:w="96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2,763</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5,390</w:t>
            </w:r>
          </w:p>
        </w:tc>
        <w:tc>
          <w:tcPr>
            <w:tcW w:w="1260" w:type="dxa"/>
            <w:vAlign w:val="bottom"/>
            <w:tcBorders>
              <w:bottom w:val="single" w:sz="8" w:color="CCEEFF"/>
            </w:tcBorders>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3"/>
              </w:rPr>
              <w:t>(49)%</w:t>
            </w:r>
          </w:p>
        </w:tc>
      </w:tr>
    </w:tbl>
    <w:p>
      <w:pPr>
        <w:spacing w:after="0" w:line="96" w:lineRule="exact"/>
        <w:rPr>
          <w:sz w:val="20"/>
          <w:szCs w:val="20"/>
          <w:color w:val="auto"/>
        </w:rPr>
      </w:pPr>
    </w:p>
    <w:p>
      <w:pPr>
        <w:ind w:left="240" w:hanging="230"/>
        <w:spacing w:after="0"/>
        <w:tabs>
          <w:tab w:leader="none" w:pos="240" w:val="left"/>
        </w:tabs>
        <w:numPr>
          <w:ilvl w:val="0"/>
          <w:numId w:val="27"/>
        </w:numPr>
        <w:rPr>
          <w:rFonts w:ascii="Arial" w:cs="Arial" w:eastAsia="Arial" w:hAnsi="Arial"/>
          <w:sz w:val="10"/>
          <w:szCs w:val="10"/>
          <w:color w:val="auto"/>
        </w:rPr>
      </w:pPr>
      <w:r>
        <w:rPr>
          <w:rFonts w:ascii="Arial" w:cs="Arial" w:eastAsia="Arial" w:hAnsi="Arial"/>
          <w:sz w:val="10"/>
          <w:szCs w:val="10"/>
          <w:color w:val="auto"/>
        </w:rPr>
        <w:t>Represents an increase or decrease that is not meaningful.</w:t>
      </w:r>
    </w:p>
    <w:p>
      <w:pPr>
        <w:spacing w:after="0" w:line="114"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Segment contribution decreased $2.6 million or 49%, primarily due to a $1.9 million decrease in earnings from Cash Converters International in addition to a $1.1 million increase in operating expenses due to continued investment in the development of a digital IT platform that enables greater intimacy with our customers that will drive future revenue enhancement.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60"/>
          </w:cols>
          <w:pgMar w:left="220" w:top="128" w:right="219" w:bottom="1440" w:gutter="0" w:footer="0" w:header="0"/>
        </w:sectPr>
      </w:pPr>
    </w:p>
    <w:bookmarkStart w:id="41" w:name="page42"/>
    <w:bookmarkEnd w:id="4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Items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reconciles our consolidated segment contribution discussed above to net income (loss) attributable to EZCORP, Inc., including items that affect our consolidated financial results but are not allocated among segments: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73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0"/>
                <w:szCs w:val="10"/>
                <w:b w:val="1"/>
                <w:bCs w:val="1"/>
                <w:color w:val="auto"/>
                <w:w w:val="88"/>
              </w:rPr>
              <w:t>Nine Months Ended June 30,</w:t>
            </w: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9"/>
        </w:trPr>
        <w:tc>
          <w:tcPr>
            <w:tcW w:w="73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2016</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Percentage Change</w:t>
            </w:r>
          </w:p>
        </w:tc>
      </w:tr>
      <w:tr>
        <w:trPr>
          <w:trHeight w:val="250"/>
        </w:trPr>
        <w:tc>
          <w:tcPr>
            <w:tcW w:w="7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20" w:type="dxa"/>
            <w:vAlign w:val="bottom"/>
            <w:gridSpan w:val="3"/>
          </w:tcPr>
          <w:p>
            <w:pPr>
              <w:jc w:val="right"/>
              <w:ind w:right="564"/>
              <w:spacing w:after="0"/>
              <w:rPr>
                <w:sz w:val="20"/>
                <w:szCs w:val="20"/>
                <w:color w:val="auto"/>
              </w:rPr>
            </w:pPr>
            <w:r>
              <w:rPr>
                <w:rFonts w:ascii="Arial" w:cs="Arial" w:eastAsia="Arial" w:hAnsi="Arial"/>
                <w:sz w:val="10"/>
                <w:szCs w:val="10"/>
                <w:i w:val="1"/>
                <w:iCs w:val="1"/>
                <w:color w:val="auto"/>
              </w:rPr>
              <w:t>(in thousands)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84"/>
        </w:trPr>
        <w:tc>
          <w:tcPr>
            <w:tcW w:w="7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contribution</w:t>
            </w:r>
          </w:p>
        </w:tc>
        <w:tc>
          <w:tcPr>
            <w:tcW w:w="820" w:type="dxa"/>
            <w:vAlign w:val="bottom"/>
            <w:shd w:val="clear" w:color="auto" w:fill="CCEEFF"/>
          </w:tcPr>
          <w:p>
            <w:pPr>
              <w:jc w:val="right"/>
              <w:ind w:right="68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96,266</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90,253</w:t>
            </w:r>
          </w:p>
        </w:tc>
        <w:tc>
          <w:tcPr>
            <w:tcW w:w="126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7%</w:t>
            </w:r>
          </w:p>
        </w:tc>
      </w:tr>
      <w:tr>
        <w:trPr>
          <w:trHeight w:val="171"/>
        </w:trPr>
        <w:tc>
          <w:tcPr>
            <w:tcW w:w="7320" w:type="dxa"/>
            <w:vAlign w:val="bottom"/>
          </w:tcPr>
          <w:p>
            <w:pPr>
              <w:ind w:left="180"/>
              <w:spacing w:after="0"/>
              <w:rPr>
                <w:sz w:val="20"/>
                <w:szCs w:val="20"/>
                <w:color w:val="auto"/>
              </w:rPr>
            </w:pPr>
            <w:r>
              <w:rPr>
                <w:rFonts w:ascii="Arial" w:cs="Arial" w:eastAsia="Arial" w:hAnsi="Arial"/>
                <w:sz w:val="12"/>
                <w:szCs w:val="12"/>
                <w:color w:val="auto"/>
              </w:rPr>
              <w:t>Corporate expenses (income):</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9"/>
        </w:trPr>
        <w:tc>
          <w:tcPr>
            <w:tcW w:w="73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Administrative</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41,305</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50,085</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3"/>
              </w:rPr>
              <w:t>(18)%</w:t>
            </w:r>
          </w:p>
        </w:tc>
      </w:tr>
      <w:tr>
        <w:trPr>
          <w:trHeight w:val="171"/>
        </w:trPr>
        <w:tc>
          <w:tcPr>
            <w:tcW w:w="7320" w:type="dxa"/>
            <w:vAlign w:val="bottom"/>
          </w:tcPr>
          <w:p>
            <w:pPr>
              <w:ind w:left="320"/>
              <w:spacing w:after="0"/>
              <w:rPr>
                <w:sz w:val="20"/>
                <w:szCs w:val="20"/>
                <w:color w:val="auto"/>
              </w:rPr>
            </w:pPr>
            <w:r>
              <w:rPr>
                <w:rFonts w:ascii="Arial" w:cs="Arial" w:eastAsia="Arial" w:hAnsi="Arial"/>
                <w:sz w:val="12"/>
                <w:szCs w:val="12"/>
                <w:color w:val="auto"/>
              </w:rPr>
              <w:t>Depreciation and amortization</w:t>
            </w:r>
          </w:p>
        </w:tc>
        <w:tc>
          <w:tcPr>
            <w:tcW w:w="820" w:type="dxa"/>
            <w:vAlign w:val="bottom"/>
          </w:tcPr>
          <w:p>
            <w:pPr>
              <w:spacing w:after="0"/>
              <w:rPr>
                <w:sz w:val="14"/>
                <w:szCs w:val="14"/>
                <w:color w:val="auto"/>
              </w:rPr>
            </w:pPr>
          </w:p>
        </w:tc>
        <w:tc>
          <w:tcPr>
            <w:tcW w:w="560" w:type="dxa"/>
            <w:vAlign w:val="bottom"/>
          </w:tcPr>
          <w:p>
            <w:pPr>
              <w:jc w:val="right"/>
              <w:ind w:right="61"/>
              <w:spacing w:after="0"/>
              <w:rPr>
                <w:sz w:val="20"/>
                <w:szCs w:val="20"/>
                <w:color w:val="auto"/>
              </w:rPr>
            </w:pPr>
            <w:r>
              <w:rPr>
                <w:rFonts w:ascii="Arial" w:cs="Arial" w:eastAsia="Arial" w:hAnsi="Arial"/>
                <w:sz w:val="12"/>
                <w:szCs w:val="12"/>
                <w:color w:val="auto"/>
              </w:rPr>
              <w:t>8,705</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8,485</w:t>
            </w:r>
          </w:p>
        </w:tc>
        <w:tc>
          <w:tcPr>
            <w:tcW w:w="126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3%</w:t>
            </w:r>
          </w:p>
        </w:tc>
      </w:tr>
      <w:tr>
        <w:trPr>
          <w:trHeight w:val="189"/>
        </w:trPr>
        <w:tc>
          <w:tcPr>
            <w:tcW w:w="73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Loss on sale or disposal of assets</w:t>
            </w:r>
          </w:p>
        </w:tc>
        <w:tc>
          <w:tcPr>
            <w:tcW w:w="8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w:t>
            </w:r>
          </w:p>
        </w:tc>
        <w:tc>
          <w:tcPr>
            <w:tcW w:w="126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2"/>
              </w:rPr>
              <w:t>(100)%</w:t>
            </w:r>
          </w:p>
        </w:tc>
      </w:tr>
      <w:tr>
        <w:trPr>
          <w:trHeight w:val="171"/>
        </w:trPr>
        <w:tc>
          <w:tcPr>
            <w:tcW w:w="7320" w:type="dxa"/>
            <w:vAlign w:val="bottom"/>
          </w:tcPr>
          <w:p>
            <w:pPr>
              <w:ind w:left="320"/>
              <w:spacing w:after="0"/>
              <w:rPr>
                <w:sz w:val="20"/>
                <w:szCs w:val="20"/>
                <w:color w:val="auto"/>
              </w:rPr>
            </w:pPr>
            <w:r>
              <w:rPr>
                <w:rFonts w:ascii="Arial" w:cs="Arial" w:eastAsia="Arial" w:hAnsi="Arial"/>
                <w:sz w:val="12"/>
                <w:szCs w:val="12"/>
                <w:color w:val="auto"/>
              </w:rPr>
              <w:t>Restructuring</w:t>
            </w:r>
          </w:p>
        </w:tc>
        <w:tc>
          <w:tcPr>
            <w:tcW w:w="8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183</w:t>
            </w:r>
          </w:p>
        </w:tc>
        <w:tc>
          <w:tcPr>
            <w:tcW w:w="1260" w:type="dxa"/>
            <w:vAlign w:val="bottom"/>
            <w:gridSpan w:val="2"/>
          </w:tcPr>
          <w:p>
            <w:pPr>
              <w:jc w:val="center"/>
              <w:ind w:left="40"/>
              <w:spacing w:after="0"/>
              <w:rPr>
                <w:sz w:val="20"/>
                <w:szCs w:val="20"/>
                <w:color w:val="auto"/>
              </w:rPr>
            </w:pPr>
            <w:r>
              <w:rPr>
                <w:rFonts w:ascii="Arial" w:cs="Arial" w:eastAsia="Arial" w:hAnsi="Arial"/>
                <w:sz w:val="12"/>
                <w:szCs w:val="12"/>
                <w:color w:val="auto"/>
                <w:w w:val="92"/>
              </w:rPr>
              <w:t>(100)%</w:t>
            </w:r>
          </w:p>
        </w:tc>
      </w:tr>
      <w:tr>
        <w:trPr>
          <w:trHeight w:val="189"/>
        </w:trPr>
        <w:tc>
          <w:tcPr>
            <w:tcW w:w="73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Interest expense</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16,840</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11,786</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43%</w:t>
            </w:r>
          </w:p>
        </w:tc>
      </w:tr>
      <w:tr>
        <w:trPr>
          <w:trHeight w:val="171"/>
        </w:trPr>
        <w:tc>
          <w:tcPr>
            <w:tcW w:w="7320" w:type="dxa"/>
            <w:vAlign w:val="bottom"/>
          </w:tcPr>
          <w:p>
            <w:pPr>
              <w:ind w:left="320"/>
              <w:spacing w:after="0"/>
              <w:rPr>
                <w:sz w:val="20"/>
                <w:szCs w:val="20"/>
                <w:color w:val="auto"/>
              </w:rPr>
            </w:pPr>
            <w:r>
              <w:rPr>
                <w:rFonts w:ascii="Arial" w:cs="Arial" w:eastAsia="Arial" w:hAnsi="Arial"/>
                <w:sz w:val="12"/>
                <w:szCs w:val="12"/>
                <w:color w:val="auto"/>
              </w:rPr>
              <w:t>Interest income</w:t>
            </w:r>
          </w:p>
        </w:tc>
        <w:tc>
          <w:tcPr>
            <w:tcW w:w="820" w:type="dxa"/>
            <w:vAlign w:val="bottom"/>
          </w:tcPr>
          <w:p>
            <w:pPr>
              <w:spacing w:after="0"/>
              <w:rPr>
                <w:sz w:val="14"/>
                <w:szCs w:val="14"/>
                <w:color w:val="auto"/>
              </w:rPr>
            </w:pPr>
          </w:p>
        </w:tc>
        <w:tc>
          <w:tcPr>
            <w:tcW w:w="560" w:type="dxa"/>
            <w:vAlign w:val="bottom"/>
          </w:tcPr>
          <w:p>
            <w:pPr>
              <w:jc w:val="right"/>
              <w:ind w:right="21"/>
              <w:spacing w:after="0"/>
              <w:rPr>
                <w:sz w:val="20"/>
                <w:szCs w:val="20"/>
                <w:color w:val="auto"/>
              </w:rPr>
            </w:pPr>
            <w:r>
              <w:rPr>
                <w:rFonts w:ascii="Arial" w:cs="Arial" w:eastAsia="Arial" w:hAnsi="Arial"/>
                <w:sz w:val="12"/>
                <w:szCs w:val="12"/>
                <w:color w:val="auto"/>
              </w:rPr>
              <w:t>(6,020)</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(41)</w:t>
            </w:r>
          </w:p>
        </w:tc>
        <w:tc>
          <w:tcPr>
            <w:tcW w:w="1260" w:type="dxa"/>
            <w:vAlign w:val="bottom"/>
            <w:gridSpan w:val="2"/>
          </w:tcPr>
          <w:p>
            <w:pPr>
              <w:jc w:val="center"/>
              <w:ind w:left="40"/>
              <w:spacing w:after="0"/>
              <w:rPr>
                <w:sz w:val="20"/>
                <w:szCs w:val="20"/>
                <w:color w:val="auto"/>
              </w:rPr>
            </w:pPr>
            <w:r>
              <w:rPr>
                <w:rFonts w:ascii="Arial" w:cs="Arial" w:eastAsia="Arial" w:hAnsi="Arial"/>
                <w:sz w:val="12"/>
                <w:szCs w:val="12"/>
                <w:color w:val="auto"/>
                <w:w w:val="92"/>
              </w:rPr>
              <w:t>(100)%</w:t>
            </w:r>
          </w:p>
        </w:tc>
      </w:tr>
      <w:tr>
        <w:trPr>
          <w:trHeight w:val="189"/>
        </w:trPr>
        <w:tc>
          <w:tcPr>
            <w:tcW w:w="73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 (income) expense</w:t>
            </w:r>
          </w:p>
        </w:tc>
        <w:tc>
          <w:tcPr>
            <w:tcW w:w="8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(191)</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rPr>
              <w:t>*</w:t>
            </w:r>
          </w:p>
        </w:tc>
      </w:tr>
      <w:tr>
        <w:trPr>
          <w:trHeight w:val="160"/>
        </w:trPr>
        <w:tc>
          <w:tcPr>
            <w:tcW w:w="7320" w:type="dxa"/>
            <w:vAlign w:val="bottom"/>
          </w:tcPr>
          <w:p>
            <w:pPr>
              <w:ind w:left="460"/>
              <w:spacing w:after="0"/>
              <w:rPr>
                <w:sz w:val="20"/>
                <w:szCs w:val="20"/>
                <w:color w:val="auto"/>
              </w:rPr>
            </w:pPr>
            <w:r>
              <w:rPr>
                <w:rFonts w:ascii="Arial" w:cs="Arial" w:eastAsia="Arial" w:hAnsi="Arial"/>
                <w:sz w:val="12"/>
                <w:szCs w:val="12"/>
                <w:color w:val="auto"/>
              </w:rPr>
              <w:t>Income from continuing operations before income taxes</w:t>
            </w:r>
          </w:p>
        </w:tc>
        <w:tc>
          <w:tcPr>
            <w:tcW w:w="820" w:type="dxa"/>
            <w:vAlign w:val="bottom"/>
          </w:tcPr>
          <w:p>
            <w:pPr>
              <w:spacing w:after="0"/>
              <w:rPr>
                <w:sz w:val="13"/>
                <w:szCs w:val="13"/>
                <w:color w:val="auto"/>
              </w:rPr>
            </w:pPr>
          </w:p>
        </w:tc>
        <w:tc>
          <w:tcPr>
            <w:tcW w:w="560" w:type="dxa"/>
            <w:vAlign w:val="bottom"/>
          </w:tcPr>
          <w:p>
            <w:pPr>
              <w:jc w:val="right"/>
              <w:ind w:right="61"/>
              <w:spacing w:after="0"/>
              <w:rPr>
                <w:sz w:val="20"/>
                <w:szCs w:val="20"/>
                <w:color w:val="auto"/>
              </w:rPr>
            </w:pPr>
            <w:r>
              <w:rPr>
                <w:rFonts w:ascii="Arial" w:cs="Arial" w:eastAsia="Arial" w:hAnsi="Arial"/>
                <w:sz w:val="12"/>
                <w:szCs w:val="12"/>
                <w:color w:val="auto"/>
              </w:rPr>
              <w:t>35,627</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19,728</w:t>
            </w:r>
          </w:p>
        </w:tc>
        <w:tc>
          <w:tcPr>
            <w:tcW w:w="1260" w:type="dxa"/>
            <w:vAlign w:val="bottom"/>
            <w:gridSpan w:val="2"/>
          </w:tcPr>
          <w:p>
            <w:pPr>
              <w:jc w:val="center"/>
              <w:ind w:left="60"/>
              <w:spacing w:after="0"/>
              <w:rPr>
                <w:sz w:val="20"/>
                <w:szCs w:val="20"/>
                <w:color w:val="auto"/>
              </w:rPr>
            </w:pPr>
            <w:r>
              <w:rPr>
                <w:rFonts w:ascii="Arial" w:cs="Arial" w:eastAsia="Arial" w:hAnsi="Arial"/>
                <w:sz w:val="12"/>
                <w:szCs w:val="12"/>
                <w:color w:val="auto"/>
                <w:w w:val="91"/>
              </w:rPr>
              <w:t>81%</w:t>
            </w:r>
          </w:p>
        </w:tc>
      </w:tr>
      <w:tr>
        <w:trPr>
          <w:trHeight w:val="189"/>
        </w:trPr>
        <w:tc>
          <w:tcPr>
            <w:tcW w:w="7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w:t>
            </w:r>
          </w:p>
        </w:tc>
        <w:tc>
          <w:tcPr>
            <w:tcW w:w="8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13,663</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11,224</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1"/>
              </w:rPr>
              <w:t>22%</w:t>
            </w:r>
          </w:p>
        </w:tc>
      </w:tr>
      <w:tr>
        <w:trPr>
          <w:trHeight w:val="160"/>
        </w:trPr>
        <w:tc>
          <w:tcPr>
            <w:tcW w:w="7320" w:type="dxa"/>
            <w:vAlign w:val="bottom"/>
          </w:tcPr>
          <w:p>
            <w:pPr>
              <w:ind w:left="20"/>
              <w:spacing w:after="0"/>
              <w:rPr>
                <w:sz w:val="20"/>
                <w:szCs w:val="20"/>
                <w:color w:val="auto"/>
              </w:rPr>
            </w:pPr>
            <w:r>
              <w:rPr>
                <w:rFonts w:ascii="Arial" w:cs="Arial" w:eastAsia="Arial" w:hAnsi="Arial"/>
                <w:sz w:val="12"/>
                <w:szCs w:val="12"/>
                <w:color w:val="auto"/>
              </w:rPr>
              <w:t>Income from continuing operations, net of tax</w:t>
            </w:r>
          </w:p>
        </w:tc>
        <w:tc>
          <w:tcPr>
            <w:tcW w:w="820" w:type="dxa"/>
            <w:vAlign w:val="bottom"/>
          </w:tcPr>
          <w:p>
            <w:pPr>
              <w:spacing w:after="0"/>
              <w:rPr>
                <w:sz w:val="13"/>
                <w:szCs w:val="13"/>
                <w:color w:val="auto"/>
              </w:rPr>
            </w:pPr>
          </w:p>
        </w:tc>
        <w:tc>
          <w:tcPr>
            <w:tcW w:w="560" w:type="dxa"/>
            <w:vAlign w:val="bottom"/>
          </w:tcPr>
          <w:p>
            <w:pPr>
              <w:jc w:val="right"/>
              <w:ind w:right="61"/>
              <w:spacing w:after="0"/>
              <w:rPr>
                <w:sz w:val="20"/>
                <w:szCs w:val="20"/>
                <w:color w:val="auto"/>
              </w:rPr>
            </w:pPr>
            <w:r>
              <w:rPr>
                <w:rFonts w:ascii="Arial" w:cs="Arial" w:eastAsia="Arial" w:hAnsi="Arial"/>
                <w:sz w:val="12"/>
                <w:szCs w:val="12"/>
                <w:color w:val="auto"/>
              </w:rPr>
              <w:t>21,964</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8,504</w:t>
            </w:r>
          </w:p>
        </w:tc>
        <w:tc>
          <w:tcPr>
            <w:tcW w:w="126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158%</w:t>
            </w:r>
          </w:p>
        </w:tc>
      </w:tr>
      <w:tr>
        <w:trPr>
          <w:trHeight w:val="189"/>
        </w:trPr>
        <w:tc>
          <w:tcPr>
            <w:tcW w:w="7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from discontinued operations, net of tax</w:t>
            </w:r>
          </w:p>
        </w:tc>
        <w:tc>
          <w:tcPr>
            <w:tcW w:w="8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(1,868)</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(99,068)</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3"/>
              </w:rPr>
              <w:t>(98)%</w:t>
            </w:r>
          </w:p>
        </w:tc>
      </w:tr>
      <w:tr>
        <w:trPr>
          <w:trHeight w:val="160"/>
        </w:trPr>
        <w:tc>
          <w:tcPr>
            <w:tcW w:w="732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820" w:type="dxa"/>
            <w:vAlign w:val="bottom"/>
          </w:tcPr>
          <w:p>
            <w:pPr>
              <w:spacing w:after="0"/>
              <w:rPr>
                <w:sz w:val="13"/>
                <w:szCs w:val="13"/>
                <w:color w:val="auto"/>
              </w:rPr>
            </w:pPr>
          </w:p>
        </w:tc>
        <w:tc>
          <w:tcPr>
            <w:tcW w:w="560" w:type="dxa"/>
            <w:vAlign w:val="bottom"/>
          </w:tcPr>
          <w:p>
            <w:pPr>
              <w:jc w:val="right"/>
              <w:ind w:right="61"/>
              <w:spacing w:after="0"/>
              <w:rPr>
                <w:sz w:val="20"/>
                <w:szCs w:val="20"/>
                <w:color w:val="auto"/>
              </w:rPr>
            </w:pPr>
            <w:r>
              <w:rPr>
                <w:rFonts w:ascii="Arial" w:cs="Arial" w:eastAsia="Arial" w:hAnsi="Arial"/>
                <w:sz w:val="12"/>
                <w:szCs w:val="12"/>
                <w:color w:val="auto"/>
              </w:rPr>
              <w:t>20,096</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8"/>
              </w:rPr>
              <w:t>(90,564)</w:t>
            </w:r>
          </w:p>
        </w:tc>
        <w:tc>
          <w:tcPr>
            <w:tcW w:w="1260" w:type="dxa"/>
            <w:vAlign w:val="bottom"/>
            <w:gridSpan w:val="2"/>
          </w:tcPr>
          <w:p>
            <w:pPr>
              <w:jc w:val="center"/>
              <w:ind w:left="60"/>
              <w:spacing w:after="0"/>
              <w:rPr>
                <w:sz w:val="20"/>
                <w:szCs w:val="20"/>
                <w:color w:val="auto"/>
              </w:rPr>
            </w:pPr>
            <w:r>
              <w:rPr>
                <w:rFonts w:ascii="Arial" w:cs="Arial" w:eastAsia="Arial" w:hAnsi="Arial"/>
                <w:sz w:val="12"/>
                <w:szCs w:val="12"/>
                <w:color w:val="auto"/>
              </w:rPr>
              <w:t>*</w:t>
            </w:r>
          </w:p>
        </w:tc>
      </w:tr>
      <w:tr>
        <w:trPr>
          <w:trHeight w:val="189"/>
        </w:trPr>
        <w:tc>
          <w:tcPr>
            <w:tcW w:w="7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attributable to noncontrolling interest</w:t>
            </w:r>
          </w:p>
        </w:tc>
        <w:tc>
          <w:tcPr>
            <w:tcW w:w="8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(352)</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(6,589)</w:t>
            </w:r>
          </w:p>
        </w:tc>
        <w:tc>
          <w:tcPr>
            <w:tcW w:w="126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93"/>
              </w:rPr>
              <w:t>(95)%</w:t>
            </w:r>
          </w:p>
        </w:tc>
      </w:tr>
      <w:tr>
        <w:trPr>
          <w:trHeight w:val="176"/>
        </w:trPr>
        <w:tc>
          <w:tcPr>
            <w:tcW w:w="7320" w:type="dxa"/>
            <w:vAlign w:val="bottom"/>
          </w:tcPr>
          <w:p>
            <w:pPr>
              <w:ind w:left="20"/>
              <w:spacing w:after="0"/>
              <w:rPr>
                <w:sz w:val="20"/>
                <w:szCs w:val="20"/>
                <w:color w:val="auto"/>
              </w:rPr>
            </w:pPr>
            <w:r>
              <w:rPr>
                <w:rFonts w:ascii="Arial" w:cs="Arial" w:eastAsia="Arial" w:hAnsi="Arial"/>
                <w:sz w:val="12"/>
                <w:szCs w:val="12"/>
                <w:color w:val="auto"/>
              </w:rPr>
              <w:t>Net income (loss) attributable to EZCORP, Inc.</w:t>
            </w:r>
          </w:p>
        </w:tc>
        <w:tc>
          <w:tcPr>
            <w:tcW w:w="820" w:type="dxa"/>
            <w:vAlign w:val="bottom"/>
            <w:tcBorders>
              <w:bottom w:val="single" w:sz="8" w:color="auto"/>
            </w:tcBorders>
          </w:tcPr>
          <w:p>
            <w:pPr>
              <w:jc w:val="right"/>
              <w:ind w:right="684"/>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20,448</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70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(83,975)</w:t>
            </w:r>
          </w:p>
        </w:tc>
        <w:tc>
          <w:tcPr>
            <w:tcW w:w="1260" w:type="dxa"/>
            <w:vAlign w:val="bottom"/>
            <w:gridSpan w:val="2"/>
          </w:tcPr>
          <w:p>
            <w:pPr>
              <w:jc w:val="center"/>
              <w:ind w:left="60"/>
              <w:spacing w:after="0"/>
              <w:rPr>
                <w:sz w:val="20"/>
                <w:szCs w:val="20"/>
                <w:color w:val="auto"/>
              </w:rPr>
            </w:pPr>
            <w:r>
              <w:rPr>
                <w:rFonts w:ascii="Arial" w:cs="Arial" w:eastAsia="Arial" w:hAnsi="Arial"/>
                <w:sz w:val="12"/>
                <w:szCs w:val="12"/>
                <w:color w:val="auto"/>
              </w:rPr>
              <w:t>*</w:t>
            </w:r>
          </w:p>
        </w:tc>
      </w:tr>
    </w:tbl>
    <w:p>
      <w:pPr>
        <w:spacing w:after="0" w:line="96" w:lineRule="exact"/>
        <w:rPr>
          <w:sz w:val="20"/>
          <w:szCs w:val="20"/>
          <w:color w:val="auto"/>
        </w:rPr>
      </w:pPr>
    </w:p>
    <w:p>
      <w:pPr>
        <w:ind w:left="260" w:hanging="227"/>
        <w:spacing w:after="0"/>
        <w:tabs>
          <w:tab w:leader="none" w:pos="260" w:val="left"/>
        </w:tabs>
        <w:numPr>
          <w:ilvl w:val="0"/>
          <w:numId w:val="28"/>
        </w:numPr>
        <w:rPr>
          <w:rFonts w:ascii="Arial" w:cs="Arial" w:eastAsia="Arial" w:hAnsi="Arial"/>
          <w:sz w:val="10"/>
          <w:szCs w:val="10"/>
          <w:color w:val="auto"/>
        </w:rPr>
      </w:pPr>
      <w:r>
        <w:rPr>
          <w:rFonts w:ascii="Arial" w:cs="Arial" w:eastAsia="Arial" w:hAnsi="Arial"/>
          <w:sz w:val="10"/>
          <w:szCs w:val="10"/>
          <w:color w:val="auto"/>
        </w:rPr>
        <w:t>Represents an increase or decrease that is not meaningful.</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Administrative expenses decreased $8.8 million, or 18%, due primarily to:</w:t>
      </w:r>
    </w:p>
    <w:p>
      <w:pPr>
        <w:spacing w:after="0" w:line="114" w:lineRule="exact"/>
        <w:rPr>
          <w:sz w:val="20"/>
          <w:szCs w:val="20"/>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 $7.3 million decrease in business and professional fees due to completion of remediation efforts in the prior year;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 $1.7 million decrease in labor costs including the impact of corporate headcount reductions.</w:t>
      </w:r>
    </w:p>
    <w:p>
      <w:pPr>
        <w:spacing w:after="0" w:line="114"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Interest expense increased $5.1 million, or 43%, as a result of our Term Loan Facility obtained in September 2016, including accruals of interest in addition to amortization of associated discounts and deferred financings costs. Interest income increased $6.0 million as a result of our notes receivable from the sale of Grupo Finmart, including ordinary accruals of interest in addition to accretion of associated discounts.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Income tax expense increased $2.4 million, from $11.2 million in the prior-year nine-months to $13.7 million in the current nine-months, due primarily to the impacts of a $15.9 million increase in income from continuing operations before income taxes, partially offset by a discrete tax expense of $3.7 million recorded in the prior-year nine-months related to a change in estimate of our fiscal 2015 tax provision. Income tax expense includes other items that do not necessarily correspond to pre-tax earnings and create volatility in our effective tax rate, of which no items were material during the current nine-months.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We have substantially eliminated activities associated with our discontinued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60"/>
          </w:cols>
          <w:pgMar w:left="220" w:top="128" w:right="219" w:bottom="1440" w:gutter="0" w:footer="0" w:header="0"/>
        </w:sectPr>
      </w:pPr>
    </w:p>
    <w:bookmarkStart w:id="42" w:name="page43"/>
    <w:bookmarkEnd w:id="4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table and discussion below presents a summary of the selected sources and uses of our cash:</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7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1"/>
              </w:rPr>
              <w:t>Nine Months Ended June 30,</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5"/>
              </w:rPr>
              <w:t>Percentage</w:t>
            </w:r>
          </w:p>
        </w:tc>
        <w:tc>
          <w:tcPr>
            <w:tcW w:w="0" w:type="dxa"/>
            <w:vAlign w:val="bottom"/>
          </w:tcPr>
          <w:p>
            <w:pPr>
              <w:spacing w:after="0"/>
              <w:rPr>
                <w:sz w:val="1"/>
                <w:szCs w:val="1"/>
                <w:color w:val="auto"/>
              </w:rPr>
            </w:pPr>
          </w:p>
        </w:tc>
      </w:tr>
      <w:tr>
        <w:trPr>
          <w:trHeight w:val="42"/>
        </w:trPr>
        <w:tc>
          <w:tcPr>
            <w:tcW w:w="6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6780" w:type="dxa"/>
            <w:vAlign w:val="bottom"/>
          </w:tcPr>
          <w:p>
            <w:pPr>
              <w:spacing w:after="0"/>
              <w:rPr>
                <w:sz w:val="11"/>
                <w:szCs w:val="11"/>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2017</w:t>
            </w: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2016</w:t>
            </w:r>
          </w:p>
        </w:tc>
        <w:tc>
          <w:tcPr>
            <w:tcW w:w="100" w:type="dxa"/>
            <w:vAlign w:val="bottom"/>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Change</w:t>
            </w: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0"/>
                <w:szCs w:val="10"/>
                <w:i w:val="1"/>
                <w:i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operating activities</w:t>
            </w: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29,974</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57,937</w:t>
            </w:r>
          </w:p>
        </w:tc>
        <w:tc>
          <w:tcPr>
            <w:tcW w:w="160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3"/>
              </w:rPr>
              <w:t>(48)%</w:t>
            </w: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Arial" w:cs="Arial" w:eastAsia="Arial" w:hAnsi="Arial"/>
                <w:sz w:val="12"/>
                <w:szCs w:val="12"/>
                <w:color w:val="auto"/>
              </w:rPr>
              <w:t>Cash flows from investing activities</w:t>
            </w:r>
          </w:p>
        </w:tc>
        <w:tc>
          <w:tcPr>
            <w:tcW w:w="900" w:type="dxa"/>
            <w:vAlign w:val="bottom"/>
          </w:tcPr>
          <w:p>
            <w:pPr>
              <w:spacing w:after="0"/>
              <w:rPr>
                <w:sz w:val="14"/>
                <w:szCs w:val="14"/>
                <w:color w:val="auto"/>
              </w:rPr>
            </w:pP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17,972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(11,537)</w:t>
            </w:r>
          </w:p>
        </w:tc>
        <w:tc>
          <w:tcPr>
            <w:tcW w:w="1600" w:type="dxa"/>
            <w:vAlign w:val="bottom"/>
            <w:gridSpan w:val="2"/>
          </w:tcPr>
          <w:p>
            <w:pPr>
              <w:jc w:val="center"/>
              <w:ind w:lef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financing activities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(767)</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(67,910)</w:t>
            </w:r>
          </w:p>
        </w:tc>
        <w:tc>
          <w:tcPr>
            <w:tcW w:w="160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1"/>
              </w:rPr>
              <w:t>99%</w:t>
            </w:r>
          </w:p>
        </w:tc>
        <w:tc>
          <w:tcPr>
            <w:tcW w:w="0" w:type="dxa"/>
            <w:vAlign w:val="bottom"/>
          </w:tcPr>
          <w:p>
            <w:pPr>
              <w:spacing w:after="0"/>
              <w:rPr>
                <w:sz w:val="1"/>
                <w:szCs w:val="1"/>
                <w:color w:val="auto"/>
              </w:rPr>
            </w:pPr>
          </w:p>
        </w:tc>
      </w:tr>
      <w:tr>
        <w:trPr>
          <w:trHeight w:val="171"/>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Effect of exchange rate changes on cash and cash equivalents</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813</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(6,506)</w:t>
            </w:r>
          </w:p>
        </w:tc>
        <w:tc>
          <w:tcPr>
            <w:tcW w:w="160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Net increase (decrease) in cash and cash equivalents</w:t>
            </w:r>
          </w:p>
        </w:tc>
        <w:tc>
          <w:tcPr>
            <w:tcW w:w="90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47,992</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(28,016)</w:t>
            </w:r>
          </w:p>
        </w:tc>
        <w:tc>
          <w:tcPr>
            <w:tcW w:w="16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40" w:hanging="230"/>
        <w:spacing w:after="0"/>
        <w:tabs>
          <w:tab w:leader="none" w:pos="240" w:val="left"/>
        </w:tabs>
        <w:numPr>
          <w:ilvl w:val="0"/>
          <w:numId w:val="30"/>
        </w:numPr>
        <w:rPr>
          <w:rFonts w:ascii="Arial" w:cs="Arial" w:eastAsia="Arial" w:hAnsi="Arial"/>
          <w:sz w:val="10"/>
          <w:szCs w:val="10"/>
          <w:color w:val="auto"/>
        </w:rPr>
      </w:pPr>
      <w:r>
        <w:rPr>
          <w:rFonts w:ascii="Arial" w:cs="Arial" w:eastAsia="Arial" w:hAnsi="Arial"/>
          <w:sz w:val="10"/>
          <w:szCs w:val="10"/>
          <w:color w:val="auto"/>
        </w:rPr>
        <w:t>Represents an increase or decrease that is not meaningful.</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in Cash and Cash Equivalents for the Nine Months Ended June 30, 2017 vs. Nine Months Ended June 30, 2016</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 decrease in cash flows from operating activities year-over-year was due to a $50.3 million decrease from changes in operating assets and liabilities and a $2.2 million decrease in cash dividends received from our unconsolidated affiliate, offset by a $16.1 million increase in net income exclusive of non-cash items due to improved operational results and an $8.4 million decrease in restructuring payments as we have substantially completed all prior restructuring actions. The decrease from changes in operating assets and liabilities was primarily driven by a $34.2 million tax refund received in March 2016 as a result of the carryback of fiscal 2015 tax net operating losses and $15.6 million paid out during the three months ended December 31, 2016 for accrued fiscal 2016 incentive compensation.</w:t>
      </w:r>
    </w:p>
    <w:p>
      <w:pPr>
        <w:spacing w:after="0" w:line="89"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The increase in cash flows from investing activities year-over-year was due to $23.3 million in principal collections on notes receivable, a $3.0 million net increase in proceeds related to loan activities (net loans repaid and recovery of pawn loan principal through sale of forfeited collateral) and a $6.0 million decrease in acquisition expenditures, offset by a $2.9 million increase in additions to property and equipment.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increase in cash flows from financing activities year-over-year was primarily due to the elimination of Grupo Finmart activities and deferred expenditures on previous acquisitions.</w:t>
      </w:r>
    </w:p>
    <w:p>
      <w:pPr>
        <w:spacing w:after="0" w:line="11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net effect of these and other smaller items was a $48.0 million increase in cash on hand during the nine months ended June 30, 2017, resulting in a $113.7 million ending cash balance, $11.9 million of which was not available to fund domestic operations as we intend to permanently reinvest those earnings in our foreign operations.</w:t>
      </w:r>
    </w:p>
    <w:p>
      <w:pPr>
        <w:spacing w:after="0" w:line="79" w:lineRule="exact"/>
        <w:rPr>
          <w:sz w:val="20"/>
          <w:szCs w:val="20"/>
          <w:color w:val="auto"/>
        </w:rPr>
      </w:pPr>
    </w:p>
    <w:p>
      <w:pPr>
        <w:jc w:val="both"/>
        <w:ind w:right="60"/>
        <w:spacing w:after="0" w:line="323" w:lineRule="auto"/>
        <w:rPr>
          <w:sz w:val="20"/>
          <w:szCs w:val="20"/>
          <w:color w:val="auto"/>
        </w:rPr>
      </w:pPr>
      <w:r>
        <w:rPr>
          <w:rFonts w:ascii="Arial" w:cs="Arial" w:eastAsia="Arial" w:hAnsi="Arial"/>
          <w:sz w:val="11"/>
          <w:szCs w:val="11"/>
          <w:color w:val="auto"/>
        </w:rPr>
        <w:t>See Note 10 of Notes to Interim Condensed Consolidated Financial Statements included in "Part I, Item 1 — Financial Statements" regarding additional funds raised subsequent to the end of the current quarter, which we used to repay and terminate our Term Loan Facility, repurchase and retire a portion of our existing Cash Convertible Notes outstanding, and increase cash available for general corporate purposes, including potential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114"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In "Part II, Item 7 — Management's Discussion and Analysis of Financial Condition and Results of Operations" of our Annual Report on Form 10-K for the year ended September 30, 2016, we reported that we had $592.8 million in total contractual obligations as of September 30, 2016. There have been no material changes to this total obligation during the current nine-month period ended June 30, 2017, other than ordinary fulfillment of obligations as well as transactions discussed below.</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We are responsible for the maintenance, property taxes and insurance at most of our locations. In the fiscal year ended September 30, 2016, these collectively amounted to $21.3 million.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and Uses of Cash</w:t>
      </w:r>
    </w:p>
    <w:p>
      <w:pPr>
        <w:spacing w:after="0" w:line="114"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We anticipate that cash flow from operations, cash on hand and available credit facilities will be adequate to fund our contractual obligations, planned store growth, capital expenditures and working capital requirements during the remainder of fiscal 2017. Our strengthened balance sheet and liquidity position provides strategic flexibility to continue our investment in our pawn businesses and expansion of the pawn loan portfolio to drive increased profit, including potentially to add to our earnings capacity as we consider attractive acquisition opportunities. We believe that current cash on hand, cash generated from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128" w:right="199" w:bottom="1440" w:gutter="0" w:footer="0" w:header="0"/>
        </w:sectPr>
      </w:pPr>
    </w:p>
    <w:bookmarkStart w:id="43" w:name="page44"/>
    <w:bookmarkEnd w:id="4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our operating activities and anticipated repayments on the promissory notes received in connection with the sale of Grupo Finmart, absent utilization of significant amounts of cash for acquisitions or other investments, will be sufficient to repay our longer-term debt obligations (including the Cash Convertible Notes, which are due in 2019).</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252525"/>
        </w:rPr>
        <w:t>2.875% Convertible Senior Notes Due 2024</w:t>
      </w:r>
    </w:p>
    <w:p>
      <w:pPr>
        <w:spacing w:after="0" w:line="11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In July 2017, we issued $143.75 million aggregate principal amount of our 2.875% Convertible Senior Notes due 2024 in order to strengthen our balance sheet and liquidity and lock in an attractive fixed interest rate for a seven-year term. We used the net proceeds from the offering (approximately $140.0 million) to (1) retire all remaining obligations under our Term Loan Facility which had a higher cost of funds, (2) repurchase and retire $35 million aggregate principal amount of our existing Cash Convertible Notes and (3) increase our general cash reserves.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For a description of the terms of the Convertible Notes, see Note 10 of Notes to Interim Condensed Consolidated Financial Statements included in "Part I, Item 1 —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Convertible Notes and Term Loan Facility</w:t>
      </w:r>
    </w:p>
    <w:p>
      <w:pPr>
        <w:spacing w:after="0" w:line="114" w:lineRule="exact"/>
        <w:rPr>
          <w:sz w:val="20"/>
          <w:szCs w:val="20"/>
          <w:color w:val="auto"/>
        </w:rPr>
      </w:pPr>
    </w:p>
    <w:p>
      <w:pPr>
        <w:spacing w:after="0" w:line="340" w:lineRule="auto"/>
        <w:rPr>
          <w:sz w:val="20"/>
          <w:szCs w:val="20"/>
          <w:color w:val="auto"/>
        </w:rPr>
      </w:pPr>
      <w:r>
        <w:rPr>
          <w:rFonts w:ascii="Arial" w:cs="Arial" w:eastAsia="Arial" w:hAnsi="Arial"/>
          <w:sz w:val="10"/>
          <w:szCs w:val="10"/>
          <w:color w:val="auto"/>
        </w:rPr>
        <w:t>For a description of the Cash Convertible Notes, the conversion terms thereof and the hedges and warrants transactions as well as our Term Loan Facility, see Note 5 of Notes to Interim Condensed Consolidated Financial Statements included in "Part I, Item 1 — Financial Statements." Additionally, see Note 10 of Notes to Interim Condensed Consolidated Financial Statements included in "Part I, Item 1 — Financial Statements" for a discussion of subsequent events pertaining to the repayment of the Term Loan Facility, the repurchase and retirement of a portion of the Cash Convertible Notes and the associated partial settlement of Cash Convertible Notes Hedges and Cash Convertible Notes Warrants.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Notes Receivable from Grupo Finmart Divestiture</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 xml:space="preserve">As of June 30, 2017, we had a gross balance of $67.1 million on our notes receivable that we received in connection with the sale of Grupo Finmart in September 2016. We have collected $23.3 million in principal on these notes receivable during the nine months ended June 30, 2017 and anticipate an additional principal collection of $24.4 million of these notes receivable during the remainder of fiscal 2017, with the balance to be collected through fiscal 2019. The notes receivable are subject to certain foreign currency impacts as a result of changes in the value of the Mexican dollar relative to the U.S. dollar. </w:t>
      </w:r>
      <w:r>
        <w:rPr>
          <w:rFonts w:ascii="Arial" w:cs="Arial" w:eastAsia="Arial" w:hAnsi="Arial"/>
          <w:sz w:val="12"/>
          <w:szCs w:val="12"/>
          <w:color w:val="252525"/>
        </w:rPr>
        <w:t>In July 2017, we received $6.2 million, including interest, for repayment of certain of the notes</w:t>
      </w:r>
      <w:r>
        <w:rPr>
          <w:rFonts w:ascii="Arial" w:cs="Arial" w:eastAsia="Arial" w:hAnsi="Arial"/>
          <w:sz w:val="12"/>
          <w:szCs w:val="12"/>
          <w:color w:val="auto"/>
        </w:rPr>
        <w:t xml:space="preserve"> </w:t>
      </w:r>
      <w:r>
        <w:rPr>
          <w:rFonts w:ascii="Arial" w:cs="Arial" w:eastAsia="Arial" w:hAnsi="Arial"/>
          <w:sz w:val="12"/>
          <w:szCs w:val="12"/>
          <w:color w:val="252525"/>
        </w:rPr>
        <w:t>receivable. Of that amount, $5.3 million was an early repayment.</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 Accounting Policies and Recently Issued Accounting Pronouncements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See Note 1 of Notes to Interim Condensed Consolidated Financial Statements included in "Part I, Item 1 —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Risks and Uncertainties that May Affect Future Results</w:t>
      </w:r>
    </w:p>
    <w:p>
      <w:pPr>
        <w:spacing w:after="0" w:line="118" w:lineRule="exact"/>
        <w:rPr>
          <w:sz w:val="20"/>
          <w:szCs w:val="20"/>
          <w:color w:val="auto"/>
        </w:rPr>
      </w:pPr>
    </w:p>
    <w:p>
      <w:pPr>
        <w:ind w:right="20"/>
        <w:spacing w:after="0" w:line="280" w:lineRule="auto"/>
        <w:rPr>
          <w:sz w:val="20"/>
          <w:szCs w:val="20"/>
          <w:color w:val="auto"/>
        </w:rPr>
      </w:pPr>
      <w:r>
        <w:rPr>
          <w:rFonts w:ascii="Arial" w:cs="Arial" w:eastAsia="Arial" w:hAnsi="Arial"/>
          <w:sz w:val="11"/>
          <w:szCs w:val="11"/>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2016, supplemented by those described in "Part II, Item 1A — Risk Factors" of this Quarterly Report.</w:t>
      </w:r>
    </w:p>
    <w:p>
      <w:pPr>
        <w:spacing w:after="0" w:line="8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60"/>
          </w:cols>
          <w:pgMar w:left="220" w:top="128" w:right="219" w:bottom="1440" w:gutter="0" w:footer="0" w:header="0"/>
        </w:sectPr>
      </w:pPr>
    </w:p>
    <w:bookmarkStart w:id="44" w:name="page45"/>
    <w:bookmarkEnd w:id="4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18"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2016. There have been no material changes to our exposure to market risks since September 30, 2016.</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18"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Evaluation of Disclosure Controls and Procedures</w:t>
      </w:r>
    </w:p>
    <w:p>
      <w:pPr>
        <w:spacing w:after="0" w:line="114"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June 30, 2017. Based on that evaluation, our Chief Executive Officer and Chief Financial Officer concluded that our disclosure controls and procedures were effective as of June 30, 2017.</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There were no changes in our internal control over financial reporting during the quarter ended June 30, 2017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Inherent Limitations on Internal Controls</w:t>
      </w:r>
    </w:p>
    <w:p>
      <w:pPr>
        <w:spacing w:after="0" w:line="114"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56" w:lineRule="exact"/>
        <w:rPr>
          <w:sz w:val="20"/>
          <w:szCs w:val="20"/>
          <w:color w:val="auto"/>
        </w:rPr>
      </w:pPr>
    </w:p>
    <w:p>
      <w:pPr>
        <w:ind w:left="220" w:hanging="210"/>
        <w:spacing w:after="0"/>
        <w:tabs>
          <w:tab w:leader="none" w:pos="2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Judgments in decision-making can be faulty, and control and process breakdowns can occur because of simple errors or mistakes.</w:t>
      </w:r>
    </w:p>
    <w:p>
      <w:pPr>
        <w:spacing w:after="0" w:line="114" w:lineRule="exact"/>
        <w:rPr>
          <w:rFonts w:ascii="Arial" w:cs="Arial" w:eastAsia="Arial" w:hAnsi="Arial"/>
          <w:sz w:val="12"/>
          <w:szCs w:val="12"/>
          <w:color w:val="auto"/>
        </w:rPr>
      </w:pPr>
    </w:p>
    <w:p>
      <w:pPr>
        <w:ind w:left="220" w:hanging="210"/>
        <w:spacing w:after="0"/>
        <w:tabs>
          <w:tab w:leader="none" w:pos="2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Controls can be circumvented by individuals, acting alone or in collusion with others, or by management override.</w:t>
      </w:r>
    </w:p>
    <w:p>
      <w:pPr>
        <w:spacing w:after="0" w:line="114" w:lineRule="exact"/>
        <w:rPr>
          <w:rFonts w:ascii="Arial" w:cs="Arial" w:eastAsia="Arial" w:hAnsi="Arial"/>
          <w:sz w:val="12"/>
          <w:szCs w:val="12"/>
          <w:color w:val="auto"/>
        </w:rPr>
      </w:pPr>
    </w:p>
    <w:p>
      <w:pPr>
        <w:ind w:left="220" w:right="340" w:hanging="210"/>
        <w:spacing w:after="0" w:line="276" w:lineRule="auto"/>
        <w:tabs>
          <w:tab w:leader="none" w:pos="2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78" w:lineRule="exact"/>
        <w:rPr>
          <w:rFonts w:ascii="Arial" w:cs="Arial" w:eastAsia="Arial" w:hAnsi="Arial"/>
          <w:sz w:val="12"/>
          <w:szCs w:val="12"/>
          <w:color w:val="auto"/>
        </w:rPr>
      </w:pPr>
    </w:p>
    <w:p>
      <w:pPr>
        <w:ind w:left="220" w:hanging="210"/>
        <w:spacing w:after="0"/>
        <w:tabs>
          <w:tab w:leader="none" w:pos="2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Over time, controls may become inadequate because of changes in conditions or deterioration in the degree of compliance with associated policies or procedures.</w:t>
      </w:r>
    </w:p>
    <w:p>
      <w:pPr>
        <w:spacing w:after="0" w:line="114" w:lineRule="exact"/>
        <w:rPr>
          <w:rFonts w:ascii="Arial" w:cs="Arial" w:eastAsia="Arial" w:hAnsi="Arial"/>
          <w:sz w:val="12"/>
          <w:szCs w:val="12"/>
          <w:color w:val="auto"/>
        </w:rPr>
      </w:pPr>
    </w:p>
    <w:p>
      <w:pPr>
        <w:ind w:left="220" w:hanging="210"/>
        <w:spacing w:after="0"/>
        <w:tabs>
          <w:tab w:leader="none" w:pos="2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design of a control system must reflect the fact that resources are constrained, and the benefits of controls must be considered relative to their costs.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Because of the inherent limitations in all control systems, no evaluation of controls can provide absolute assurance that all control issues and instances of fraud, if any, have been detected.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See Note 7 of Notes to Interim Condensed Consolidated Financial Statements included in "Part I, Item 1 —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40"/>
          </w:cols>
          <w:pgMar w:left="220" w:top="128" w:right="239" w:bottom="1440" w:gutter="0" w:footer="0" w:header="0"/>
        </w:sectPr>
      </w:pPr>
    </w:p>
    <w:bookmarkStart w:id="45" w:name="page46"/>
    <w:bookmarkEnd w:id="4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1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2016.</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Related Party Transaction</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The Company has entered into an Asset Purchase Agreement, dated June 8, 2017, with Cash Solution Centers, LLC ("CSC"), pursuant to which the Company has agreed to acquire, for an aggregate estimated purchase price of $735,000 in cash, certain assets used in the operation of two pawn stores located in Central Texas. Daniel M. Chism, who was appointed Chief Financial Officer of the Company effective May 9, 2017, is the owner of a 28% interest in CSC. Closing of the transaction is subject to certain licensing and other conditions, but is expected to occur during the fourth quarter of fiscal 2017. Following completion of this transaction, Mr. Chism will not own any interest in any pawn-related businesses outside of his interest in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The terms of this transaction were reviewed and approved by the Audit Committee of the Board of Directors pursuant to the Company's Policy for Review and Evaluation of Related Party Transactions.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40"/>
          </w:cols>
          <w:pgMar w:left="220" w:top="128" w:right="239" w:bottom="1440" w:gutter="0" w:footer="0" w:header="0"/>
        </w:sectPr>
      </w:pPr>
    </w:p>
    <w:bookmarkStart w:id="46" w:name="page47"/>
    <w:bookmarkEnd w:id="4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EXHIBITS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exhibits are filed with, or incorporated by reference into, this report.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380" w:type="dxa"/>
            <w:vAlign w:val="bottom"/>
            <w:gridSpan w:val="10"/>
          </w:tcPr>
          <w:p>
            <w:pPr>
              <w:jc w:val="center"/>
              <w:ind w:right="120"/>
              <w:spacing w:after="0"/>
              <w:rPr>
                <w:sz w:val="20"/>
                <w:szCs w:val="20"/>
                <w:color w:val="auto"/>
              </w:rPr>
            </w:pPr>
            <w:r>
              <w:rPr>
                <w:rFonts w:ascii="Arial" w:cs="Arial" w:eastAsia="Arial" w:hAnsi="Arial"/>
                <w:sz w:val="10"/>
                <w:szCs w:val="10"/>
                <w:b w:val="1"/>
                <w:bCs w:val="1"/>
                <w:color w:val="auto"/>
                <w:w w:val="87"/>
              </w:rPr>
              <w:t>Exhibit No.</w:t>
            </w:r>
          </w:p>
        </w:tc>
        <w:tc>
          <w:tcPr>
            <w:tcW w:w="10100" w:type="dxa"/>
            <w:vAlign w:val="bottom"/>
            <w:gridSpan w:val="16"/>
          </w:tcPr>
          <w:p>
            <w:pPr>
              <w:spacing w:after="0"/>
              <w:rPr>
                <w:sz w:val="20"/>
                <w:szCs w:val="20"/>
                <w:color w:val="auto"/>
              </w:rPr>
            </w:pPr>
            <w:r>
              <w:rPr>
                <w:rFonts w:ascii="Arial" w:cs="Arial" w:eastAsia="Arial" w:hAnsi="Arial"/>
                <w:sz w:val="10"/>
                <w:szCs w:val="10"/>
                <w:b w:val="1"/>
                <w:bCs w:val="1"/>
                <w:color w:val="auto"/>
              </w:rPr>
              <w:t>Description of Exhibit</w:t>
            </w:r>
          </w:p>
        </w:tc>
      </w:tr>
      <w:tr>
        <w:trPr>
          <w:trHeight w:val="74"/>
        </w:trPr>
        <w:tc>
          <w:tcPr>
            <w:tcW w:w="4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7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3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35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r>
      <w:tr>
        <w:trPr>
          <w:trHeight w:val="135"/>
        </w:trPr>
        <w:tc>
          <w:tcPr>
            <w:tcW w:w="740" w:type="dxa"/>
            <w:vAlign w:val="bottom"/>
            <w:gridSpan w:val="6"/>
            <w:shd w:val="clear" w:color="auto" w:fill="CCEEFF"/>
          </w:tcPr>
          <w:p>
            <w:pPr>
              <w:jc w:val="center"/>
              <w:ind w:left="461"/>
              <w:spacing w:after="0" w:line="135" w:lineRule="exact"/>
              <w:rPr>
                <w:rFonts w:ascii="Arial" w:cs="Arial" w:eastAsia="Arial" w:hAnsi="Arial"/>
                <w:sz w:val="12"/>
                <w:szCs w:val="12"/>
                <w:color w:val="0000EE"/>
                <w:w w:val="83"/>
              </w:rPr>
            </w:pPr>
            <w:hyperlink r:id="rId16">
              <w:r>
                <w:rPr>
                  <w:rFonts w:ascii="Arial" w:cs="Arial" w:eastAsia="Arial" w:hAnsi="Arial"/>
                  <w:sz w:val="12"/>
                  <w:szCs w:val="12"/>
                  <w:color w:val="0000EE"/>
                  <w:w w:val="83"/>
                </w:rPr>
                <w:t>4.</w:t>
              </w:r>
              <w:r>
                <w:rPr>
                  <w:rFonts w:ascii="Arial" w:cs="Arial" w:eastAsia="Arial" w:hAnsi="Arial"/>
                  <w:sz w:val="12"/>
                  <w:szCs w:val="12"/>
                  <w:u w:val="single" w:color="auto"/>
                  <w:color w:val="0000EE"/>
                  <w:w w:val="83"/>
                </w:rPr>
                <w:t>1</w:t>
              </w:r>
            </w:hyperlink>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100" w:type="dxa"/>
            <w:vAlign w:val="bottom"/>
            <w:gridSpan w:val="16"/>
            <w:shd w:val="clear" w:color="auto" w:fill="CCEEFF"/>
          </w:tcPr>
          <w:p>
            <w:pPr>
              <w:spacing w:after="0" w:line="135" w:lineRule="exact"/>
              <w:rPr>
                <w:rFonts w:ascii="Arial" w:cs="Arial" w:eastAsia="Arial" w:hAnsi="Arial"/>
                <w:sz w:val="12"/>
                <w:szCs w:val="12"/>
                <w:color w:val="0000EE"/>
                <w:w w:val="92"/>
              </w:rPr>
            </w:pPr>
            <w:hyperlink r:id="rId16">
              <w:r>
                <w:rPr>
                  <w:rFonts w:ascii="Arial" w:cs="Arial" w:eastAsia="Arial" w:hAnsi="Arial"/>
                  <w:sz w:val="12"/>
                  <w:szCs w:val="12"/>
                  <w:color w:val="0000EE"/>
                  <w:w w:val="92"/>
                </w:rPr>
                <w:t>Indenture, dated July 5, 2017, between EZCORP, Inc., and Wells Fargo Bank, National Association, as trustee (incorporated by reference to Exhibit 4.1 to the Company's Current Report on Form 8-K dated</w:t>
              </w:r>
            </w:hyperlink>
          </w:p>
        </w:tc>
      </w:tr>
      <w:tr>
        <w:trPr>
          <w:trHeight w:val="149"/>
        </w:trPr>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0000EE"/>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160" w:type="dxa"/>
            <w:vAlign w:val="bottom"/>
            <w:tcBorders>
              <w:top w:val="single" w:sz="8" w:color="0000EE"/>
              <w:bottom w:val="single" w:sz="8" w:color="0000EE"/>
            </w:tcBorders>
            <w:gridSpan w:val="2"/>
            <w:shd w:val="clear" w:color="auto" w:fill="CCEEFF"/>
          </w:tcPr>
          <w:p>
            <w:pPr>
              <w:spacing w:after="0" w:line="124" w:lineRule="exact"/>
              <w:rPr>
                <w:rFonts w:ascii="Arial" w:cs="Arial" w:eastAsia="Arial" w:hAnsi="Arial"/>
                <w:sz w:val="12"/>
                <w:szCs w:val="12"/>
                <w:color w:val="0000EE"/>
                <w:w w:val="91"/>
              </w:rPr>
            </w:pPr>
            <w:hyperlink r:id="rId16">
              <w:r>
                <w:rPr>
                  <w:rFonts w:ascii="Arial" w:cs="Arial" w:eastAsia="Arial" w:hAnsi="Arial"/>
                  <w:sz w:val="12"/>
                  <w:szCs w:val="12"/>
                  <w:color w:val="0000EE"/>
                  <w:w w:val="91"/>
                </w:rPr>
                <w:t>July 6, 2017, Commission File No. 0-19424)</w:t>
              </w:r>
            </w:hyperlink>
          </w:p>
        </w:tc>
        <w:tc>
          <w:tcPr>
            <w:tcW w:w="7680" w:type="dxa"/>
            <w:vAlign w:val="bottom"/>
            <w:tcBorders>
              <w:top w:val="single" w:sz="8" w:color="0000EE"/>
              <w:bottom w:val="single" w:sz="8" w:color="CCEEFF"/>
            </w:tcBorders>
            <w:gridSpan w:val="10"/>
            <w:shd w:val="clear" w:color="auto" w:fill="CCEEFF"/>
          </w:tcPr>
          <w:p>
            <w:pPr>
              <w:spacing w:after="0"/>
              <w:rPr>
                <w:sz w:val="12"/>
                <w:szCs w:val="12"/>
                <w:color w:val="auto"/>
              </w:rPr>
            </w:pPr>
          </w:p>
        </w:tc>
        <w:tc>
          <w:tcPr>
            <w:tcW w:w="260" w:type="dxa"/>
            <w:vAlign w:val="bottom"/>
            <w:tcBorders>
              <w:top w:val="single" w:sz="8" w:color="CCEEFF"/>
              <w:bottom w:val="single" w:sz="8" w:color="CCEEFF"/>
            </w:tcBorders>
            <w:gridSpan w:val="4"/>
            <w:shd w:val="clear" w:color="auto" w:fill="CCEEFF"/>
          </w:tcPr>
          <w:p>
            <w:pPr>
              <w:spacing w:after="0"/>
              <w:rPr>
                <w:sz w:val="12"/>
                <w:szCs w:val="12"/>
                <w:color w:val="auto"/>
              </w:rPr>
            </w:pPr>
          </w:p>
        </w:tc>
      </w:tr>
      <w:tr>
        <w:trPr>
          <w:trHeight w:val="135"/>
        </w:trPr>
        <w:tc>
          <w:tcPr>
            <w:tcW w:w="520" w:type="dxa"/>
            <w:vAlign w:val="bottom"/>
            <w:gridSpan w:val="3"/>
          </w:tcPr>
          <w:p>
            <w:pPr>
              <w:spacing w:after="0"/>
              <w:rPr>
                <w:sz w:val="11"/>
                <w:szCs w:val="11"/>
                <w:color w:val="auto"/>
              </w:rPr>
            </w:pPr>
          </w:p>
        </w:tc>
        <w:tc>
          <w:tcPr>
            <w:tcW w:w="220" w:type="dxa"/>
            <w:vAlign w:val="bottom"/>
            <w:tcBorders>
              <w:bottom w:val="single" w:sz="8" w:color="0000EE"/>
            </w:tcBorders>
            <w:gridSpan w:val="3"/>
          </w:tcPr>
          <w:p>
            <w:pPr>
              <w:jc w:val="center"/>
              <w:spacing w:after="0" w:line="135" w:lineRule="exact"/>
              <w:rPr>
                <w:rFonts w:ascii="Arial" w:cs="Arial" w:eastAsia="Arial" w:hAnsi="Arial"/>
                <w:sz w:val="12"/>
                <w:szCs w:val="12"/>
                <w:color w:val="0000EE"/>
                <w:w w:val="93"/>
              </w:rPr>
            </w:pPr>
            <w:hyperlink r:id="rId17">
              <w:r>
                <w:rPr>
                  <w:rFonts w:ascii="Arial" w:cs="Arial" w:eastAsia="Arial" w:hAnsi="Arial"/>
                  <w:sz w:val="12"/>
                  <w:szCs w:val="12"/>
                  <w:color w:val="0000EE"/>
                  <w:w w:val="93"/>
                </w:rPr>
                <w:t>10.</w:t>
              </w:r>
              <w:r>
                <w:rPr>
                  <w:rFonts w:ascii="Arial" w:cs="Arial" w:eastAsia="Arial" w:hAnsi="Arial"/>
                  <w:sz w:val="12"/>
                  <w:szCs w:val="12"/>
                  <w:u w:val="single" w:color="auto"/>
                  <w:color w:val="0000EE"/>
                  <w:w w:val="93"/>
                </w:rPr>
                <w:t>1</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980" w:type="dxa"/>
            <w:vAlign w:val="bottom"/>
            <w:tcBorders>
              <w:bottom w:val="single" w:sz="8" w:color="0000EE"/>
            </w:tcBorders>
            <w:gridSpan w:val="13"/>
          </w:tcPr>
          <w:p>
            <w:pPr>
              <w:spacing w:after="0" w:line="135" w:lineRule="exact"/>
              <w:rPr>
                <w:rFonts w:ascii="Arial" w:cs="Arial" w:eastAsia="Arial" w:hAnsi="Arial"/>
                <w:sz w:val="12"/>
                <w:szCs w:val="12"/>
                <w:color w:val="0000EE"/>
                <w:w w:val="90"/>
              </w:rPr>
            </w:pPr>
            <w:hyperlink r:id="rId17">
              <w:r>
                <w:rPr>
                  <w:rFonts w:ascii="Arial" w:cs="Arial" w:eastAsia="Arial" w:hAnsi="Arial"/>
                  <w:sz w:val="12"/>
                  <w:szCs w:val="12"/>
                  <w:color w:val="0000EE"/>
                  <w:w w:val="90"/>
                </w:rPr>
                <w:t>Purchase Agreement, dated June 29, 2017, between EZCORP, Inc., and UBS Securities LLC and Jefferies LLC (incorporated by reference to Exhibit 10.1 to the Company's Current Report on Form 8-K dated</w:t>
              </w:r>
            </w:hyperlink>
          </w:p>
        </w:tc>
        <w:tc>
          <w:tcPr>
            <w:tcW w:w="120" w:type="dxa"/>
            <w:vAlign w:val="bottom"/>
            <w:gridSpan w:val="3"/>
          </w:tcPr>
          <w:p>
            <w:pPr>
              <w:spacing w:after="0"/>
              <w:rPr>
                <w:sz w:val="11"/>
                <w:szCs w:val="11"/>
                <w:color w:val="auto"/>
              </w:rPr>
            </w:pPr>
          </w:p>
        </w:tc>
      </w:tr>
      <w:tr>
        <w:trPr>
          <w:trHeight w:val="124"/>
        </w:trPr>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100" w:type="dxa"/>
            <w:vAlign w:val="bottom"/>
            <w:gridSpan w:val="16"/>
          </w:tcPr>
          <w:p>
            <w:pPr>
              <w:spacing w:after="0" w:line="124" w:lineRule="exact"/>
              <w:rPr>
                <w:rFonts w:ascii="Arial" w:cs="Arial" w:eastAsia="Arial" w:hAnsi="Arial"/>
                <w:sz w:val="12"/>
                <w:szCs w:val="12"/>
                <w:color w:val="0000EE"/>
              </w:rPr>
            </w:pPr>
            <w:hyperlink r:id="rId17">
              <w:r>
                <w:rPr>
                  <w:rFonts w:ascii="Arial" w:cs="Arial" w:eastAsia="Arial" w:hAnsi="Arial"/>
                  <w:sz w:val="12"/>
                  <w:szCs w:val="12"/>
                  <w:color w:val="0000EE"/>
                </w:rPr>
                <w:t>July 6, 2017, Commission File No. 0-19424)</w:t>
              </w:r>
            </w:hyperlink>
          </w:p>
        </w:tc>
      </w:tr>
      <w:tr>
        <w:trPr>
          <w:trHeight w:val="25"/>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7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8"/>
            <w:shd w:val="clear" w:color="auto" w:fill="CCEEFF"/>
          </w:tcPr>
          <w:p>
            <w:pPr>
              <w:jc w:val="center"/>
              <w:ind w:right="620"/>
              <w:spacing w:after="0" w:line="135" w:lineRule="exact"/>
              <w:rPr>
                <w:rFonts w:ascii="Arial" w:cs="Arial" w:eastAsia="Arial" w:hAnsi="Arial"/>
                <w:sz w:val="12"/>
                <w:szCs w:val="12"/>
                <w:color w:val="0000EE"/>
                <w:w w:val="86"/>
              </w:rPr>
            </w:pPr>
            <w:hyperlink w:anchor="page49">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2†</w:t>
              </w:r>
            </w:hyperlink>
          </w:p>
        </w:tc>
        <w:tc>
          <w:tcPr>
            <w:tcW w:w="10100" w:type="dxa"/>
            <w:vAlign w:val="bottom"/>
            <w:gridSpan w:val="16"/>
            <w:shd w:val="clear" w:color="auto" w:fill="CCEEFF"/>
          </w:tcPr>
          <w:p>
            <w:pPr>
              <w:spacing w:after="0" w:line="135" w:lineRule="exact"/>
              <w:rPr>
                <w:rFonts w:ascii="Arial" w:cs="Arial" w:eastAsia="Arial" w:hAnsi="Arial"/>
                <w:sz w:val="12"/>
                <w:szCs w:val="12"/>
                <w:color w:val="0000EE"/>
              </w:rPr>
            </w:pPr>
            <w:hyperlink w:anchor="page49">
              <w:r>
                <w:rPr>
                  <w:rFonts w:ascii="Arial" w:cs="Arial" w:eastAsia="Arial" w:hAnsi="Arial"/>
                  <w:sz w:val="12"/>
                  <w:szCs w:val="12"/>
                  <w:color w:val="0000EE"/>
                </w:rPr>
                <w:t>Call Option Termination Agreement, dated June 29, 2017, between EZCORP, Inc., and UBS AG, London Branch</w:t>
              </w:r>
            </w:hyperlink>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7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8"/>
          </w:tcPr>
          <w:p>
            <w:pPr>
              <w:jc w:val="center"/>
              <w:ind w:right="620"/>
              <w:spacing w:after="0" w:line="135" w:lineRule="exact"/>
              <w:rPr>
                <w:rFonts w:ascii="Arial" w:cs="Arial" w:eastAsia="Arial" w:hAnsi="Arial"/>
                <w:sz w:val="12"/>
                <w:szCs w:val="12"/>
                <w:color w:val="0000EE"/>
                <w:w w:val="86"/>
              </w:rPr>
            </w:pPr>
            <w:hyperlink w:anchor="page55">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3†</w:t>
              </w:r>
            </w:hyperlink>
          </w:p>
        </w:tc>
        <w:tc>
          <w:tcPr>
            <w:tcW w:w="10100" w:type="dxa"/>
            <w:vAlign w:val="bottom"/>
            <w:gridSpan w:val="16"/>
          </w:tcPr>
          <w:p>
            <w:pPr>
              <w:spacing w:after="0" w:line="135" w:lineRule="exact"/>
              <w:rPr>
                <w:rFonts w:ascii="Arial" w:cs="Arial" w:eastAsia="Arial" w:hAnsi="Arial"/>
                <w:sz w:val="12"/>
                <w:szCs w:val="12"/>
                <w:color w:val="0000EE"/>
              </w:rPr>
            </w:pPr>
            <w:hyperlink w:anchor="page55">
              <w:r>
                <w:rPr>
                  <w:rFonts w:ascii="Arial" w:cs="Arial" w:eastAsia="Arial" w:hAnsi="Arial"/>
                  <w:sz w:val="12"/>
                  <w:szCs w:val="12"/>
                  <w:color w:val="0000EE"/>
                </w:rPr>
                <w:t>Warrant Termination Agreement, dated June 29, 2017, between EZCORP, Inc., and UBS AG, London Branch</w:t>
              </w:r>
            </w:hyperlink>
          </w:p>
        </w:tc>
      </w:tr>
      <w:tr>
        <w:trPr>
          <w:trHeight w:val="25"/>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7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3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8"/>
            <w:shd w:val="clear" w:color="auto" w:fill="CCEEFF"/>
          </w:tcPr>
          <w:p>
            <w:pPr>
              <w:jc w:val="center"/>
              <w:ind w:right="620"/>
              <w:spacing w:after="0" w:line="135" w:lineRule="exact"/>
              <w:rPr>
                <w:rFonts w:ascii="Arial" w:cs="Arial" w:eastAsia="Arial" w:hAnsi="Arial"/>
                <w:sz w:val="12"/>
                <w:szCs w:val="12"/>
                <w:color w:val="0000EE"/>
                <w:w w:val="86"/>
              </w:rPr>
            </w:pPr>
            <w:hyperlink w:anchor="page60">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4†</w:t>
              </w:r>
            </w:hyperlink>
          </w:p>
        </w:tc>
        <w:tc>
          <w:tcPr>
            <w:tcW w:w="10100" w:type="dxa"/>
            <w:vAlign w:val="bottom"/>
            <w:gridSpan w:val="16"/>
            <w:shd w:val="clear" w:color="auto" w:fill="CCEEFF"/>
          </w:tcPr>
          <w:p>
            <w:pPr>
              <w:spacing w:after="0" w:line="135" w:lineRule="exact"/>
              <w:rPr>
                <w:rFonts w:ascii="Arial" w:cs="Arial" w:eastAsia="Arial" w:hAnsi="Arial"/>
                <w:sz w:val="12"/>
                <w:szCs w:val="12"/>
                <w:color w:val="0000EE"/>
              </w:rPr>
            </w:pPr>
            <w:hyperlink w:anchor="page60">
              <w:r>
                <w:rPr>
                  <w:rFonts w:ascii="Arial" w:cs="Arial" w:eastAsia="Arial" w:hAnsi="Arial"/>
                  <w:sz w:val="12"/>
                  <w:szCs w:val="12"/>
                  <w:color w:val="0000EE"/>
                </w:rPr>
                <w:t>Call Option Termination Agreement, dated June 29, 2017, between EZCORP, Inc., and Jefferies International Limited</w:t>
              </w:r>
            </w:hyperlink>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7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8"/>
          </w:tcPr>
          <w:p>
            <w:pPr>
              <w:jc w:val="center"/>
              <w:ind w:right="620"/>
              <w:spacing w:after="0" w:line="135" w:lineRule="exact"/>
              <w:rPr>
                <w:rFonts w:ascii="Arial" w:cs="Arial" w:eastAsia="Arial" w:hAnsi="Arial"/>
                <w:sz w:val="12"/>
                <w:szCs w:val="12"/>
                <w:color w:val="0000EE"/>
                <w:w w:val="86"/>
              </w:rPr>
            </w:pPr>
            <w:hyperlink w:anchor="page66">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5†</w:t>
              </w:r>
            </w:hyperlink>
          </w:p>
        </w:tc>
        <w:tc>
          <w:tcPr>
            <w:tcW w:w="10100" w:type="dxa"/>
            <w:vAlign w:val="bottom"/>
            <w:gridSpan w:val="16"/>
          </w:tcPr>
          <w:p>
            <w:pPr>
              <w:spacing w:after="0" w:line="135" w:lineRule="exact"/>
              <w:rPr>
                <w:rFonts w:ascii="Arial" w:cs="Arial" w:eastAsia="Arial" w:hAnsi="Arial"/>
                <w:sz w:val="12"/>
                <w:szCs w:val="12"/>
                <w:color w:val="0000EE"/>
              </w:rPr>
            </w:pPr>
            <w:hyperlink w:anchor="page66">
              <w:r>
                <w:rPr>
                  <w:rFonts w:ascii="Arial" w:cs="Arial" w:eastAsia="Arial" w:hAnsi="Arial"/>
                  <w:sz w:val="12"/>
                  <w:szCs w:val="12"/>
                  <w:color w:val="0000EE"/>
                </w:rPr>
                <w:t>Warrant Termination Agreement, dated June 29, 2017, between EZCORP, Inc., and Jefferies International Limited</w:t>
              </w:r>
            </w:hyperlink>
          </w:p>
        </w:tc>
      </w:tr>
      <w:tr>
        <w:trPr>
          <w:trHeight w:val="25"/>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7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8"/>
            <w:shd w:val="clear" w:color="auto" w:fill="CCEEFF"/>
          </w:tcPr>
          <w:p>
            <w:pPr>
              <w:jc w:val="center"/>
              <w:ind w:right="620"/>
              <w:spacing w:after="0" w:line="135" w:lineRule="exact"/>
              <w:rPr>
                <w:rFonts w:ascii="Arial" w:cs="Arial" w:eastAsia="Arial" w:hAnsi="Arial"/>
                <w:sz w:val="12"/>
                <w:szCs w:val="12"/>
                <w:color w:val="0000EE"/>
                <w:w w:val="86"/>
              </w:rPr>
            </w:pPr>
            <w:hyperlink w:anchor="page70">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6†</w:t>
              </w:r>
            </w:hyperlink>
          </w:p>
        </w:tc>
        <w:tc>
          <w:tcPr>
            <w:tcW w:w="10100" w:type="dxa"/>
            <w:vAlign w:val="bottom"/>
            <w:gridSpan w:val="16"/>
            <w:shd w:val="clear" w:color="auto" w:fill="CCEEFF"/>
          </w:tcPr>
          <w:p>
            <w:pPr>
              <w:spacing w:after="0" w:line="135" w:lineRule="exact"/>
              <w:rPr>
                <w:rFonts w:ascii="Arial" w:cs="Arial" w:eastAsia="Arial" w:hAnsi="Arial"/>
                <w:sz w:val="12"/>
                <w:szCs w:val="12"/>
                <w:color w:val="0000EE"/>
              </w:rPr>
            </w:pPr>
            <w:hyperlink w:anchor="page70">
              <w:r>
                <w:rPr>
                  <w:rFonts w:ascii="Arial" w:cs="Arial" w:eastAsia="Arial" w:hAnsi="Arial"/>
                  <w:sz w:val="12"/>
                  <w:szCs w:val="12"/>
                  <w:color w:val="0000EE"/>
                </w:rPr>
                <w:t>Call Option Termination Agreement, dated June 29, 2017, between EZCORP, Inc., and Morgan Stanley &amp; Co. International plc</w:t>
              </w:r>
            </w:hyperlink>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7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8"/>
          </w:tcPr>
          <w:p>
            <w:pPr>
              <w:jc w:val="center"/>
              <w:ind w:right="620"/>
              <w:spacing w:after="0" w:line="135" w:lineRule="exact"/>
              <w:rPr>
                <w:rFonts w:ascii="Arial" w:cs="Arial" w:eastAsia="Arial" w:hAnsi="Arial"/>
                <w:sz w:val="12"/>
                <w:szCs w:val="12"/>
                <w:color w:val="0000EE"/>
                <w:w w:val="86"/>
              </w:rPr>
            </w:pPr>
            <w:hyperlink w:anchor="page75">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7†</w:t>
              </w:r>
            </w:hyperlink>
          </w:p>
        </w:tc>
        <w:tc>
          <w:tcPr>
            <w:tcW w:w="10100" w:type="dxa"/>
            <w:vAlign w:val="bottom"/>
            <w:gridSpan w:val="16"/>
          </w:tcPr>
          <w:p>
            <w:pPr>
              <w:spacing w:after="0" w:line="135" w:lineRule="exact"/>
              <w:rPr>
                <w:rFonts w:ascii="Arial" w:cs="Arial" w:eastAsia="Arial" w:hAnsi="Arial"/>
                <w:sz w:val="12"/>
                <w:szCs w:val="12"/>
                <w:color w:val="0000EE"/>
              </w:rPr>
            </w:pPr>
            <w:hyperlink w:anchor="page75">
              <w:r>
                <w:rPr>
                  <w:rFonts w:ascii="Arial" w:cs="Arial" w:eastAsia="Arial" w:hAnsi="Arial"/>
                  <w:sz w:val="12"/>
                  <w:szCs w:val="12"/>
                  <w:color w:val="0000EE"/>
                </w:rPr>
                <w:t>Warrant Termination Agreement, dated June 29, 2017, between EZCORP, Inc., and Morgan Stanley &amp; Co. International plc</w:t>
              </w:r>
            </w:hyperlink>
          </w:p>
        </w:tc>
      </w:tr>
      <w:tr>
        <w:trPr>
          <w:trHeight w:val="25"/>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7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35"/>
        </w:trPr>
        <w:tc>
          <w:tcPr>
            <w:tcW w:w="520" w:type="dxa"/>
            <w:vAlign w:val="bottom"/>
            <w:gridSpan w:val="3"/>
            <w:shd w:val="clear" w:color="auto" w:fill="CCEEFF"/>
          </w:tcPr>
          <w:p>
            <w:pPr>
              <w:spacing w:after="0"/>
              <w:rPr>
                <w:sz w:val="11"/>
                <w:szCs w:val="11"/>
                <w:color w:val="auto"/>
              </w:rPr>
            </w:pPr>
          </w:p>
        </w:tc>
        <w:tc>
          <w:tcPr>
            <w:tcW w:w="220" w:type="dxa"/>
            <w:vAlign w:val="bottom"/>
            <w:gridSpan w:val="3"/>
            <w:shd w:val="clear" w:color="auto" w:fill="CCEEFF"/>
          </w:tcPr>
          <w:p>
            <w:pPr>
              <w:jc w:val="center"/>
              <w:spacing w:after="0" w:line="135" w:lineRule="exact"/>
              <w:rPr>
                <w:rFonts w:ascii="Arial" w:cs="Arial" w:eastAsia="Arial" w:hAnsi="Arial"/>
                <w:sz w:val="12"/>
                <w:szCs w:val="12"/>
                <w:color w:val="0000EE"/>
                <w:w w:val="93"/>
              </w:rPr>
            </w:pPr>
            <w:hyperlink r:id="rId18">
              <w:r>
                <w:rPr>
                  <w:rFonts w:ascii="Arial" w:cs="Arial" w:eastAsia="Arial" w:hAnsi="Arial"/>
                  <w:sz w:val="12"/>
                  <w:szCs w:val="12"/>
                  <w:color w:val="0000EE"/>
                  <w:w w:val="93"/>
                </w:rPr>
                <w:t>10.</w:t>
              </w:r>
              <w:r>
                <w:rPr>
                  <w:rFonts w:ascii="Arial" w:cs="Arial" w:eastAsia="Arial" w:hAnsi="Arial"/>
                  <w:sz w:val="12"/>
                  <w:szCs w:val="12"/>
                  <w:u w:val="single" w:color="auto"/>
                  <w:color w:val="0000EE"/>
                  <w:w w:val="93"/>
                </w:rPr>
                <w:t>8</w:t>
              </w:r>
            </w:hyperlink>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100" w:type="dxa"/>
            <w:vAlign w:val="bottom"/>
            <w:gridSpan w:val="16"/>
            <w:shd w:val="clear" w:color="auto" w:fill="CCEEFF"/>
          </w:tcPr>
          <w:p>
            <w:pPr>
              <w:spacing w:after="0" w:line="135" w:lineRule="exact"/>
              <w:rPr>
                <w:rFonts w:ascii="Arial" w:cs="Arial" w:eastAsia="Arial" w:hAnsi="Arial"/>
                <w:sz w:val="12"/>
                <w:szCs w:val="12"/>
                <w:color w:val="0000EE"/>
                <w:w w:val="91"/>
              </w:rPr>
            </w:pPr>
            <w:hyperlink r:id="rId18">
              <w:r>
                <w:rPr>
                  <w:rFonts w:ascii="Arial" w:cs="Arial" w:eastAsia="Arial" w:hAnsi="Arial"/>
                  <w:sz w:val="12"/>
                  <w:szCs w:val="12"/>
                  <w:color w:val="0000EE"/>
                  <w:w w:val="91"/>
                </w:rPr>
                <w:t>Separation Agreement and Release dated May 2, 2017, between EZCORP, Inc., and Mark Ashby, former Chief Financial Officer (incorporated by reference to Exhibit 99.1 to the Company’s Current Report on</w:t>
              </w:r>
            </w:hyperlink>
          </w:p>
        </w:tc>
      </w:tr>
      <w:tr>
        <w:trPr>
          <w:trHeight w:val="149"/>
        </w:trPr>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0000EE"/>
              <w:bottom w:val="single" w:sz="8" w:color="CCEEFF"/>
            </w:tcBorders>
            <w:shd w:val="clear" w:color="auto" w:fill="CCEEFF"/>
          </w:tcPr>
          <w:p>
            <w:pPr>
              <w:spacing w:after="0"/>
              <w:rPr>
                <w:sz w:val="12"/>
                <w:szCs w:val="12"/>
                <w:color w:val="auto"/>
              </w:rPr>
            </w:pPr>
          </w:p>
        </w:tc>
        <w:tc>
          <w:tcPr>
            <w:tcW w:w="140" w:type="dxa"/>
            <w:vAlign w:val="bottom"/>
            <w:tcBorders>
              <w:top w:val="single" w:sz="8" w:color="0000EE"/>
              <w:bottom w:val="single" w:sz="8" w:color="CCEEFF"/>
            </w:tcBorders>
            <w:shd w:val="clear" w:color="auto" w:fill="CCEEFF"/>
          </w:tcPr>
          <w:p>
            <w:pPr>
              <w:spacing w:after="0"/>
              <w:rPr>
                <w:sz w:val="12"/>
                <w:szCs w:val="12"/>
                <w:color w:val="auto"/>
              </w:rPr>
            </w:pPr>
          </w:p>
        </w:tc>
        <w:tc>
          <w:tcPr>
            <w:tcW w:w="4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980" w:type="dxa"/>
            <w:vAlign w:val="bottom"/>
            <w:tcBorders>
              <w:top w:val="single" w:sz="8" w:color="0000EE"/>
              <w:bottom w:val="single" w:sz="8" w:color="0000EE"/>
            </w:tcBorders>
            <w:gridSpan w:val="3"/>
            <w:shd w:val="clear" w:color="auto" w:fill="CCEEFF"/>
          </w:tcPr>
          <w:p>
            <w:pPr>
              <w:spacing w:after="0" w:line="124" w:lineRule="exact"/>
              <w:rPr>
                <w:rFonts w:ascii="Arial" w:cs="Arial" w:eastAsia="Arial" w:hAnsi="Arial"/>
                <w:sz w:val="12"/>
                <w:szCs w:val="12"/>
                <w:color w:val="0000EE"/>
                <w:w w:val="92"/>
              </w:rPr>
            </w:pPr>
            <w:hyperlink r:id="rId18">
              <w:r>
                <w:rPr>
                  <w:rFonts w:ascii="Arial" w:cs="Arial" w:eastAsia="Arial" w:hAnsi="Arial"/>
                  <w:sz w:val="12"/>
                  <w:szCs w:val="12"/>
                  <w:color w:val="0000EE"/>
                  <w:w w:val="92"/>
                </w:rPr>
                <w:t>Form 8-K dated May 3, 2017, Commission File No. 0-19424)</w:t>
              </w:r>
            </w:hyperlink>
          </w:p>
        </w:tc>
        <w:tc>
          <w:tcPr>
            <w:tcW w:w="7040" w:type="dxa"/>
            <w:vAlign w:val="bottom"/>
            <w:tcBorders>
              <w:top w:val="single" w:sz="8" w:color="0000EE"/>
              <w:bottom w:val="single" w:sz="8" w:color="CCEEFF"/>
            </w:tcBorders>
            <w:gridSpan w:val="12"/>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8"/>
          </w:tcPr>
          <w:p>
            <w:pPr>
              <w:jc w:val="center"/>
              <w:ind w:right="620"/>
              <w:spacing w:after="0" w:line="135" w:lineRule="exact"/>
              <w:rPr>
                <w:rFonts w:ascii="Arial" w:cs="Arial" w:eastAsia="Arial" w:hAnsi="Arial"/>
                <w:sz w:val="12"/>
                <w:szCs w:val="12"/>
                <w:color w:val="0000EE"/>
                <w:w w:val="86"/>
              </w:rPr>
            </w:pPr>
            <w:hyperlink w:anchor="page80">
              <w:r>
                <w:rPr>
                  <w:rFonts w:ascii="Arial" w:cs="Arial" w:eastAsia="Arial" w:hAnsi="Arial"/>
                  <w:sz w:val="12"/>
                  <w:szCs w:val="12"/>
                  <w:color w:val="0000EE"/>
                  <w:w w:val="86"/>
                </w:rPr>
                <w:t>31.</w:t>
              </w:r>
              <w:r>
                <w:rPr>
                  <w:rFonts w:ascii="Arial" w:cs="Arial" w:eastAsia="Arial" w:hAnsi="Arial"/>
                  <w:sz w:val="12"/>
                  <w:szCs w:val="12"/>
                  <w:u w:val="single" w:color="auto"/>
                  <w:color w:val="0000EE"/>
                  <w:w w:val="86"/>
                </w:rPr>
                <w:t>1†</w:t>
              </w:r>
            </w:hyperlink>
          </w:p>
        </w:tc>
        <w:tc>
          <w:tcPr>
            <w:tcW w:w="10100" w:type="dxa"/>
            <w:vAlign w:val="bottom"/>
            <w:gridSpan w:val="16"/>
          </w:tcPr>
          <w:p>
            <w:pPr>
              <w:spacing w:after="0" w:line="135" w:lineRule="exact"/>
              <w:rPr>
                <w:rFonts w:ascii="Arial" w:cs="Arial" w:eastAsia="Arial" w:hAnsi="Arial"/>
                <w:sz w:val="12"/>
                <w:szCs w:val="12"/>
                <w:color w:val="0000EE"/>
                <w:w w:val="94"/>
              </w:rPr>
            </w:pPr>
            <w:hyperlink w:anchor="page80">
              <w:r>
                <w:rPr>
                  <w:rFonts w:ascii="Arial" w:cs="Arial" w:eastAsia="Arial" w:hAnsi="Arial"/>
                  <w:sz w:val="12"/>
                  <w:szCs w:val="12"/>
                  <w:color w:val="0000EE"/>
                  <w:w w:val="94"/>
                </w:rPr>
                <w:t>Certification of Stuart I. Grimshaw, Chief Executive Officer, pursuant to Rule 13a-14(a) under the Securities Exchange Act of 1934, as adopted pursuant to Section 302 of the Sarbanes-Oxley Act of 2002</w:t>
              </w:r>
            </w:hyperlink>
          </w:p>
        </w:tc>
      </w:tr>
      <w:tr>
        <w:trPr>
          <w:trHeight w:val="25"/>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7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8"/>
            <w:shd w:val="clear" w:color="auto" w:fill="CCEEFF"/>
          </w:tcPr>
          <w:p>
            <w:pPr>
              <w:jc w:val="center"/>
              <w:ind w:right="620"/>
              <w:spacing w:after="0" w:line="135" w:lineRule="exact"/>
              <w:rPr>
                <w:rFonts w:ascii="Arial" w:cs="Arial" w:eastAsia="Arial" w:hAnsi="Arial"/>
                <w:sz w:val="12"/>
                <w:szCs w:val="12"/>
                <w:color w:val="0000EE"/>
                <w:w w:val="86"/>
              </w:rPr>
            </w:pPr>
            <w:hyperlink w:anchor="page81">
              <w:r>
                <w:rPr>
                  <w:rFonts w:ascii="Arial" w:cs="Arial" w:eastAsia="Arial" w:hAnsi="Arial"/>
                  <w:sz w:val="12"/>
                  <w:szCs w:val="12"/>
                  <w:color w:val="0000EE"/>
                  <w:w w:val="86"/>
                </w:rPr>
                <w:t>31.</w:t>
              </w:r>
              <w:r>
                <w:rPr>
                  <w:rFonts w:ascii="Arial" w:cs="Arial" w:eastAsia="Arial" w:hAnsi="Arial"/>
                  <w:sz w:val="12"/>
                  <w:szCs w:val="12"/>
                  <w:u w:val="single" w:color="auto"/>
                  <w:color w:val="0000EE"/>
                  <w:w w:val="86"/>
                </w:rPr>
                <w:t>2†</w:t>
              </w:r>
            </w:hyperlink>
          </w:p>
        </w:tc>
        <w:tc>
          <w:tcPr>
            <w:tcW w:w="10100" w:type="dxa"/>
            <w:vAlign w:val="bottom"/>
            <w:gridSpan w:val="16"/>
            <w:shd w:val="clear" w:color="auto" w:fill="CCEEFF"/>
          </w:tcPr>
          <w:p>
            <w:pPr>
              <w:spacing w:after="0" w:line="135" w:lineRule="exact"/>
              <w:rPr>
                <w:rFonts w:ascii="Arial" w:cs="Arial" w:eastAsia="Arial" w:hAnsi="Arial"/>
                <w:sz w:val="12"/>
                <w:szCs w:val="12"/>
                <w:color w:val="0000EE"/>
                <w:w w:val="95"/>
              </w:rPr>
            </w:pPr>
            <w:hyperlink w:anchor="page81">
              <w:r>
                <w:rPr>
                  <w:rFonts w:ascii="Arial" w:cs="Arial" w:eastAsia="Arial" w:hAnsi="Arial"/>
                  <w:sz w:val="12"/>
                  <w:szCs w:val="12"/>
                  <w:color w:val="0000EE"/>
                  <w:w w:val="95"/>
                </w:rPr>
                <w:t>Certification of Daniel M. Chism, Chief Financial Officer, pursuant to Rule 13a-14(a) under the Securities Exchange Act of 1934, as adopted pursuant to Section 302 of the Sarbanes-Oxley Act of 2002</w:t>
              </w:r>
            </w:hyperlink>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7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340" w:type="dxa"/>
            <w:vAlign w:val="bottom"/>
            <w:gridSpan w:val="7"/>
          </w:tcPr>
          <w:p>
            <w:pPr>
              <w:jc w:val="center"/>
              <w:spacing w:after="0" w:line="135" w:lineRule="exact"/>
              <w:rPr>
                <w:rFonts w:ascii="Arial" w:cs="Arial" w:eastAsia="Arial" w:hAnsi="Arial"/>
                <w:sz w:val="12"/>
                <w:szCs w:val="12"/>
                <w:color w:val="0000EE"/>
                <w:w w:val="92"/>
              </w:rPr>
            </w:pPr>
            <w:hyperlink w:anchor="page82">
              <w:r>
                <w:rPr>
                  <w:rFonts w:ascii="Arial" w:cs="Arial" w:eastAsia="Arial" w:hAnsi="Arial"/>
                  <w:sz w:val="12"/>
                  <w:szCs w:val="12"/>
                  <w:color w:val="0000EE"/>
                  <w:w w:val="92"/>
                </w:rPr>
                <w:t>32.</w:t>
              </w:r>
              <w:r>
                <w:rPr>
                  <w:rFonts w:ascii="Arial" w:cs="Arial" w:eastAsia="Arial" w:hAnsi="Arial"/>
                  <w:sz w:val="12"/>
                  <w:szCs w:val="12"/>
                  <w:u w:val="single" w:color="auto"/>
                  <w:color w:val="0000EE"/>
                  <w:w w:val="92"/>
                </w:rPr>
                <w:t>1††</w:t>
              </w:r>
            </w:hyperlink>
          </w:p>
        </w:tc>
        <w:tc>
          <w:tcPr>
            <w:tcW w:w="580" w:type="dxa"/>
            <w:vAlign w:val="bottom"/>
            <w:gridSpan w:val="2"/>
          </w:tcPr>
          <w:p>
            <w:pPr>
              <w:spacing w:after="0"/>
              <w:rPr>
                <w:sz w:val="11"/>
                <w:szCs w:val="11"/>
                <w:color w:val="auto"/>
              </w:rPr>
            </w:pPr>
          </w:p>
        </w:tc>
        <w:tc>
          <w:tcPr>
            <w:tcW w:w="10100" w:type="dxa"/>
            <w:vAlign w:val="bottom"/>
            <w:gridSpan w:val="16"/>
          </w:tcPr>
          <w:p>
            <w:pPr>
              <w:spacing w:after="0" w:line="135" w:lineRule="exact"/>
              <w:rPr>
                <w:rFonts w:ascii="Arial" w:cs="Arial" w:eastAsia="Arial" w:hAnsi="Arial"/>
                <w:sz w:val="12"/>
                <w:szCs w:val="12"/>
                <w:color w:val="0000EE"/>
                <w:w w:val="92"/>
              </w:rPr>
            </w:pPr>
            <w:hyperlink w:anchor="page82">
              <w:r>
                <w:rPr>
                  <w:rFonts w:ascii="Arial" w:cs="Arial" w:eastAsia="Arial" w:hAnsi="Arial"/>
                  <w:sz w:val="12"/>
                  <w:szCs w:val="12"/>
                  <w:color w:val="0000EE"/>
                  <w:w w:val="92"/>
                </w:rPr>
                <w:t>Certifications of Stuart I. Grimshaw, Chief Executive Officer, and Daniel M. Chism, Chief Financial Officer, pursuant to 18 U.S.C. Section 1350, as adopted pursuant to Section 906 of the Sarbanes-Oxley Act</w:t>
              </w:r>
            </w:hyperlink>
          </w:p>
        </w:tc>
      </w:tr>
      <w:tr>
        <w:trPr>
          <w:trHeight w:val="124"/>
        </w:trPr>
        <w:tc>
          <w:tcPr>
            <w:tcW w:w="460" w:type="dxa"/>
            <w:vAlign w:val="bottom"/>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0" w:type="dxa"/>
            <w:vAlign w:val="bottom"/>
            <w:tcBorders>
              <w:top w:val="single" w:sz="8" w:color="0000EE"/>
            </w:tcBorders>
            <w:gridSpan w:val="14"/>
          </w:tcPr>
          <w:p>
            <w:pPr>
              <w:spacing w:after="0" w:line="124" w:lineRule="exact"/>
              <w:rPr>
                <w:rFonts w:ascii="Arial" w:cs="Arial" w:eastAsia="Arial" w:hAnsi="Arial"/>
                <w:sz w:val="12"/>
                <w:szCs w:val="12"/>
                <w:color w:val="0000EE"/>
              </w:rPr>
            </w:pPr>
            <w:hyperlink w:anchor="page82">
              <w:r>
                <w:rPr>
                  <w:rFonts w:ascii="Arial" w:cs="Arial" w:eastAsia="Arial" w:hAnsi="Arial"/>
                  <w:sz w:val="12"/>
                  <w:szCs w:val="12"/>
                  <w:color w:val="0000EE"/>
                </w:rPr>
                <w:t>of 2002</w:t>
              </w:r>
            </w:hyperlink>
          </w:p>
        </w:tc>
        <w:tc>
          <w:tcPr>
            <w:tcW w:w="100" w:type="dxa"/>
            <w:vAlign w:val="bottom"/>
            <w:gridSpan w:val="2"/>
          </w:tcPr>
          <w:p>
            <w:pPr>
              <w:spacing w:after="0"/>
              <w:rPr>
                <w:sz w:val="10"/>
                <w:szCs w:val="10"/>
                <w:color w:val="auto"/>
              </w:rPr>
            </w:pPr>
          </w:p>
        </w:tc>
      </w:tr>
      <w:tr>
        <w:trPr>
          <w:trHeight w:val="25"/>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0"/>
        </w:trPr>
        <w:tc>
          <w:tcPr>
            <w:tcW w:w="1380" w:type="dxa"/>
            <w:vAlign w:val="bottom"/>
            <w:gridSpan w:val="10"/>
            <w:shd w:val="clear" w:color="auto" w:fill="CCEEFF"/>
          </w:tcPr>
          <w:p>
            <w:pPr>
              <w:jc w:val="center"/>
              <w:ind w:right="120"/>
              <w:spacing w:after="0"/>
              <w:rPr>
                <w:sz w:val="20"/>
                <w:szCs w:val="20"/>
                <w:color w:val="auto"/>
              </w:rPr>
            </w:pPr>
            <w:r>
              <w:rPr>
                <w:rFonts w:ascii="Arial" w:cs="Arial" w:eastAsia="Arial" w:hAnsi="Arial"/>
                <w:sz w:val="12"/>
                <w:szCs w:val="12"/>
                <w:color w:val="auto"/>
                <w:w w:val="91"/>
              </w:rPr>
              <w:t>101.INS†††</w:t>
            </w:r>
          </w:p>
        </w:tc>
        <w:tc>
          <w:tcPr>
            <w:tcW w:w="10100" w:type="dxa"/>
            <w:vAlign w:val="bottom"/>
            <w:gridSpan w:val="16"/>
            <w:shd w:val="clear" w:color="auto" w:fill="CCEEFF"/>
          </w:tcPr>
          <w:p>
            <w:pPr>
              <w:spacing w:after="0"/>
              <w:rPr>
                <w:sz w:val="20"/>
                <w:szCs w:val="20"/>
                <w:color w:val="auto"/>
              </w:rPr>
            </w:pPr>
            <w:r>
              <w:rPr>
                <w:rFonts w:ascii="Arial" w:cs="Arial" w:eastAsia="Arial" w:hAnsi="Arial"/>
                <w:sz w:val="12"/>
                <w:szCs w:val="12"/>
                <w:color w:val="auto"/>
              </w:rPr>
              <w:t>XBRL Instance Document</w:t>
            </w:r>
          </w:p>
        </w:tc>
      </w:tr>
      <w:tr>
        <w:trPr>
          <w:trHeight w:val="171"/>
        </w:trPr>
        <w:tc>
          <w:tcPr>
            <w:tcW w:w="1380" w:type="dxa"/>
            <w:vAlign w:val="bottom"/>
            <w:gridSpan w:val="10"/>
          </w:tcPr>
          <w:p>
            <w:pPr>
              <w:jc w:val="center"/>
              <w:ind w:right="120"/>
              <w:spacing w:after="0"/>
              <w:rPr>
                <w:sz w:val="20"/>
                <w:szCs w:val="20"/>
                <w:color w:val="auto"/>
              </w:rPr>
            </w:pPr>
            <w:r>
              <w:rPr>
                <w:rFonts w:ascii="Arial" w:cs="Arial" w:eastAsia="Arial" w:hAnsi="Arial"/>
                <w:sz w:val="12"/>
                <w:szCs w:val="12"/>
                <w:color w:val="auto"/>
                <w:w w:val="90"/>
              </w:rPr>
              <w:t>101.SCH†††</w:t>
            </w:r>
          </w:p>
        </w:tc>
        <w:tc>
          <w:tcPr>
            <w:tcW w:w="10100" w:type="dxa"/>
            <w:vAlign w:val="bottom"/>
            <w:gridSpan w:val="16"/>
          </w:tcPr>
          <w:p>
            <w:pPr>
              <w:spacing w:after="0"/>
              <w:rPr>
                <w:sz w:val="20"/>
                <w:szCs w:val="20"/>
                <w:color w:val="auto"/>
              </w:rPr>
            </w:pPr>
            <w:r>
              <w:rPr>
                <w:rFonts w:ascii="Arial" w:cs="Arial" w:eastAsia="Arial" w:hAnsi="Arial"/>
                <w:sz w:val="12"/>
                <w:szCs w:val="12"/>
                <w:color w:val="auto"/>
              </w:rPr>
              <w:t>XBRL Taxonomy Extension Schema Document</w:t>
            </w:r>
          </w:p>
        </w:tc>
      </w:tr>
      <w:tr>
        <w:trPr>
          <w:trHeight w:val="189"/>
        </w:trPr>
        <w:tc>
          <w:tcPr>
            <w:tcW w:w="1380" w:type="dxa"/>
            <w:vAlign w:val="bottom"/>
            <w:gridSpan w:val="10"/>
            <w:shd w:val="clear" w:color="auto" w:fill="CCEEFF"/>
          </w:tcPr>
          <w:p>
            <w:pPr>
              <w:jc w:val="center"/>
              <w:ind w:right="120"/>
              <w:spacing w:after="0"/>
              <w:rPr>
                <w:sz w:val="20"/>
                <w:szCs w:val="20"/>
                <w:color w:val="auto"/>
              </w:rPr>
            </w:pPr>
            <w:r>
              <w:rPr>
                <w:rFonts w:ascii="Arial" w:cs="Arial" w:eastAsia="Arial" w:hAnsi="Arial"/>
                <w:sz w:val="12"/>
                <w:szCs w:val="12"/>
                <w:color w:val="auto"/>
                <w:w w:val="92"/>
              </w:rPr>
              <w:t>101.CAL†††</w:t>
            </w:r>
          </w:p>
        </w:tc>
        <w:tc>
          <w:tcPr>
            <w:tcW w:w="10100" w:type="dxa"/>
            <w:vAlign w:val="bottom"/>
            <w:gridSpan w:val="16"/>
            <w:shd w:val="clear" w:color="auto" w:fill="CCEEFF"/>
          </w:tcPr>
          <w:p>
            <w:pPr>
              <w:spacing w:after="0"/>
              <w:rPr>
                <w:sz w:val="20"/>
                <w:szCs w:val="20"/>
                <w:color w:val="auto"/>
              </w:rPr>
            </w:pPr>
            <w:r>
              <w:rPr>
                <w:rFonts w:ascii="Arial" w:cs="Arial" w:eastAsia="Arial" w:hAnsi="Arial"/>
                <w:sz w:val="12"/>
                <w:szCs w:val="12"/>
                <w:color w:val="auto"/>
              </w:rPr>
              <w:t>XBRL Taxonomy Extension Calculation Linkbase Document</w:t>
            </w:r>
          </w:p>
        </w:tc>
      </w:tr>
      <w:tr>
        <w:trPr>
          <w:trHeight w:val="171"/>
        </w:trPr>
        <w:tc>
          <w:tcPr>
            <w:tcW w:w="1380" w:type="dxa"/>
            <w:vAlign w:val="bottom"/>
            <w:gridSpan w:val="10"/>
          </w:tcPr>
          <w:p>
            <w:pPr>
              <w:jc w:val="center"/>
              <w:ind w:right="120"/>
              <w:spacing w:after="0"/>
              <w:rPr>
                <w:sz w:val="20"/>
                <w:szCs w:val="20"/>
                <w:color w:val="auto"/>
              </w:rPr>
            </w:pPr>
            <w:r>
              <w:rPr>
                <w:rFonts w:ascii="Arial" w:cs="Arial" w:eastAsia="Arial" w:hAnsi="Arial"/>
                <w:sz w:val="12"/>
                <w:szCs w:val="12"/>
                <w:color w:val="auto"/>
                <w:w w:val="93"/>
              </w:rPr>
              <w:t>101.LAB†††</w:t>
            </w:r>
          </w:p>
        </w:tc>
        <w:tc>
          <w:tcPr>
            <w:tcW w:w="10100" w:type="dxa"/>
            <w:vAlign w:val="bottom"/>
            <w:gridSpan w:val="16"/>
          </w:tcPr>
          <w:p>
            <w:pPr>
              <w:spacing w:after="0"/>
              <w:rPr>
                <w:sz w:val="20"/>
                <w:szCs w:val="20"/>
                <w:color w:val="auto"/>
              </w:rPr>
            </w:pPr>
            <w:r>
              <w:rPr>
                <w:rFonts w:ascii="Arial" w:cs="Arial" w:eastAsia="Arial" w:hAnsi="Arial"/>
                <w:sz w:val="12"/>
                <w:szCs w:val="12"/>
                <w:color w:val="auto"/>
              </w:rPr>
              <w:t>XBRL Taxonomy Label Linkbase Document</w:t>
            </w:r>
          </w:p>
        </w:tc>
      </w:tr>
      <w:tr>
        <w:trPr>
          <w:trHeight w:val="189"/>
        </w:trPr>
        <w:tc>
          <w:tcPr>
            <w:tcW w:w="1380" w:type="dxa"/>
            <w:vAlign w:val="bottom"/>
            <w:gridSpan w:val="10"/>
            <w:shd w:val="clear" w:color="auto" w:fill="CCEEFF"/>
          </w:tcPr>
          <w:p>
            <w:pPr>
              <w:jc w:val="center"/>
              <w:ind w:right="120"/>
              <w:spacing w:after="0"/>
              <w:rPr>
                <w:sz w:val="20"/>
                <w:szCs w:val="20"/>
                <w:color w:val="auto"/>
              </w:rPr>
            </w:pPr>
            <w:r>
              <w:rPr>
                <w:rFonts w:ascii="Arial" w:cs="Arial" w:eastAsia="Arial" w:hAnsi="Arial"/>
                <w:sz w:val="12"/>
                <w:szCs w:val="12"/>
                <w:color w:val="auto"/>
                <w:w w:val="91"/>
              </w:rPr>
              <w:t>101.DEF†††</w:t>
            </w:r>
          </w:p>
        </w:tc>
        <w:tc>
          <w:tcPr>
            <w:tcW w:w="10100" w:type="dxa"/>
            <w:vAlign w:val="bottom"/>
            <w:gridSpan w:val="16"/>
            <w:shd w:val="clear" w:color="auto" w:fill="CCEEFF"/>
          </w:tcPr>
          <w:p>
            <w:pPr>
              <w:spacing w:after="0"/>
              <w:rPr>
                <w:sz w:val="20"/>
                <w:szCs w:val="20"/>
                <w:color w:val="auto"/>
              </w:rPr>
            </w:pPr>
            <w:r>
              <w:rPr>
                <w:rFonts w:ascii="Arial" w:cs="Arial" w:eastAsia="Arial" w:hAnsi="Arial"/>
                <w:sz w:val="12"/>
                <w:szCs w:val="12"/>
                <w:color w:val="auto"/>
              </w:rPr>
              <w:t>XBRL Taxonomy Extension Definition Linkbase Document</w:t>
            </w:r>
          </w:p>
        </w:tc>
      </w:tr>
      <w:tr>
        <w:trPr>
          <w:trHeight w:val="162"/>
        </w:trPr>
        <w:tc>
          <w:tcPr>
            <w:tcW w:w="1380" w:type="dxa"/>
            <w:vAlign w:val="bottom"/>
            <w:gridSpan w:val="10"/>
          </w:tcPr>
          <w:p>
            <w:pPr>
              <w:jc w:val="center"/>
              <w:ind w:right="120"/>
              <w:spacing w:after="0"/>
              <w:rPr>
                <w:sz w:val="20"/>
                <w:szCs w:val="20"/>
                <w:color w:val="auto"/>
              </w:rPr>
            </w:pPr>
            <w:r>
              <w:rPr>
                <w:rFonts w:ascii="Arial" w:cs="Arial" w:eastAsia="Arial" w:hAnsi="Arial"/>
                <w:sz w:val="12"/>
                <w:szCs w:val="12"/>
                <w:color w:val="auto"/>
                <w:w w:val="91"/>
              </w:rPr>
              <w:t>101.PRE†††</w:t>
            </w:r>
          </w:p>
        </w:tc>
        <w:tc>
          <w:tcPr>
            <w:tcW w:w="10100" w:type="dxa"/>
            <w:vAlign w:val="bottom"/>
            <w:gridSpan w:val="16"/>
          </w:tcPr>
          <w:p>
            <w:pPr>
              <w:spacing w:after="0"/>
              <w:rPr>
                <w:sz w:val="20"/>
                <w:szCs w:val="20"/>
                <w:color w:val="auto"/>
              </w:rPr>
            </w:pPr>
            <w:r>
              <w:rPr>
                <w:rFonts w:ascii="Arial" w:cs="Arial" w:eastAsia="Arial" w:hAnsi="Arial"/>
                <w:sz w:val="12"/>
                <w:szCs w:val="12"/>
                <w:color w:val="auto"/>
              </w:rPr>
              <w:t>XBRL Taxonomy Extension Presentation Linkbase Document</w:t>
            </w:r>
          </w:p>
        </w:tc>
      </w:tr>
    </w:tbl>
    <w:p>
      <w:pPr>
        <w:spacing w:after="0" w:line="117" w:lineRule="exact"/>
        <w:rPr>
          <w:sz w:val="20"/>
          <w:szCs w:val="20"/>
          <w:color w:val="auto"/>
        </w:rPr>
      </w:pPr>
    </w:p>
    <w:p>
      <w:pPr>
        <w:ind w:left="460" w:hanging="450"/>
        <w:spacing w:after="0"/>
        <w:tabs>
          <w:tab w:leader="none" w:pos="460" w:val="left"/>
        </w:tabs>
        <w:numPr>
          <w:ilvl w:val="0"/>
          <w:numId w:val="32"/>
        </w:numPr>
        <w:rPr>
          <w:rFonts w:ascii="Arial" w:cs="Arial" w:eastAsia="Arial" w:hAnsi="Arial"/>
          <w:sz w:val="11"/>
          <w:szCs w:val="11"/>
          <w:color w:val="auto"/>
        </w:rPr>
      </w:pPr>
      <w:r>
        <w:rPr>
          <w:rFonts w:ascii="Arial" w:cs="Arial" w:eastAsia="Arial" w:hAnsi="Arial"/>
          <w:sz w:val="12"/>
          <w:szCs w:val="12"/>
          <w:color w:val="auto"/>
        </w:rPr>
        <w:t>Filed herewith.</w:t>
      </w:r>
    </w:p>
    <w:p>
      <w:pPr>
        <w:spacing w:after="0" w:line="42" w:lineRule="exact"/>
        <w:rPr>
          <w:sz w:val="20"/>
          <w:szCs w:val="20"/>
          <w:color w:val="auto"/>
        </w:rPr>
      </w:pPr>
    </w:p>
    <w:p>
      <w:pPr>
        <w:ind w:left="460" w:hanging="450"/>
        <w:spacing w:after="0"/>
        <w:tabs>
          <w:tab w:leader="none" w:pos="460" w:val="left"/>
        </w:tabs>
        <w:numPr>
          <w:ilvl w:val="0"/>
          <w:numId w:val="33"/>
        </w:numPr>
        <w:rPr>
          <w:rFonts w:ascii="Arial" w:cs="Arial" w:eastAsia="Arial" w:hAnsi="Arial"/>
          <w:sz w:val="11"/>
          <w:szCs w:val="11"/>
          <w:color w:val="auto"/>
        </w:rPr>
      </w:pPr>
      <w:r>
        <w:rPr>
          <w:rFonts w:ascii="Arial" w:cs="Arial" w:eastAsia="Arial" w:hAnsi="Arial"/>
          <w:sz w:val="12"/>
          <w:szCs w:val="12"/>
          <w:color w:val="auto"/>
        </w:rPr>
        <w:t>Furnished herewith.</w:t>
      </w:r>
    </w:p>
    <w:p>
      <w:pPr>
        <w:spacing w:after="0" w:line="42" w:lineRule="exact"/>
        <w:rPr>
          <w:sz w:val="20"/>
          <w:szCs w:val="20"/>
          <w:color w:val="auto"/>
        </w:rPr>
      </w:pPr>
    </w:p>
    <w:p>
      <w:pPr>
        <w:ind w:left="460" w:right="40" w:hanging="450"/>
        <w:spacing w:after="0" w:line="290" w:lineRule="auto"/>
        <w:tabs>
          <w:tab w:leader="none" w:pos="460" w:val="left"/>
        </w:tabs>
        <w:numPr>
          <w:ilvl w:val="0"/>
          <w:numId w:val="34"/>
        </w:numPr>
        <w:rPr>
          <w:rFonts w:ascii="Arial" w:cs="Arial" w:eastAsia="Arial" w:hAnsi="Arial"/>
          <w:sz w:val="10"/>
          <w:szCs w:val="10"/>
          <w:color w:val="auto"/>
        </w:rPr>
      </w:pPr>
      <w:r>
        <w:rPr>
          <w:rFonts w:ascii="Arial" w:cs="Arial" w:eastAsia="Arial" w:hAnsi="Arial"/>
          <w:sz w:val="11"/>
          <w:szCs w:val="11"/>
          <w:color w:val="auto"/>
        </w:rPr>
        <w:t>Filed herewith as Exhibit 101 to this report are the following formatted in XBRL (Extensible Business Reporting Language): (i) Condensed Consolidated Balance Sheets as of June 30, 2017, June 30, 2016 and September 30, 2016; (ii) Condensed Consolidated Statements of Operations for the three and nine months ended June 30, 2017 and June 30, 2016; (iii) Condensed Consolidated Statements of Comprehensive Income (Loss) for the three and nine months ended June 30, 2017 and June 30, 2016; (iv) Condensed Consolidated Statements of Stockholders' Equity for the nine months ended June 30, 2017 and June 30, 2016; (v) Condensed Consolidated Statements of Cash Flows for the nine months ended June 30, 2017 and June 30, 2016; and (vi) Notes to Interim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128" w:right="199" w:bottom="1440" w:gutter="0" w:footer="0" w:header="0"/>
        </w:sectPr>
      </w:pPr>
    </w:p>
    <w:bookmarkStart w:id="47" w:name="page48"/>
    <w:bookmarkEnd w:id="4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62"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EZCORP, INC.</w:t>
      </w:r>
    </w:p>
    <w:p>
      <w:pPr>
        <w:spacing w:after="0" w:line="222" w:lineRule="exact"/>
        <w:rPr>
          <w:sz w:val="20"/>
          <w:szCs w:val="20"/>
          <w:color w:val="auto"/>
        </w:rPr>
      </w:pPr>
    </w:p>
    <w:p>
      <w:pPr>
        <w:ind w:left="300"/>
        <w:spacing w:after="0"/>
        <w:tabs>
          <w:tab w:leader="none" w:pos="6060" w:val="left"/>
        </w:tabs>
        <w:rPr>
          <w:sz w:val="20"/>
          <w:szCs w:val="20"/>
          <w:color w:val="auto"/>
        </w:rPr>
      </w:pPr>
      <w:r>
        <w:rPr>
          <w:rFonts w:ascii="Arial" w:cs="Arial" w:eastAsia="Arial" w:hAnsi="Arial"/>
          <w:sz w:val="12"/>
          <w:szCs w:val="12"/>
          <w:color w:val="auto"/>
        </w:rPr>
        <w:t>Date: July 31, 2017</w:t>
      </w:r>
      <w:r>
        <w:rPr>
          <w:sz w:val="20"/>
          <w:szCs w:val="20"/>
          <w:color w:val="auto"/>
        </w:rPr>
        <w:tab/>
      </w:r>
      <w:r>
        <w:rPr>
          <w:rFonts w:ascii="Arial" w:cs="Arial" w:eastAsia="Arial" w:hAnsi="Arial"/>
          <w:sz w:val="11"/>
          <w:szCs w:val="11"/>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20955</wp:posOffset>
            </wp:positionV>
            <wp:extent cx="341439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414395" cy="5715"/>
                    </a:xfrm>
                    <a:prstGeom prst="rect">
                      <a:avLst/>
                    </a:prstGeom>
                    <a:noFill/>
                  </pic:spPr>
                </pic:pic>
              </a:graphicData>
            </a:graphic>
          </wp:anchor>
        </w:drawing>
      </w:r>
    </w:p>
    <w:p>
      <w:pPr>
        <w:spacing w:after="0" w:line="31"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David McGuire,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1"/>
          <w:szCs w:val="11"/>
          <w:color w:val="auto"/>
        </w:rPr>
        <w:t>Deputy Chief Financial Officer and Chief Accounting Officer</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(principal accounting officer)</w:t>
      </w:r>
    </w:p>
    <w:p>
      <w:pPr>
        <w:spacing w:after="0" w:line="177"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239"/>
          </w:cols>
          <w:pgMar w:left="220" w:top="128"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CALL OPTION TERMINATION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dated as of June 29,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Between EZCORP, INC. and UBS AG, LONDON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2923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72923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THIS CALL OPTION TERMINATION AGREEMENT (this “</w:t>
      </w:r>
      <w:r>
        <w:rPr>
          <w:rFonts w:ascii="Arial" w:cs="Arial" w:eastAsia="Arial" w:hAnsi="Arial"/>
          <w:sz w:val="12"/>
          <w:szCs w:val="12"/>
          <w:b w:val="1"/>
          <w:bCs w:val="1"/>
          <w:color w:val="auto"/>
        </w:rPr>
        <w:t>Agreement</w:t>
      </w:r>
      <w:r>
        <w:rPr>
          <w:rFonts w:ascii="Arial" w:cs="Arial" w:eastAsia="Arial" w:hAnsi="Arial"/>
          <w:sz w:val="12"/>
          <w:szCs w:val="12"/>
          <w:color w:val="auto"/>
        </w:rPr>
        <w:t>”) with respect to the Call Option Confirmations (as defined below) is made as of June 29, 2017, between EZCORP, Inc. (“</w:t>
      </w:r>
      <w:r>
        <w:rPr>
          <w:rFonts w:ascii="Arial" w:cs="Arial" w:eastAsia="Arial" w:hAnsi="Arial"/>
          <w:sz w:val="12"/>
          <w:szCs w:val="12"/>
          <w:b w:val="1"/>
          <w:bCs w:val="1"/>
          <w:color w:val="auto"/>
        </w:rPr>
        <w:t>Company</w:t>
      </w:r>
      <w:r>
        <w:rPr>
          <w:rFonts w:ascii="Arial" w:cs="Arial" w:eastAsia="Arial" w:hAnsi="Arial"/>
          <w:sz w:val="12"/>
          <w:szCs w:val="12"/>
          <w:color w:val="auto"/>
        </w:rPr>
        <w:t>”) and UBS AG, London Branch (“</w:t>
      </w:r>
      <w:r>
        <w:rPr>
          <w:rFonts w:ascii="Arial" w:cs="Arial" w:eastAsia="Arial" w:hAnsi="Arial"/>
          <w:sz w:val="12"/>
          <w:szCs w:val="12"/>
          <w:b w:val="1"/>
          <w:bCs w:val="1"/>
          <w:color w:val="auto"/>
        </w:rPr>
        <w:t>Dealer</w:t>
      </w:r>
      <w:r>
        <w:rPr>
          <w:rFonts w:ascii="Arial" w:cs="Arial" w:eastAsia="Arial" w:hAnsi="Arial"/>
          <w:sz w:val="12"/>
          <w:szCs w:val="12"/>
          <w:color w:val="auto"/>
        </w:rPr>
        <w:t>”).</w:t>
      </w:r>
    </w:p>
    <w:p>
      <w:pPr>
        <w:spacing w:after="0" w:line="80" w:lineRule="exact"/>
        <w:rPr>
          <w:sz w:val="20"/>
          <w:szCs w:val="20"/>
          <w:color w:val="auto"/>
        </w:rPr>
      </w:pPr>
    </w:p>
    <w:p>
      <w:pPr>
        <w:ind w:firstLine="432"/>
        <w:spacing w:after="0" w:line="388" w:lineRule="auto"/>
        <w:rPr>
          <w:sz w:val="20"/>
          <w:szCs w:val="20"/>
          <w:color w:val="auto"/>
        </w:rPr>
      </w:pPr>
      <w:r>
        <w:rPr>
          <w:rFonts w:ascii="Arial" w:cs="Arial" w:eastAsia="Arial" w:hAnsi="Arial"/>
          <w:sz w:val="10"/>
          <w:szCs w:val="10"/>
          <w:color w:val="auto"/>
        </w:rPr>
        <w:t>WHEREAS, Company issued $200,000,000 principal amount of 2.125% Cash Convertible Senior Notes due 2019 (the “</w:t>
      </w:r>
      <w:r>
        <w:rPr>
          <w:rFonts w:ascii="Arial" w:cs="Arial" w:eastAsia="Arial" w:hAnsi="Arial"/>
          <w:sz w:val="10"/>
          <w:szCs w:val="10"/>
          <w:b w:val="1"/>
          <w:bCs w:val="1"/>
          <w:color w:val="auto"/>
        </w:rPr>
        <w:t>Convertible Notes</w:t>
      </w:r>
      <w:r>
        <w:rPr>
          <w:rFonts w:ascii="Arial" w:cs="Arial" w:eastAsia="Arial" w:hAnsi="Arial"/>
          <w:sz w:val="10"/>
          <w:szCs w:val="10"/>
          <w:color w:val="auto"/>
        </w:rPr>
        <w:t>”), and another $30,000,000 principal amount of Convertible Notes in connection with the initial purchasers’ option to purchase additional Convertible Notes (the “</w:t>
      </w:r>
      <w:r>
        <w:rPr>
          <w:rFonts w:ascii="Arial" w:cs="Arial" w:eastAsia="Arial" w:hAnsi="Arial"/>
          <w:sz w:val="10"/>
          <w:szCs w:val="10"/>
          <w:b w:val="1"/>
          <w:bCs w:val="1"/>
          <w:color w:val="auto"/>
        </w:rPr>
        <w:t>Additional Notes</w:t>
      </w:r>
      <w:r>
        <w:rPr>
          <w:rFonts w:ascii="Arial" w:cs="Arial" w:eastAsia="Arial" w:hAnsi="Arial"/>
          <w:sz w:val="10"/>
          <w:szCs w:val="10"/>
          <w:color w:val="auto"/>
        </w:rPr>
        <w:t>”), in each case, pursuant to an Indenture dated as of June 23, 2014 between Company and Wells Fargo Bank, National Association, as trustee;</w:t>
      </w:r>
    </w:p>
    <w:p>
      <w:pPr>
        <w:spacing w:after="0" w:line="33"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WHEREAS, in connection with the pricing of the Convertible Notes, Company and Dealer entered into a Base Call Option Transaction (the “</w:t>
      </w:r>
      <w:r>
        <w:rPr>
          <w:rFonts w:ascii="Arial" w:cs="Arial" w:eastAsia="Arial" w:hAnsi="Arial"/>
          <w:sz w:val="12"/>
          <w:szCs w:val="12"/>
          <w:b w:val="1"/>
          <w:bCs w:val="1"/>
          <w:color w:val="auto"/>
        </w:rPr>
        <w:t>Base Call Option Transaction</w:t>
      </w:r>
      <w:r>
        <w:rPr>
          <w:rFonts w:ascii="Arial" w:cs="Arial" w:eastAsia="Arial" w:hAnsi="Arial"/>
          <w:sz w:val="12"/>
          <w:szCs w:val="12"/>
          <w:color w:val="auto"/>
        </w:rPr>
        <w:t>”) pursuant to a letter agreement re: Call Option Transaction dated as of June 17, 2014 confirming the terms of a call option transaction (as amended, modified, terminated or unwound from time to time, the “</w:t>
      </w:r>
      <w:r>
        <w:rPr>
          <w:rFonts w:ascii="Arial" w:cs="Arial" w:eastAsia="Arial" w:hAnsi="Arial"/>
          <w:sz w:val="12"/>
          <w:szCs w:val="12"/>
          <w:b w:val="1"/>
          <w:bCs w:val="1"/>
          <w:color w:val="auto"/>
        </w:rPr>
        <w:t>Base Call Option Confirmation</w:t>
      </w:r>
      <w:r>
        <w:rPr>
          <w:rFonts w:ascii="Arial" w:cs="Arial" w:eastAsia="Arial" w:hAnsi="Arial"/>
          <w:sz w:val="12"/>
          <w:szCs w:val="12"/>
          <w:color w:val="auto"/>
        </w:rPr>
        <w:t>”);</w:t>
      </w:r>
    </w:p>
    <w:p>
      <w:pPr>
        <w:spacing w:after="0" w:line="80" w:lineRule="exact"/>
        <w:rPr>
          <w:sz w:val="20"/>
          <w:szCs w:val="20"/>
          <w:color w:val="auto"/>
        </w:rPr>
      </w:pPr>
    </w:p>
    <w:p>
      <w:pPr>
        <w:ind w:right="40" w:firstLine="432"/>
        <w:spacing w:after="0" w:line="267" w:lineRule="auto"/>
        <w:rPr>
          <w:sz w:val="20"/>
          <w:szCs w:val="20"/>
          <w:color w:val="auto"/>
        </w:rPr>
      </w:pPr>
      <w:r>
        <w:rPr>
          <w:rFonts w:ascii="Arial" w:cs="Arial" w:eastAsia="Arial" w:hAnsi="Arial"/>
          <w:sz w:val="12"/>
          <w:szCs w:val="12"/>
          <w:color w:val="auto"/>
        </w:rPr>
        <w:t>WHEREAS, in connection with the Additional Notes, Company and Dealer entered into an Additional Call Option Transaction (the “</w:t>
      </w:r>
      <w:r>
        <w:rPr>
          <w:rFonts w:ascii="Arial" w:cs="Arial" w:eastAsia="Arial" w:hAnsi="Arial"/>
          <w:sz w:val="12"/>
          <w:szCs w:val="12"/>
          <w:b w:val="1"/>
          <w:bCs w:val="1"/>
          <w:color w:val="auto"/>
        </w:rPr>
        <w:t>Additional Call Option Transaction</w:t>
      </w:r>
      <w:r>
        <w:rPr>
          <w:rFonts w:ascii="Arial" w:cs="Arial" w:eastAsia="Arial" w:hAnsi="Arial"/>
          <w:sz w:val="12"/>
          <w:szCs w:val="12"/>
          <w:color w:val="auto"/>
        </w:rPr>
        <w:t>” and, together with the Base Call Option Transaction, the “</w:t>
      </w:r>
      <w:r>
        <w:rPr>
          <w:rFonts w:ascii="Arial" w:cs="Arial" w:eastAsia="Arial" w:hAnsi="Arial"/>
          <w:sz w:val="12"/>
          <w:szCs w:val="12"/>
          <w:b w:val="1"/>
          <w:bCs w:val="1"/>
          <w:color w:val="auto"/>
        </w:rPr>
        <w:t>Call Option Transactions</w:t>
      </w:r>
      <w:r>
        <w:rPr>
          <w:rFonts w:ascii="Arial" w:cs="Arial" w:eastAsia="Arial" w:hAnsi="Arial"/>
          <w:sz w:val="12"/>
          <w:szCs w:val="12"/>
          <w:color w:val="auto"/>
        </w:rPr>
        <w:t>”) pursuant to a letter agreement re: Additional Call Option Transaction dated as of June 27, 2014 confirming the terms of an additional call option transaction (as amended, modified, terminated or unwound from time to time, the “</w:t>
      </w:r>
      <w:r>
        <w:rPr>
          <w:rFonts w:ascii="Arial" w:cs="Arial" w:eastAsia="Arial" w:hAnsi="Arial"/>
          <w:sz w:val="12"/>
          <w:szCs w:val="12"/>
          <w:b w:val="1"/>
          <w:bCs w:val="1"/>
          <w:color w:val="auto"/>
        </w:rPr>
        <w:t>Additional Call Option Confirmation</w:t>
      </w:r>
      <w:r>
        <w:rPr>
          <w:rFonts w:ascii="Arial" w:cs="Arial" w:eastAsia="Arial" w:hAnsi="Arial"/>
          <w:sz w:val="12"/>
          <w:szCs w:val="12"/>
          <w:color w:val="auto"/>
        </w:rPr>
        <w:t>” and, together with the Base Call Option Confirmation, the “</w:t>
      </w:r>
      <w:r>
        <w:rPr>
          <w:rFonts w:ascii="Arial" w:cs="Arial" w:eastAsia="Arial" w:hAnsi="Arial"/>
          <w:sz w:val="12"/>
          <w:szCs w:val="12"/>
          <w:b w:val="1"/>
          <w:bCs w:val="1"/>
          <w:color w:val="auto"/>
        </w:rPr>
        <w:t>Call Option Confirmations</w:t>
      </w:r>
      <w:r>
        <w:rPr>
          <w:rFonts w:ascii="Arial" w:cs="Arial" w:eastAsia="Arial" w:hAnsi="Arial"/>
          <w:sz w:val="12"/>
          <w:szCs w:val="12"/>
          <w:color w:val="auto"/>
        </w:rPr>
        <w:t>”);</w:t>
      </w:r>
    </w:p>
    <w:p>
      <w:pPr>
        <w:spacing w:after="0" w:line="89"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WHEREAS, in connection with a repurchase by Company of 35,000 Convertible Notes in $1,000 principal amount denominations (the “</w:t>
      </w:r>
      <w:r>
        <w:rPr>
          <w:rFonts w:ascii="Arial" w:cs="Arial" w:eastAsia="Arial" w:hAnsi="Arial"/>
          <w:sz w:val="12"/>
          <w:szCs w:val="12"/>
          <w:b w:val="1"/>
          <w:bCs w:val="1"/>
          <w:color w:val="auto"/>
        </w:rPr>
        <w:t>Notes Repurchase</w:t>
      </w:r>
      <w:r>
        <w:rPr>
          <w:rFonts w:ascii="Arial" w:cs="Arial" w:eastAsia="Arial" w:hAnsi="Arial"/>
          <w:sz w:val="12"/>
          <w:szCs w:val="12"/>
          <w:color w:val="auto"/>
        </w:rPr>
        <w:t>”, and such number of Convertible Notes in $1,000 principal amount denominations, the “</w:t>
      </w:r>
      <w:r>
        <w:rPr>
          <w:rFonts w:ascii="Arial" w:cs="Arial" w:eastAsia="Arial" w:hAnsi="Arial"/>
          <w:sz w:val="12"/>
          <w:szCs w:val="12"/>
          <w:b w:val="1"/>
          <w:bCs w:val="1"/>
          <w:color w:val="auto"/>
        </w:rPr>
        <w:t>Repurchase Number</w:t>
      </w:r>
      <w:r>
        <w:rPr>
          <w:rFonts w:ascii="Arial" w:cs="Arial" w:eastAsia="Arial" w:hAnsi="Arial"/>
          <w:sz w:val="12"/>
          <w:szCs w:val="12"/>
          <w:color w:val="auto"/>
        </w:rPr>
        <w:t>”), Company has requested a full termination of the Additional Call Option Transaction and partial termination of the Base Call Option Transaction;</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their mutual covenants herein contained, the parties hereto, intending to be legally bound, hereby mutually covenant and agree as follows:</w:t>
      </w:r>
    </w:p>
    <w:p>
      <w:pPr>
        <w:spacing w:after="0" w:line="123" w:lineRule="exact"/>
        <w:rPr>
          <w:sz w:val="20"/>
          <w:szCs w:val="20"/>
          <w:color w:val="auto"/>
        </w:rPr>
      </w:pPr>
    </w:p>
    <w:p>
      <w:pPr>
        <w:ind w:left="640" w:hanging="216"/>
        <w:spacing w:after="0"/>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u w:val="single" w:color="auto"/>
          <w:color w:val="auto"/>
        </w:rPr>
        <w:t>Defined Terms</w:t>
      </w:r>
      <w:r>
        <w:rPr>
          <w:rFonts w:ascii="Arial" w:cs="Arial" w:eastAsia="Arial" w:hAnsi="Arial"/>
          <w:sz w:val="12"/>
          <w:szCs w:val="12"/>
          <w:color w:val="auto"/>
        </w:rPr>
        <w:t>. Any capitalized term not otherwise defined herein shall have the meaning set forth for such term in the Call Option Confirmations.</w:t>
      </w:r>
    </w:p>
    <w:p>
      <w:pPr>
        <w:spacing w:after="0" w:line="150" w:lineRule="exact"/>
        <w:rPr>
          <w:rFonts w:ascii="Arial" w:cs="Arial" w:eastAsia="Arial" w:hAnsi="Arial"/>
          <w:sz w:val="12"/>
          <w:szCs w:val="12"/>
          <w:color w:val="auto"/>
        </w:rPr>
      </w:pPr>
    </w:p>
    <w:p>
      <w:pPr>
        <w:jc w:val="both"/>
        <w:ind w:firstLine="424"/>
        <w:spacing w:after="0" w:line="257" w:lineRule="auto"/>
        <w:tabs>
          <w:tab w:leader="none" w:pos="696" w:val="left"/>
        </w:tabs>
        <w:numPr>
          <w:ilvl w:val="0"/>
          <w:numId w:val="35"/>
        </w:numPr>
        <w:rPr>
          <w:rFonts w:ascii="Arial" w:cs="Arial" w:eastAsia="Arial" w:hAnsi="Arial"/>
          <w:sz w:val="12"/>
          <w:szCs w:val="12"/>
          <w:color w:val="auto"/>
        </w:rPr>
      </w:pPr>
      <w:r>
        <w:rPr>
          <w:rFonts w:ascii="Arial" w:cs="Arial" w:eastAsia="Arial" w:hAnsi="Arial"/>
          <w:sz w:val="12"/>
          <w:szCs w:val="12"/>
          <w:u w:val="single" w:color="auto"/>
          <w:color w:val="auto"/>
        </w:rPr>
        <w:t>Termination and Amendment</w:t>
      </w:r>
      <w:r>
        <w:rPr>
          <w:rFonts w:ascii="Arial" w:cs="Arial" w:eastAsia="Arial" w:hAnsi="Arial"/>
          <w:sz w:val="12"/>
          <w:szCs w:val="12"/>
          <w:color w:val="auto"/>
        </w:rPr>
        <w:t>. Notwithstanding anything to the contrary in the Call Option Confirmations, Company and Dealer agree that, effective on the date hereof, (i) the Additional Call Option Transaction shall automatically terminate and all of the respective rights and obligations of the parties under the Additional Call Option Confirmation shall be terminated, cancelled and extinguished and (ii) the Number of Options under the Base Call Option Transaction shall be reduced to 195,000, and in connection therewith Dealer shall be required to pay to Company the Cash Settlement Amount on the Payment Date pursuant to Sections 3 and 4 below. For the avoidance of doubt, the parties agree that the Notes Repurchase shall be disregarded for all purposes under the Call Option Transactions, and without limiting the foregoing, no Early Termination Date shall be deemed to occur with respect to any Call Option Transaction or any portion thereof on account of the Notes Repurchase.</w:t>
      </w:r>
    </w:p>
    <w:p>
      <w:pPr>
        <w:spacing w:after="0" w:line="125" w:lineRule="exact"/>
        <w:rPr>
          <w:rFonts w:ascii="Arial" w:cs="Arial" w:eastAsia="Arial" w:hAnsi="Arial"/>
          <w:sz w:val="12"/>
          <w:szCs w:val="12"/>
          <w:color w:val="auto"/>
        </w:rPr>
      </w:pPr>
    </w:p>
    <w:p>
      <w:pPr>
        <w:jc w:val="both"/>
        <w:ind w:firstLine="424"/>
        <w:spacing w:after="0" w:line="257" w:lineRule="auto"/>
        <w:tabs>
          <w:tab w:leader="none" w:pos="660" w:val="left"/>
        </w:tabs>
        <w:numPr>
          <w:ilvl w:val="0"/>
          <w:numId w:val="35"/>
        </w:numPr>
        <w:rPr>
          <w:rFonts w:ascii="Arial" w:cs="Arial" w:eastAsia="Arial" w:hAnsi="Arial"/>
          <w:sz w:val="12"/>
          <w:szCs w:val="12"/>
          <w:color w:val="auto"/>
        </w:rPr>
      </w:pPr>
      <w:r>
        <w:rPr>
          <w:rFonts w:ascii="Arial" w:cs="Arial" w:eastAsia="Arial" w:hAnsi="Arial"/>
          <w:sz w:val="12"/>
          <w:szCs w:val="12"/>
          <w:u w:val="single" w:color="auto"/>
          <w:color w:val="auto"/>
        </w:rPr>
        <w:t>Procedures for Hedge Unwind</w:t>
      </w:r>
      <w:r>
        <w:rPr>
          <w:rFonts w:ascii="Arial" w:cs="Arial" w:eastAsia="Arial" w:hAnsi="Arial"/>
          <w:sz w:val="12"/>
          <w:szCs w:val="12"/>
          <w:color w:val="auto"/>
        </w:rPr>
        <w:t>. On each Hedge Unwind Date (as defined below), Dealer (or an affiliate of Dealer), for the account of Dealer, shall unwind a portion of its hedge of the Options underlying the Call Option Transactions being terminated hereunder (the period of ten consecutive Scheduled Trading Days beginning on and including the Exchange Business Day following the Effective Date (as defined below, and such Exchange Business Day, the “</w:t>
      </w:r>
      <w:r>
        <w:rPr>
          <w:rFonts w:ascii="Arial" w:cs="Arial" w:eastAsia="Arial" w:hAnsi="Arial"/>
          <w:sz w:val="12"/>
          <w:szCs w:val="12"/>
          <w:b w:val="1"/>
          <w:bCs w:val="1"/>
          <w:color w:val="auto"/>
        </w:rPr>
        <w:t>Start Date</w:t>
      </w:r>
      <w:r>
        <w:rPr>
          <w:rFonts w:ascii="Arial" w:cs="Arial" w:eastAsia="Arial" w:hAnsi="Arial"/>
          <w:sz w:val="12"/>
          <w:szCs w:val="12"/>
          <w:color w:val="auto"/>
        </w:rPr>
        <w:t>”) being collectively referred to as the “</w:t>
      </w:r>
      <w:r>
        <w:rPr>
          <w:rFonts w:ascii="Arial" w:cs="Arial" w:eastAsia="Arial" w:hAnsi="Arial"/>
          <w:sz w:val="12"/>
          <w:szCs w:val="12"/>
          <w:b w:val="1"/>
          <w:bCs w:val="1"/>
          <w:color w:val="auto"/>
        </w:rPr>
        <w:t>Hedge Unwind Period</w:t>
      </w:r>
      <w:r>
        <w:rPr>
          <w:rFonts w:ascii="Arial" w:cs="Arial" w:eastAsia="Arial" w:hAnsi="Arial"/>
          <w:sz w:val="12"/>
          <w:szCs w:val="12"/>
          <w:color w:val="auto"/>
        </w:rPr>
        <w:t>” (subject to extension pursuant to the proviso in the immediately following sentence)). A “</w:t>
      </w:r>
      <w:r>
        <w:rPr>
          <w:rFonts w:ascii="Arial" w:cs="Arial" w:eastAsia="Arial" w:hAnsi="Arial"/>
          <w:sz w:val="12"/>
          <w:szCs w:val="12"/>
          <w:b w:val="1"/>
          <w:bCs w:val="1"/>
          <w:color w:val="auto"/>
        </w:rPr>
        <w:t>Hedge Unwind Date</w:t>
      </w:r>
      <w:r>
        <w:rPr>
          <w:rFonts w:ascii="Arial" w:cs="Arial" w:eastAsia="Arial" w:hAnsi="Arial"/>
          <w:sz w:val="12"/>
          <w:szCs w:val="12"/>
          <w:color w:val="auto"/>
        </w:rPr>
        <w:t xml:space="preserve">” means the Start Date and each Scheduled Trading Day in the Hedge Unwind Period;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any such date is a Disrupted Day in whole, such date shall not constitute a Hedge Unwind Date, and an additional Hedge Unwind Date shall occur on the Scheduled Trading Day after the date that would otherwise be the final Hedge Unwind Date.</w:t>
      </w:r>
    </w:p>
    <w:p>
      <w:pPr>
        <w:sectPr>
          <w:pgSz w:w="11900" w:h="16838" w:orient="portrait"/>
          <w:cols w:equalWidth="0" w:num="1">
            <w:col w:w="11480"/>
          </w:cols>
          <w:pgMar w:left="220" w:top="680" w:right="199" w:bottom="1440" w:gutter="0" w:footer="0" w:header="0"/>
        </w:sectPr>
      </w:pPr>
    </w:p>
    <w:bookmarkStart w:id="49" w:name="page50"/>
    <w:bookmarkEnd w:id="49"/>
    <w:p>
      <w:pPr>
        <w:jc w:val="both"/>
        <w:ind w:firstLine="424"/>
        <w:spacing w:after="0" w:line="279" w:lineRule="auto"/>
        <w:tabs>
          <w:tab w:leader="none" w:pos="687" w:val="left"/>
        </w:tabs>
        <w:numPr>
          <w:ilvl w:val="0"/>
          <w:numId w:val="36"/>
        </w:numPr>
        <w:rPr>
          <w:rFonts w:ascii="Arial" w:cs="Arial" w:eastAsia="Arial" w:hAnsi="Arial"/>
          <w:sz w:val="11"/>
          <w:szCs w:val="11"/>
          <w:color w:val="auto"/>
        </w:rPr>
      </w:pPr>
      <w:r>
        <w:rPr>
          <w:rFonts w:ascii="Arial" w:cs="Arial" w:eastAsia="Arial" w:hAnsi="Arial"/>
          <w:sz w:val="11"/>
          <w:szCs w:val="11"/>
          <w:u w:val="single" w:color="auto"/>
          <w:color w:val="auto"/>
        </w:rPr>
        <w:t>Payments and Deliveries</w:t>
      </w:r>
      <w:r>
        <w:rPr>
          <w:rFonts w:ascii="Arial" w:cs="Arial" w:eastAsia="Arial" w:hAnsi="Arial"/>
          <w:sz w:val="11"/>
          <w:szCs w:val="11"/>
          <w:color w:val="auto"/>
        </w:rPr>
        <w:t>. On the third Scheduled Trading Day following the final Hedge Unwind Date or, if such day is not a Clearance System Business Day, on the next Clearance System Business Day immediately following such day (the “</w:t>
      </w:r>
      <w:r>
        <w:rPr>
          <w:rFonts w:ascii="Arial" w:cs="Arial" w:eastAsia="Arial" w:hAnsi="Arial"/>
          <w:sz w:val="11"/>
          <w:szCs w:val="11"/>
          <w:b w:val="1"/>
          <w:bCs w:val="1"/>
          <w:color w:val="auto"/>
        </w:rPr>
        <w:t>Payment Date</w:t>
      </w:r>
      <w:r>
        <w:rPr>
          <w:rFonts w:ascii="Arial" w:cs="Arial" w:eastAsia="Arial" w:hAnsi="Arial"/>
          <w:sz w:val="11"/>
          <w:szCs w:val="11"/>
          <w:color w:val="auto"/>
        </w:rPr>
        <w:t>”), Dealer shall pay to Company in immediately available funds cash in an amount equal to the Cash Settlement Amount. The “</w:t>
      </w:r>
      <w:r>
        <w:rPr>
          <w:rFonts w:ascii="Arial" w:cs="Arial" w:eastAsia="Arial" w:hAnsi="Arial"/>
          <w:sz w:val="11"/>
          <w:szCs w:val="11"/>
          <w:b w:val="1"/>
          <w:bCs w:val="1"/>
          <w:color w:val="auto"/>
        </w:rPr>
        <w:t>Cash Settlement Amount</w:t>
      </w:r>
      <w:r>
        <w:rPr>
          <w:rFonts w:ascii="Arial" w:cs="Arial" w:eastAsia="Arial" w:hAnsi="Arial"/>
          <w:sz w:val="11"/>
          <w:szCs w:val="11"/>
          <w:color w:val="auto"/>
        </w:rPr>
        <w:t>” shall mean an amount in US Dollars determined by Dealer according to the table set forth in Schedule A attached hereto (using linear interpolation or commercially reasonable extrapolation by Dealer, as applicable, to determine the Cash Settlement Amount for any Average VWAP not specifically appearing in Schedule A). “</w:t>
      </w:r>
      <w:r>
        <w:rPr>
          <w:rFonts w:ascii="Arial" w:cs="Arial" w:eastAsia="Arial" w:hAnsi="Arial"/>
          <w:sz w:val="11"/>
          <w:szCs w:val="11"/>
          <w:b w:val="1"/>
          <w:bCs w:val="1"/>
          <w:color w:val="auto"/>
        </w:rPr>
        <w:t>Average VWAP</w:t>
      </w:r>
      <w:r>
        <w:rPr>
          <w:rFonts w:ascii="Arial" w:cs="Arial" w:eastAsia="Arial" w:hAnsi="Arial"/>
          <w:sz w:val="11"/>
          <w:szCs w:val="11"/>
          <w:color w:val="auto"/>
        </w:rPr>
        <w:t>” means the arithmetic average of the VWAP Prices for each Hedge Unwind Date during the Hedge Unwind Period. “</w:t>
      </w:r>
      <w:r>
        <w:rPr>
          <w:rFonts w:ascii="Arial" w:cs="Arial" w:eastAsia="Arial" w:hAnsi="Arial"/>
          <w:sz w:val="11"/>
          <w:szCs w:val="11"/>
          <w:b w:val="1"/>
          <w:bCs w:val="1"/>
          <w:color w:val="auto"/>
        </w:rPr>
        <w:t>VWAP Price</w:t>
      </w:r>
      <w:r>
        <w:rPr>
          <w:rFonts w:ascii="Arial" w:cs="Arial" w:eastAsia="Arial" w:hAnsi="Arial"/>
          <w:sz w:val="11"/>
          <w:szCs w:val="11"/>
          <w:color w:val="auto"/>
        </w:rPr>
        <w:t>” for any Scheduled Trading Day means the per Share volume-weighted average price as displayed under the heading “Bloomberg VWAP” on Bloomberg page EZPW &lt;equity&gt; AQR (or any successor thereto) in respect of the period from 9:30 am to 4:00 pm (New York City time) on such Scheduled Trading Day (or if such volume-weighted average price is unavailable, the market value of one Share on such Scheduled Trading Day for such time period, as determined by Dealer). Notwithstanding the foregoing, if any Scheduled Trading Day in the Hedge Unwind Period is a Disrupted Day (in whole or in part), then the VWAP Price for such Scheduled Trading Day(s) shall be the volume-weighted average price per Share on such Scheduled Trading Day on the Exchange for such time period, as determined by Dealer based on such sources as it deems appropriate using a volume-weighted methodology, for the portion of such Scheduled Trading Day for which Dealer determines there is no Market Disruption Event with respect to the Shares (if any) and the number of Hedge Unwind Dates and the Cash Settlement Amount shall be adjusted by Dealer in its good faith, commercially reasonable discretion to account for such disruption and/or extension.</w:t>
      </w:r>
    </w:p>
    <w:p>
      <w:pPr>
        <w:spacing w:after="0" w:line="110" w:lineRule="exact"/>
        <w:rPr>
          <w:rFonts w:ascii="Arial" w:cs="Arial" w:eastAsia="Arial" w:hAnsi="Arial"/>
          <w:sz w:val="11"/>
          <w:szCs w:val="11"/>
          <w:color w:val="auto"/>
        </w:rPr>
      </w:pPr>
    </w:p>
    <w:p>
      <w:pPr>
        <w:jc w:val="both"/>
        <w:ind w:firstLine="424"/>
        <w:spacing w:after="0" w:line="292" w:lineRule="auto"/>
        <w:tabs>
          <w:tab w:leader="none" w:pos="651" w:val="left"/>
        </w:tabs>
        <w:numPr>
          <w:ilvl w:val="0"/>
          <w:numId w:val="36"/>
        </w:numPr>
        <w:rPr>
          <w:rFonts w:ascii="Arial" w:cs="Arial" w:eastAsia="Arial" w:hAnsi="Arial"/>
          <w:sz w:val="11"/>
          <w:szCs w:val="11"/>
          <w:color w:val="auto"/>
        </w:rPr>
      </w:pPr>
      <w:r>
        <w:rPr>
          <w:rFonts w:ascii="Arial" w:cs="Arial" w:eastAsia="Arial" w:hAnsi="Arial"/>
          <w:sz w:val="11"/>
          <w:szCs w:val="11"/>
          <w:u w:val="single" w:color="auto"/>
          <w:color w:val="auto"/>
        </w:rPr>
        <w:t>Effectiveness</w:t>
      </w:r>
      <w:r>
        <w:rPr>
          <w:rFonts w:ascii="Arial" w:cs="Arial" w:eastAsia="Arial" w:hAnsi="Arial"/>
          <w:sz w:val="11"/>
          <w:szCs w:val="11"/>
          <w:color w:val="auto"/>
        </w:rPr>
        <w:t>. This Agreement, including the termination and amendment of the Call Option Confirmations as set forth herein, shall be effective upon the date (the “</w:t>
      </w:r>
      <w:r>
        <w:rPr>
          <w:rFonts w:ascii="Arial" w:cs="Arial" w:eastAsia="Arial" w:hAnsi="Arial"/>
          <w:sz w:val="11"/>
          <w:szCs w:val="11"/>
          <w:b w:val="1"/>
          <w:bCs w:val="1"/>
          <w:color w:val="auto"/>
        </w:rPr>
        <w:t>Effective Date</w:t>
      </w:r>
      <w:r>
        <w:rPr>
          <w:rFonts w:ascii="Arial" w:cs="Arial" w:eastAsia="Arial" w:hAnsi="Arial"/>
          <w:sz w:val="11"/>
          <w:szCs w:val="11"/>
          <w:color w:val="auto"/>
        </w:rPr>
        <w:t>”) that each of (i) Company’s offering of its 2.875% Convertible Senior Notes due 2024 and (ii) the Notes Repurchase has been consummated and settled. If, for any reason, the Effective Date has not occurred on or prior to July 5, 2017, (i) this Agreement shall automatically terminate and all of the respective rights and obligations of Company and Dealer hereunder shall be cancelled, terminated and discharged and (ii) each party shall be released and discharged by the other party from, and agrees not to make any claim against the other party with respect to, any obligations or liabilities of the other party arising out of and to be performed in connection with this Agreement.</w:t>
      </w:r>
    </w:p>
    <w:p>
      <w:pPr>
        <w:spacing w:after="0" w:line="109" w:lineRule="exact"/>
        <w:rPr>
          <w:rFonts w:ascii="Arial" w:cs="Arial" w:eastAsia="Arial" w:hAnsi="Arial"/>
          <w:sz w:val="11"/>
          <w:szCs w:val="11"/>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Company</w:t>
      </w:r>
      <w:r>
        <w:rPr>
          <w:rFonts w:ascii="Arial" w:cs="Arial" w:eastAsia="Arial" w:hAnsi="Arial"/>
          <w:sz w:val="12"/>
          <w:szCs w:val="12"/>
          <w:color w:val="auto"/>
        </w:rPr>
        <w:t>. Company represents and warrants to Dealer (and agrees with Dealer in the case of Section 6(g)(ii))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36"/>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36"/>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36"/>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36"/>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1020" w:hanging="163"/>
        <w:spacing w:after="0"/>
        <w:tabs>
          <w:tab w:leader="none" w:pos="1020" w:val="left"/>
        </w:tabs>
        <w:numPr>
          <w:ilvl w:val="1"/>
          <w:numId w:val="36"/>
        </w:numPr>
        <w:rPr>
          <w:rFonts w:ascii="Arial" w:cs="Arial" w:eastAsia="Arial" w:hAnsi="Arial"/>
          <w:sz w:val="12"/>
          <w:szCs w:val="12"/>
          <w:color w:val="auto"/>
        </w:rPr>
      </w:pPr>
      <w:r>
        <w:rPr>
          <w:rFonts w:ascii="Arial" w:cs="Arial" w:eastAsia="Arial" w:hAnsi="Arial"/>
          <w:sz w:val="12"/>
          <w:szCs w:val="12"/>
          <w:color w:val="auto"/>
        </w:rPr>
        <w:t>each of it and its affiliates is not in possession of any material nonpublic information regarding Company or the Shares;</w:t>
      </w:r>
    </w:p>
    <w:p>
      <w:pPr>
        <w:spacing w:after="0" w:line="150" w:lineRule="exact"/>
        <w:rPr>
          <w:rFonts w:ascii="Arial" w:cs="Arial" w:eastAsia="Arial" w:hAnsi="Arial"/>
          <w:sz w:val="12"/>
          <w:szCs w:val="12"/>
          <w:color w:val="auto"/>
        </w:rPr>
      </w:pPr>
    </w:p>
    <w:p>
      <w:pPr>
        <w:jc w:val="both"/>
        <w:ind w:firstLine="857"/>
        <w:spacing w:after="0" w:line="259" w:lineRule="auto"/>
        <w:tabs>
          <w:tab w:leader="none" w:pos="1015" w:val="left"/>
        </w:tabs>
        <w:numPr>
          <w:ilvl w:val="1"/>
          <w:numId w:val="36"/>
        </w:numPr>
        <w:rPr>
          <w:rFonts w:ascii="Arial" w:cs="Arial" w:eastAsia="Arial" w:hAnsi="Arial"/>
          <w:sz w:val="12"/>
          <w:szCs w:val="12"/>
          <w:color w:val="auto"/>
        </w:rPr>
      </w:pPr>
      <w:r>
        <w:rPr>
          <w:rFonts w:ascii="Arial" w:cs="Arial" w:eastAsia="Arial" w:hAnsi="Arial"/>
          <w:sz w:val="12"/>
          <w:szCs w:val="12"/>
          <w:color w:val="auto"/>
        </w:rPr>
        <w:t>it is not entering into this Agreement to create actual or apparent trading activity in the Shares (or any security convertible into or exchangeable for the Shares), to raise or depress or otherwise manipulate the price of the Shares (or any security convertible into or exchangeable for the Shares), for the purpose of inducing the sale of the Shares (or any security convertible into or exchangeable for the Shares) by others or otherwise in violation of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Company makes no representation or warranty with respect to Dealer’s Hedge Position (or any other dealer’s hedge position in respect of derivatives relating to the Convertible Notes); and</w:t>
      </w:r>
    </w:p>
    <w:p>
      <w:pPr>
        <w:spacing w:after="0" w:line="120" w:lineRule="exact"/>
        <w:rPr>
          <w:rFonts w:ascii="Arial" w:cs="Arial" w:eastAsia="Arial" w:hAnsi="Arial"/>
          <w:sz w:val="12"/>
          <w:szCs w:val="12"/>
          <w:color w:val="auto"/>
        </w:rPr>
      </w:pPr>
    </w:p>
    <w:p>
      <w:pPr>
        <w:ind w:left="1020" w:hanging="163"/>
        <w:spacing w:after="0"/>
        <w:tabs>
          <w:tab w:leader="none" w:pos="1020" w:val="left"/>
        </w:tabs>
        <w:numPr>
          <w:ilvl w:val="1"/>
          <w:numId w:val="36"/>
        </w:numPr>
        <w:rPr>
          <w:rFonts w:ascii="Arial" w:cs="Arial" w:eastAsia="Arial" w:hAnsi="Arial"/>
          <w:sz w:val="11"/>
          <w:szCs w:val="11"/>
          <w:color w:val="auto"/>
        </w:rPr>
      </w:pPr>
      <w:r>
        <w:rPr>
          <w:rFonts w:ascii="Arial" w:cs="Arial" w:eastAsia="Arial" w:hAnsi="Arial"/>
          <w:sz w:val="11"/>
          <w:szCs w:val="11"/>
          <w:color w:val="auto"/>
        </w:rPr>
        <w:t>(i) it is not on the date hereof, engaged in a distribution, as such term is used in Regulation M under the Exchange Act (“</w:t>
      </w:r>
      <w:r>
        <w:rPr>
          <w:rFonts w:ascii="Arial" w:cs="Arial" w:eastAsia="Arial" w:hAnsi="Arial"/>
          <w:sz w:val="11"/>
          <w:szCs w:val="11"/>
          <w:b w:val="1"/>
          <w:bCs w:val="1"/>
          <w:color w:val="auto"/>
        </w:rPr>
        <w:t>Regulation M”</w:t>
      </w:r>
      <w:r>
        <w:rPr>
          <w:rFonts w:ascii="Arial" w:cs="Arial" w:eastAsia="Arial" w:hAnsi="Arial"/>
          <w:sz w:val="11"/>
          <w:szCs w:val="11"/>
          <w:color w:val="auto"/>
        </w:rPr>
        <w:t>), of the Shares or any securities deemed “reference securities” (as defined in</w:t>
      </w:r>
    </w:p>
    <w:p>
      <w:pPr>
        <w:spacing w:after="0" w:line="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Regulation 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581" w:right="19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2"/>
          <w:szCs w:val="12"/>
          <w:color w:val="auto"/>
        </w:rPr>
        <w:t xml:space="preserve">with respect to the Shares and (ii) it shall not engage in any such distribution during the period commencing on the date hereof and ending on the second Exchange Business Day immediately following the last day of the Hedge Unwind Period with respect to the Shares or such reference securities, unless it notifies Dealer, on the day immediately preceding the first day of the “restricted period” (as defined in Regulation M) of any such distribution, and of completion of such restricted period on the date such distribution is concluded;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connection with the notification with respect to the completion of the restricted period, it shall be deemed to repeat the representations contained in paragraphs (e) and (f) of this Section 6.</w:t>
      </w:r>
    </w:p>
    <w:p>
      <w:pPr>
        <w:spacing w:after="0" w:line="125" w:lineRule="exact"/>
        <w:rPr>
          <w:sz w:val="20"/>
          <w:szCs w:val="20"/>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Dealer</w:t>
      </w:r>
      <w:r>
        <w:rPr>
          <w:rFonts w:ascii="Arial" w:cs="Arial" w:eastAsia="Arial" w:hAnsi="Arial"/>
          <w:sz w:val="12"/>
          <w:szCs w:val="12"/>
          <w:color w:val="auto"/>
        </w:rPr>
        <w:t>. Dealer represents and warrants to Company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37"/>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37"/>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37"/>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 and</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37"/>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u w:val="single" w:color="auto"/>
          <w:color w:val="auto"/>
        </w:rPr>
        <w:t>Account for Payment to Company</w:t>
      </w:r>
      <w:r>
        <w:rPr>
          <w:rFonts w:ascii="Arial" w:cs="Arial" w:eastAsia="Arial" w:hAnsi="Arial"/>
          <w:sz w:val="12"/>
          <w:szCs w:val="12"/>
          <w:color w:val="auto"/>
        </w:rPr>
        <w:t>:</w:t>
      </w:r>
    </w:p>
    <w:p>
      <w:pPr>
        <w:spacing w:after="0" w:line="150"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2"/>
          <w:szCs w:val="12"/>
          <w:color w:val="auto"/>
        </w:rPr>
        <w:t>Bank:</w:t>
      </w:r>
      <w:r>
        <w:rPr>
          <w:sz w:val="20"/>
          <w:szCs w:val="20"/>
          <w:color w:val="auto"/>
        </w:rPr>
        <w:tab/>
      </w:r>
      <w:r>
        <w:rPr>
          <w:rFonts w:ascii="Arial" w:cs="Arial" w:eastAsia="Arial" w:hAnsi="Arial"/>
          <w:sz w:val="11"/>
          <w:szCs w:val="11"/>
          <w:color w:val="auto"/>
        </w:rPr>
        <w:t>Wells Fargo Bank, NA</w:t>
      </w:r>
    </w:p>
    <w:p>
      <w:pPr>
        <w:spacing w:after="0" w:line="15" w:lineRule="exact"/>
        <w:rPr>
          <w:sz w:val="20"/>
          <w:szCs w:val="20"/>
          <w:color w:val="auto"/>
        </w:rPr>
      </w:pPr>
    </w:p>
    <w:p>
      <w:pPr>
        <w:ind w:left="860"/>
        <w:spacing w:after="0"/>
        <w:tabs>
          <w:tab w:leader="none" w:pos="1300" w:val="left"/>
        </w:tabs>
        <w:rPr>
          <w:sz w:val="20"/>
          <w:szCs w:val="20"/>
          <w:color w:val="auto"/>
        </w:rPr>
      </w:pPr>
      <w:r>
        <w:rPr>
          <w:rFonts w:ascii="Arial" w:cs="Arial" w:eastAsia="Arial" w:hAnsi="Arial"/>
          <w:sz w:val="12"/>
          <w:szCs w:val="12"/>
          <w:color w:val="auto"/>
        </w:rPr>
        <w:t>ABA#:</w:t>
      </w:r>
      <w:r>
        <w:rPr>
          <w:sz w:val="20"/>
          <w:szCs w:val="20"/>
          <w:color w:val="auto"/>
        </w:rPr>
        <w:tab/>
      </w:r>
      <w:r>
        <w:rPr>
          <w:rFonts w:ascii="Arial" w:cs="Arial" w:eastAsia="Arial" w:hAnsi="Arial"/>
          <w:sz w:val="10"/>
          <w:szCs w:val="10"/>
          <w:color w:val="auto"/>
        </w:rPr>
        <w:t>121000248</w:t>
      </w:r>
    </w:p>
    <w:p>
      <w:pPr>
        <w:spacing w:after="0" w:line="6" w:lineRule="exact"/>
        <w:rPr>
          <w:sz w:val="20"/>
          <w:szCs w:val="20"/>
          <w:color w:val="auto"/>
        </w:rPr>
      </w:pPr>
    </w:p>
    <w:p>
      <w:pPr>
        <w:ind w:left="860"/>
        <w:spacing w:after="0"/>
        <w:tabs>
          <w:tab w:leader="none" w:pos="1540" w:val="left"/>
        </w:tabs>
        <w:rPr>
          <w:sz w:val="20"/>
          <w:szCs w:val="20"/>
          <w:color w:val="auto"/>
        </w:rPr>
      </w:pPr>
      <w:r>
        <w:rPr>
          <w:rFonts w:ascii="Arial" w:cs="Arial" w:eastAsia="Arial" w:hAnsi="Arial"/>
          <w:sz w:val="12"/>
          <w:szCs w:val="12"/>
          <w:color w:val="auto"/>
        </w:rPr>
        <w:t>Acct Name:</w:t>
      </w:r>
      <w:r>
        <w:rPr>
          <w:sz w:val="20"/>
          <w:szCs w:val="20"/>
          <w:color w:val="auto"/>
        </w:rPr>
        <w:tab/>
      </w:r>
      <w:r>
        <w:rPr>
          <w:rFonts w:ascii="Arial" w:cs="Arial" w:eastAsia="Arial" w:hAnsi="Arial"/>
          <w:sz w:val="10"/>
          <w:szCs w:val="10"/>
          <w:color w:val="auto"/>
        </w:rPr>
        <w:t>Texas EZPawn, LP</w:t>
      </w:r>
    </w:p>
    <w:p>
      <w:pPr>
        <w:spacing w:after="0" w:line="6"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2"/>
          <w:szCs w:val="12"/>
          <w:color w:val="auto"/>
        </w:rPr>
        <w:t>Acct No.:</w:t>
      </w:r>
      <w:r>
        <w:rPr>
          <w:sz w:val="20"/>
          <w:szCs w:val="20"/>
          <w:color w:val="auto"/>
        </w:rPr>
        <w:tab/>
      </w:r>
      <w:r>
        <w:rPr>
          <w:rFonts w:ascii="Arial" w:cs="Arial" w:eastAsia="Arial" w:hAnsi="Arial"/>
          <w:sz w:val="10"/>
          <w:szCs w:val="10"/>
          <w:color w:val="auto"/>
        </w:rPr>
        <w:t>4159720622</w:t>
      </w:r>
    </w:p>
    <w:p>
      <w:pPr>
        <w:spacing w:after="0" w:line="6"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2"/>
          <w:szCs w:val="12"/>
          <w:color w:val="auto"/>
        </w:rPr>
        <w:t>Contact:</w:t>
      </w:r>
      <w:r>
        <w:rPr>
          <w:sz w:val="20"/>
          <w:szCs w:val="20"/>
          <w:color w:val="auto"/>
        </w:rPr>
        <w:tab/>
      </w:r>
      <w:r>
        <w:rPr>
          <w:rFonts w:ascii="Arial" w:cs="Arial" w:eastAsia="Arial" w:hAnsi="Arial"/>
          <w:sz w:val="11"/>
          <w:szCs w:val="11"/>
          <w:color w:val="auto"/>
        </w:rPr>
        <w:t>Karissa Sullivan</w:t>
      </w:r>
    </w:p>
    <w:p>
      <w:pPr>
        <w:spacing w:after="0" w:line="6"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2"/>
          <w:szCs w:val="12"/>
          <w:color w:val="auto"/>
        </w:rPr>
        <w:t>Phone No.:</w:t>
      </w:r>
      <w:r>
        <w:rPr>
          <w:sz w:val="20"/>
          <w:szCs w:val="20"/>
          <w:color w:val="auto"/>
        </w:rPr>
        <w:tab/>
      </w:r>
      <w:r>
        <w:rPr>
          <w:rFonts w:ascii="Arial" w:cs="Arial" w:eastAsia="Arial" w:hAnsi="Arial"/>
          <w:sz w:val="10"/>
          <w:szCs w:val="10"/>
          <w:color w:val="auto"/>
        </w:rPr>
        <w:t>512-314-2257</w:t>
      </w:r>
    </w:p>
    <w:p>
      <w:pPr>
        <w:spacing w:after="0" w:line="141" w:lineRule="exact"/>
        <w:rPr>
          <w:sz w:val="20"/>
          <w:szCs w:val="20"/>
          <w:color w:val="auto"/>
        </w:rPr>
      </w:pPr>
    </w:p>
    <w:p>
      <w:pPr>
        <w:ind w:left="660" w:hanging="236"/>
        <w:spacing w:after="0"/>
        <w:tabs>
          <w:tab w:leader="none" w:pos="660" w:val="left"/>
        </w:tabs>
        <w:numPr>
          <w:ilvl w:val="0"/>
          <w:numId w:val="38"/>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any dispute arising hereunder shall be governed by and construed in accordance with the laws of the State of New York (without reference to choice of law doctrine).</w:t>
      </w:r>
    </w:p>
    <w:p>
      <w:pPr>
        <w:spacing w:after="0" w:line="150" w:lineRule="exact"/>
        <w:rPr>
          <w:rFonts w:ascii="Arial" w:cs="Arial" w:eastAsia="Arial" w:hAnsi="Arial"/>
          <w:sz w:val="12"/>
          <w:szCs w:val="12"/>
          <w:color w:val="auto"/>
        </w:rPr>
      </w:pPr>
    </w:p>
    <w:p>
      <w:pPr>
        <w:ind w:left="720" w:hanging="296"/>
        <w:spacing w:after="0"/>
        <w:tabs>
          <w:tab w:leader="none" w:pos="720" w:val="left"/>
        </w:tabs>
        <w:numPr>
          <w:ilvl w:val="0"/>
          <w:numId w:val="38"/>
        </w:numPr>
        <w:rPr>
          <w:rFonts w:ascii="Arial" w:cs="Arial" w:eastAsia="Arial" w:hAnsi="Arial"/>
          <w:sz w:val="11"/>
          <w:szCs w:val="11"/>
          <w:color w:val="auto"/>
        </w:rPr>
      </w:pP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signed in any number of counterparts, each of which shall be an original, with the same effect as if all of the signatures thereto and hereto were upon the same instrument.</w:t>
      </w:r>
    </w:p>
    <w:p>
      <w:pPr>
        <w:spacing w:after="0" w:line="161" w:lineRule="exact"/>
        <w:rPr>
          <w:rFonts w:ascii="Arial" w:cs="Arial" w:eastAsia="Arial" w:hAnsi="Arial"/>
          <w:sz w:val="11"/>
          <w:szCs w:val="11"/>
          <w:color w:val="auto"/>
        </w:rPr>
      </w:pPr>
    </w:p>
    <w:p>
      <w:pPr>
        <w:ind w:firstLine="424"/>
        <w:spacing w:after="0" w:line="276" w:lineRule="auto"/>
        <w:tabs>
          <w:tab w:leader="none" w:pos="725" w:val="left"/>
        </w:tabs>
        <w:numPr>
          <w:ilvl w:val="0"/>
          <w:numId w:val="38"/>
        </w:numPr>
        <w:rPr>
          <w:rFonts w:ascii="Arial" w:cs="Arial" w:eastAsia="Arial" w:hAnsi="Arial"/>
          <w:sz w:val="12"/>
          <w:szCs w:val="12"/>
          <w:color w:val="auto"/>
        </w:rPr>
      </w:pPr>
      <w:r>
        <w:rPr>
          <w:rFonts w:ascii="Arial" w:cs="Arial" w:eastAsia="Arial" w:hAnsi="Arial"/>
          <w:sz w:val="12"/>
          <w:szCs w:val="12"/>
          <w:u w:val="single" w:color="auto"/>
          <w:color w:val="auto"/>
        </w:rPr>
        <w:t>No Reliance, etc</w:t>
      </w:r>
      <w:r>
        <w:rPr>
          <w:rFonts w:ascii="Arial" w:cs="Arial" w:eastAsia="Arial" w:hAnsi="Arial"/>
          <w:sz w:val="12"/>
          <w:szCs w:val="12"/>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14" w:lineRule="exact"/>
        <w:rPr>
          <w:rFonts w:ascii="Arial" w:cs="Arial" w:eastAsia="Arial" w:hAnsi="Arial"/>
          <w:sz w:val="12"/>
          <w:szCs w:val="12"/>
          <w:color w:val="auto"/>
        </w:rPr>
      </w:pPr>
    </w:p>
    <w:p>
      <w:pPr>
        <w:jc w:val="both"/>
        <w:ind w:firstLine="424"/>
        <w:spacing w:after="0" w:line="263" w:lineRule="auto"/>
        <w:tabs>
          <w:tab w:leader="none" w:pos="711" w:val="left"/>
        </w:tabs>
        <w:numPr>
          <w:ilvl w:val="0"/>
          <w:numId w:val="38"/>
        </w:numPr>
        <w:rPr>
          <w:rFonts w:ascii="Arial" w:cs="Arial" w:eastAsia="Arial" w:hAnsi="Arial"/>
          <w:sz w:val="12"/>
          <w:szCs w:val="12"/>
          <w:color w:val="auto"/>
        </w:rPr>
      </w:pPr>
      <w:r>
        <w:rPr>
          <w:rFonts w:ascii="Arial" w:cs="Arial" w:eastAsia="Arial" w:hAnsi="Arial"/>
          <w:sz w:val="12"/>
          <w:szCs w:val="12"/>
          <w:u w:val="single" w:color="auto"/>
          <w:color w:val="auto"/>
        </w:rPr>
        <w:t>Designation by Dealer</w:t>
      </w:r>
      <w:r>
        <w:rPr>
          <w:rFonts w:ascii="Arial" w:cs="Arial" w:eastAsia="Arial" w:hAnsi="Arial"/>
          <w:sz w:val="12"/>
          <w:szCs w:val="12"/>
          <w:color w:val="auto"/>
        </w:rPr>
        <w:t>. Notwithstanding any other provision in this Agreement to the contrary requiring or allowing Dealer to purchase, sell, receive or deliver any Shares or other securities to or from Company, Dealer may designate any of its affiliates to purchase, sell, receive or deliver such shares or other securities and otherwise to perform Dealer obligations in respect of the transactions contemplated by this Agreement and any such designee may assume such obligations. Dealer shall be discharged of its obligations to Company to the extent of any such performance.</w:t>
      </w:r>
    </w:p>
    <w:p>
      <w:pPr>
        <w:spacing w:after="0" w:line="122" w:lineRule="exact"/>
        <w:rPr>
          <w:rFonts w:ascii="Arial" w:cs="Arial" w:eastAsia="Arial" w:hAnsi="Arial"/>
          <w:sz w:val="12"/>
          <w:szCs w:val="12"/>
          <w:color w:val="auto"/>
        </w:rPr>
      </w:pPr>
    </w:p>
    <w:p>
      <w:pPr>
        <w:jc w:val="both"/>
        <w:ind w:firstLine="424"/>
        <w:spacing w:after="0" w:line="263" w:lineRule="auto"/>
        <w:tabs>
          <w:tab w:leader="none" w:pos="747" w:val="left"/>
        </w:tabs>
        <w:numPr>
          <w:ilvl w:val="0"/>
          <w:numId w:val="38"/>
        </w:numPr>
        <w:rPr>
          <w:rFonts w:ascii="Arial" w:cs="Arial" w:eastAsia="Arial" w:hAnsi="Arial"/>
          <w:sz w:val="12"/>
          <w:szCs w:val="12"/>
          <w:color w:val="auto"/>
        </w:rPr>
      </w:pPr>
      <w:r>
        <w:rPr>
          <w:rFonts w:ascii="Arial" w:cs="Arial" w:eastAsia="Arial" w:hAnsi="Arial"/>
          <w:sz w:val="12"/>
          <w:szCs w:val="12"/>
          <w:u w:val="single" w:color="auto"/>
          <w:color w:val="auto"/>
        </w:rPr>
        <w:t>No Setoff; No Collateral</w:t>
      </w:r>
      <w:r>
        <w:rPr>
          <w:rFonts w:ascii="Arial" w:cs="Arial" w:eastAsia="Arial" w:hAnsi="Arial"/>
          <w:sz w:val="12"/>
          <w:szCs w:val="12"/>
          <w:color w:val="auto"/>
        </w:rPr>
        <w:t>. Notwithstanding any provision of this Agreement or any other agreement between the parties to the contrary, the obligations of Company hereunder are not, and shall not be, secured by any collateral. Each party waives any and all rights it may have to set off obligations arising under this Agreement and the Transaction against other obligations between the parties, whether arising under any other agreement, applicable law or otherwise.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581" w:right="199" w:bottom="1440" w:gutter="0" w:footer="0" w:header="0"/>
        </w:sectPr>
      </w:pPr>
    </w:p>
    <w:bookmarkStart w:id="51" w:name="page52"/>
    <w:bookmarkEnd w:id="51"/>
    <w:p>
      <w:pPr>
        <w:spacing w:after="0"/>
        <w:tabs>
          <w:tab w:leader="none" w:pos="260"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0"/>
          <w:szCs w:val="10"/>
          <w:u w:val="single" w:color="auto"/>
          <w:color w:val="auto"/>
        </w:rPr>
        <w:t>No Other Changes</w:t>
      </w:r>
      <w:r>
        <w:rPr>
          <w:rFonts w:ascii="Arial" w:cs="Arial" w:eastAsia="Arial" w:hAnsi="Arial"/>
          <w:sz w:val="10"/>
          <w:szCs w:val="10"/>
          <w:color w:val="auto"/>
        </w:rPr>
        <w:t>. Except as expressly set forth herein, all of the terms and conditions of the Base Call Option Confirmation shall remain in full force and effect and are hereby confirmed in all respects.</w:t>
      </w:r>
    </w:p>
    <w:p>
      <w:pPr>
        <w:sectPr>
          <w:pgSz w:w="11900" w:h="16838" w:orient="portrait"/>
          <w:cols w:equalWidth="0" w:num="1">
            <w:col w:w="9980"/>
          </w:cols>
          <w:pgMar w:left="640" w:top="581" w:right="1279" w:bottom="1440" w:gutter="0" w:footer="0" w:header="0"/>
        </w:sectPr>
      </w:pPr>
    </w:p>
    <w:p>
      <w:pPr>
        <w:spacing w:after="0" w:line="15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Follows</w:t>
      </w: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980"/>
          </w:cols>
          <w:pgMar w:left="640" w:top="581" w:right="127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2"/>
          <w:szCs w:val="12"/>
          <w:color w:val="auto"/>
        </w:rPr>
        <w:t>IN WITNESS WHEREOF, the parties hereto have caused this Agreement to be duly executed as of the date first written above.</w:t>
      </w:r>
    </w:p>
    <w:p>
      <w:pPr>
        <w:spacing w:after="0" w:line="200" w:lineRule="exact"/>
        <w:rPr>
          <w:sz w:val="20"/>
          <w:szCs w:val="20"/>
          <w:color w:val="auto"/>
        </w:rPr>
      </w:pPr>
    </w:p>
    <w:p>
      <w:pPr>
        <w:spacing w:after="0" w:line="343"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UBS AG, London Branch</w:t>
      </w:r>
    </w:p>
    <w:p>
      <w:pPr>
        <w:spacing w:after="0" w:line="334" w:lineRule="exact"/>
        <w:rPr>
          <w:sz w:val="20"/>
          <w:szCs w:val="20"/>
          <w:color w:val="auto"/>
        </w:rPr>
      </w:pPr>
    </w:p>
    <w:tbl>
      <w:tblPr>
        <w:tblLayout w:type="fixed"/>
        <w:tblInd w:w="588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14"/>
                <w:szCs w:val="1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Michael O'Donovan</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Michael O'Donovan</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Authorized Signatory</w:t>
            </w:r>
          </w:p>
        </w:tc>
      </w:tr>
      <w:tr>
        <w:trPr>
          <w:trHeight w:val="477"/>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24"/>
                <w:szCs w:val="2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Brian Badentscher</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Brian Badentscher</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Authorized Signatory</w:t>
            </w:r>
          </w:p>
        </w:tc>
      </w:tr>
    </w:tbl>
    <w:p>
      <w:pPr>
        <w:spacing w:after="0" w:line="311" w:lineRule="exact"/>
        <w:rPr>
          <w:sz w:val="20"/>
          <w:szCs w:val="20"/>
          <w:color w:val="auto"/>
        </w:rPr>
      </w:pPr>
    </w:p>
    <w:p>
      <w:pPr>
        <w:jc w:val="right"/>
        <w:ind w:right="2200"/>
        <w:spacing w:after="0"/>
        <w:rPr>
          <w:sz w:val="20"/>
          <w:szCs w:val="20"/>
          <w:color w:val="auto"/>
        </w:rPr>
      </w:pPr>
      <w:r>
        <w:rPr>
          <w:rFonts w:ascii="Arial" w:cs="Arial" w:eastAsia="Arial" w:hAnsi="Arial"/>
          <w:sz w:val="12"/>
          <w:szCs w:val="12"/>
          <w:b w:val="1"/>
          <w:bCs w:val="1"/>
          <w:color w:val="auto"/>
        </w:rPr>
        <w:t xml:space="preserve">UBS Securities LLC, </w:t>
      </w:r>
      <w:r>
        <w:rPr>
          <w:rFonts w:ascii="Arial" w:cs="Arial" w:eastAsia="Arial" w:hAnsi="Arial"/>
          <w:sz w:val="12"/>
          <w:szCs w:val="12"/>
          <w:color w:val="auto"/>
        </w:rPr>
        <w:t>as Agent for UBS AG, London Branch</w:t>
      </w:r>
    </w:p>
    <w:p>
      <w:pPr>
        <w:spacing w:after="0" w:line="334" w:lineRule="exact"/>
        <w:rPr>
          <w:sz w:val="20"/>
          <w:szCs w:val="20"/>
          <w:color w:val="auto"/>
        </w:rPr>
      </w:pPr>
    </w:p>
    <w:tbl>
      <w:tblPr>
        <w:tblLayout w:type="fixed"/>
        <w:tblInd w:w="588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14"/>
                <w:szCs w:val="1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Michael O'Donovan</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Michael O'Donovan</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Managing Director</w:t>
            </w:r>
          </w:p>
        </w:tc>
      </w:tr>
      <w:tr>
        <w:trPr>
          <w:trHeight w:val="477"/>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24"/>
                <w:szCs w:val="2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Brian Badentscher</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Brian Badentscher</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369" w:lineRule="exact"/>
        <w:rPr>
          <w:sz w:val="20"/>
          <w:szCs w:val="20"/>
          <w:color w:val="auto"/>
        </w:rPr>
      </w:pPr>
    </w:p>
    <w:p>
      <w:pPr>
        <w:ind w:left="58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20955</wp:posOffset>
            </wp:positionV>
            <wp:extent cx="28308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830830" cy="5715"/>
                    </a:xfrm>
                    <a:prstGeom prst="rect">
                      <a:avLst/>
                    </a:prstGeom>
                    <a:noFill/>
                  </pic:spPr>
                </pic:pic>
              </a:graphicData>
            </a:graphic>
          </wp:anchor>
        </w:drawing>
      </w:r>
    </w:p>
    <w:p>
      <w:pPr>
        <w:spacing w:after="0" w:line="31"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Thomas H. Welch, Jr.</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Title: Chief Legal Officer and Secretary</w:t>
      </w:r>
    </w:p>
    <w:p>
      <w:pPr>
        <w:spacing w:after="0" w:line="200" w:lineRule="exact"/>
        <w:rPr>
          <w:sz w:val="20"/>
          <w:szCs w:val="20"/>
          <w:color w:val="auto"/>
        </w:rPr>
      </w:pPr>
    </w:p>
    <w:p>
      <w:pPr>
        <w:spacing w:after="0" w:line="38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Call Option Termination Agreement</w:t>
      </w:r>
      <w:r>
        <w:rPr>
          <w:rFonts w:ascii="Arial" w:cs="Arial" w:eastAsia="Arial" w:hAnsi="Arial"/>
          <w:sz w:val="12"/>
          <w:szCs w:val="12"/>
          <w:color w:val="auto"/>
        </w:rPr>
        <w:t>]</w:t>
      </w:r>
    </w:p>
    <w:p>
      <w:pPr>
        <w:sectPr>
          <w:pgSz w:w="11900" w:h="16838" w:orient="portrait"/>
          <w:cols w:equalWidth="0" w:num="1">
            <w:col w:w="11060"/>
          </w:cols>
          <w:pgMar w:left="640" w:top="725" w:right="19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Schedule 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60" w:type="dxa"/>
            <w:vAlign w:val="bottom"/>
            <w:gridSpan w:val="3"/>
          </w:tcPr>
          <w:p>
            <w:pPr>
              <w:spacing w:after="0"/>
              <w:rPr>
                <w:sz w:val="20"/>
                <w:szCs w:val="20"/>
                <w:color w:val="auto"/>
              </w:rPr>
            </w:pPr>
            <w:r>
              <w:rPr>
                <w:rFonts w:ascii="Arial" w:cs="Arial" w:eastAsia="Arial" w:hAnsi="Arial"/>
                <w:sz w:val="12"/>
                <w:szCs w:val="12"/>
                <w:color w:val="auto"/>
              </w:rPr>
              <w:t>The Cash Settlement Amount shall be determined by Dealer according to the table below.</w:t>
            </w:r>
          </w:p>
        </w:tc>
        <w:tc>
          <w:tcPr>
            <w:tcW w:w="1280" w:type="dxa"/>
            <w:vAlign w:val="bottom"/>
          </w:tcPr>
          <w:p>
            <w:pPr>
              <w:spacing w:after="0"/>
              <w:rPr>
                <w:sz w:val="13"/>
                <w:szCs w:val="13"/>
                <w:color w:val="auto"/>
              </w:rPr>
            </w:pPr>
          </w:p>
        </w:tc>
      </w:tr>
      <w:tr>
        <w:trPr>
          <w:trHeight w:val="369"/>
        </w:trPr>
        <w:tc>
          <w:tcPr>
            <w:tcW w:w="32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Average VWAP</w:t>
            </w:r>
          </w:p>
        </w:tc>
        <w:tc>
          <w:tcPr>
            <w:tcW w:w="1280" w:type="dxa"/>
            <w:vAlign w:val="bottom"/>
          </w:tcPr>
          <w:p>
            <w:pPr>
              <w:spacing w:after="0"/>
              <w:rPr>
                <w:sz w:val="20"/>
                <w:szCs w:val="20"/>
                <w:color w:val="auto"/>
              </w:rPr>
            </w:pPr>
            <w:r>
              <w:rPr>
                <w:rFonts w:ascii="Arial" w:cs="Arial" w:eastAsia="Arial" w:hAnsi="Arial"/>
                <w:sz w:val="12"/>
                <w:szCs w:val="12"/>
                <w:b w:val="1"/>
                <w:bCs w:val="1"/>
                <w:color w:val="auto"/>
                <w:w w:val="88"/>
              </w:rPr>
              <w:t>Cash Settlement Amount</w:t>
            </w:r>
          </w:p>
        </w:tc>
      </w:tr>
      <w:tr>
        <w:trPr>
          <w:trHeight w:val="187"/>
        </w:trPr>
        <w:tc>
          <w:tcPr>
            <w:tcW w:w="3240" w:type="dxa"/>
            <w:vAlign w:val="bottom"/>
          </w:tcPr>
          <w:p>
            <w:pPr>
              <w:spacing w:after="0"/>
              <w:rPr>
                <w:sz w:val="16"/>
                <w:szCs w:val="16"/>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$7.00</w:t>
            </w:r>
          </w:p>
        </w:tc>
        <w:tc>
          <w:tcPr>
            <w:tcW w:w="1320" w:type="dxa"/>
            <w:vAlign w:val="bottom"/>
          </w:tcPr>
          <w:p>
            <w:pPr>
              <w:spacing w:after="0"/>
              <w:rPr>
                <w:sz w:val="16"/>
                <w:szCs w:val="16"/>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$113,941</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$133,132</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$154,380</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$177,795</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$203,422</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$231,403</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$261,658</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$294,372</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$9.00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$329,560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Dealer may adjust the table above upon the occurrence of any event or condition that would have allowed Dealer to adjust the terms of the Call Option Transactions under the Call Option Confirmations.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w:t>
      </w:r>
    </w:p>
    <w:p>
      <w:pPr>
        <w:sectPr>
          <w:pgSz w:w="11900" w:h="16838" w:orient="portrait"/>
          <w:cols w:equalWidth="0" w:num="1">
            <w:col w:w="11480"/>
          </w:cols>
          <w:pgMar w:left="220" w:top="581" w:right="19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WARRANT TERMINATION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dated as of June 29,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Between EZCORP, INC. and UBS AG, LONDON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2923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7292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THIS WARRANT TERMINATION AGREEMENT (this “</w:t>
      </w:r>
      <w:r>
        <w:rPr>
          <w:rFonts w:ascii="Arial" w:cs="Arial" w:eastAsia="Arial" w:hAnsi="Arial"/>
          <w:sz w:val="12"/>
          <w:szCs w:val="12"/>
          <w:b w:val="1"/>
          <w:bCs w:val="1"/>
          <w:color w:val="auto"/>
        </w:rPr>
        <w:t>Agreement</w:t>
      </w:r>
      <w:r>
        <w:rPr>
          <w:rFonts w:ascii="Arial" w:cs="Arial" w:eastAsia="Arial" w:hAnsi="Arial"/>
          <w:sz w:val="12"/>
          <w:szCs w:val="12"/>
          <w:color w:val="auto"/>
        </w:rPr>
        <w:t>”) with respect to the Warrants Confirmations (as defined below) is made as of June 29, 2017, between EZCORP, Inc. (“</w:t>
      </w:r>
      <w:r>
        <w:rPr>
          <w:rFonts w:ascii="Arial" w:cs="Arial" w:eastAsia="Arial" w:hAnsi="Arial"/>
          <w:sz w:val="12"/>
          <w:szCs w:val="12"/>
          <w:b w:val="1"/>
          <w:bCs w:val="1"/>
          <w:color w:val="auto"/>
        </w:rPr>
        <w:t>Company</w:t>
      </w:r>
      <w:r>
        <w:rPr>
          <w:rFonts w:ascii="Arial" w:cs="Arial" w:eastAsia="Arial" w:hAnsi="Arial"/>
          <w:sz w:val="12"/>
          <w:szCs w:val="12"/>
          <w:color w:val="auto"/>
        </w:rPr>
        <w:t>”) and UBS AG, London Branch (“</w:t>
      </w:r>
      <w:r>
        <w:rPr>
          <w:rFonts w:ascii="Arial" w:cs="Arial" w:eastAsia="Arial" w:hAnsi="Arial"/>
          <w:sz w:val="12"/>
          <w:szCs w:val="12"/>
          <w:b w:val="1"/>
          <w:bCs w:val="1"/>
          <w:color w:val="auto"/>
        </w:rPr>
        <w:t>Dealer</w:t>
      </w:r>
      <w:r>
        <w:rPr>
          <w:rFonts w:ascii="Arial" w:cs="Arial" w:eastAsia="Arial" w:hAnsi="Arial"/>
          <w:sz w:val="12"/>
          <w:szCs w:val="12"/>
          <w:color w:val="auto"/>
        </w:rPr>
        <w:t>”).</w:t>
      </w:r>
    </w:p>
    <w:p>
      <w:pPr>
        <w:spacing w:after="0" w:line="8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WHEREAS, Dealer and Company entered into a Base Warrants Transaction (the “</w:t>
      </w:r>
      <w:r>
        <w:rPr>
          <w:rFonts w:ascii="Arial" w:cs="Arial" w:eastAsia="Arial" w:hAnsi="Arial"/>
          <w:sz w:val="12"/>
          <w:szCs w:val="12"/>
          <w:b w:val="1"/>
          <w:bCs w:val="1"/>
          <w:color w:val="auto"/>
        </w:rPr>
        <w:t>Base Warrants Transaction</w:t>
      </w:r>
      <w:r>
        <w:rPr>
          <w:rFonts w:ascii="Arial" w:cs="Arial" w:eastAsia="Arial" w:hAnsi="Arial"/>
          <w:sz w:val="12"/>
          <w:szCs w:val="12"/>
          <w:color w:val="auto"/>
        </w:rPr>
        <w:t>”) pursuant to a letter agreement re: Base Warrants dated as of June 17, 2014 confirming the terms of a warrant transaction whereby Dealer purchased from Company 3,734,826 warrants (as amended by that certain amendment agreement dated as of June 27, 2014 and as may be further amended, modified, terminated or unwound from time to time, the “</w:t>
      </w:r>
      <w:r>
        <w:rPr>
          <w:rFonts w:ascii="Arial" w:cs="Arial" w:eastAsia="Arial" w:hAnsi="Arial"/>
          <w:sz w:val="12"/>
          <w:szCs w:val="12"/>
          <w:b w:val="1"/>
          <w:bCs w:val="1"/>
          <w:color w:val="auto"/>
        </w:rPr>
        <w:t>Base Warrants Confirmation</w:t>
      </w:r>
      <w:r>
        <w:rPr>
          <w:rFonts w:ascii="Arial" w:cs="Arial" w:eastAsia="Arial" w:hAnsi="Arial"/>
          <w:sz w:val="12"/>
          <w:szCs w:val="12"/>
          <w:color w:val="auto"/>
        </w:rPr>
        <w:t>”);</w:t>
      </w:r>
    </w:p>
    <w:p>
      <w:pPr>
        <w:spacing w:after="0" w:line="89" w:lineRule="exact"/>
        <w:rPr>
          <w:sz w:val="20"/>
          <w:szCs w:val="20"/>
          <w:color w:val="auto"/>
        </w:rPr>
      </w:pPr>
    </w:p>
    <w:p>
      <w:pPr>
        <w:jc w:val="both"/>
        <w:ind w:right="60" w:firstLine="432"/>
        <w:spacing w:after="0" w:line="267" w:lineRule="auto"/>
        <w:rPr>
          <w:sz w:val="20"/>
          <w:szCs w:val="20"/>
          <w:color w:val="auto"/>
        </w:rPr>
      </w:pPr>
      <w:r>
        <w:rPr>
          <w:rFonts w:ascii="Arial" w:cs="Arial" w:eastAsia="Arial" w:hAnsi="Arial"/>
          <w:sz w:val="12"/>
          <w:szCs w:val="12"/>
          <w:color w:val="auto"/>
        </w:rPr>
        <w:t>WHEREAS, Dealer and Company entered into an Additional Warrants Transaction (the “</w:t>
      </w:r>
      <w:r>
        <w:rPr>
          <w:rFonts w:ascii="Arial" w:cs="Arial" w:eastAsia="Arial" w:hAnsi="Arial"/>
          <w:sz w:val="12"/>
          <w:szCs w:val="12"/>
          <w:b w:val="1"/>
          <w:bCs w:val="1"/>
          <w:color w:val="auto"/>
        </w:rPr>
        <w:t>Additional Warrants Transaction</w:t>
      </w:r>
      <w:r>
        <w:rPr>
          <w:rFonts w:ascii="Arial" w:cs="Arial" w:eastAsia="Arial" w:hAnsi="Arial"/>
          <w:sz w:val="12"/>
          <w:szCs w:val="12"/>
          <w:color w:val="auto"/>
        </w:rPr>
        <w:t>” and, together with the Base Warrants Transaction, the “</w:t>
      </w:r>
      <w:r>
        <w:rPr>
          <w:rFonts w:ascii="Arial" w:cs="Arial" w:eastAsia="Arial" w:hAnsi="Arial"/>
          <w:sz w:val="12"/>
          <w:szCs w:val="12"/>
          <w:b w:val="1"/>
          <w:bCs w:val="1"/>
          <w:color w:val="auto"/>
        </w:rPr>
        <w:t>Warrants Transactions</w:t>
      </w:r>
      <w:r>
        <w:rPr>
          <w:rFonts w:ascii="Arial" w:cs="Arial" w:eastAsia="Arial" w:hAnsi="Arial"/>
          <w:sz w:val="12"/>
          <w:szCs w:val="12"/>
          <w:color w:val="auto"/>
        </w:rPr>
        <w:t>”) pursuant to a letter agreement re: Additional Warrants dated as of June 27, 2014 confirming the terms of an additional warrant transaction whereby Dealer purchased from Company 560,224 warrants (as amended, modified, terminated or unwound from time to time, the “</w:t>
      </w:r>
      <w:r>
        <w:rPr>
          <w:rFonts w:ascii="Arial" w:cs="Arial" w:eastAsia="Arial" w:hAnsi="Arial"/>
          <w:sz w:val="12"/>
          <w:szCs w:val="12"/>
          <w:b w:val="1"/>
          <w:bCs w:val="1"/>
          <w:color w:val="auto"/>
        </w:rPr>
        <w:t>Additional Warrants Confirmation</w:t>
      </w:r>
      <w:r>
        <w:rPr>
          <w:rFonts w:ascii="Arial" w:cs="Arial" w:eastAsia="Arial" w:hAnsi="Arial"/>
          <w:sz w:val="12"/>
          <w:szCs w:val="12"/>
          <w:color w:val="auto"/>
        </w:rPr>
        <w:t>” and, together with the Base Warrants Confirmation, the “</w:t>
      </w:r>
      <w:r>
        <w:rPr>
          <w:rFonts w:ascii="Arial" w:cs="Arial" w:eastAsia="Arial" w:hAnsi="Arial"/>
          <w:sz w:val="12"/>
          <w:szCs w:val="12"/>
          <w:b w:val="1"/>
          <w:bCs w:val="1"/>
          <w:color w:val="auto"/>
        </w:rPr>
        <w:t>Warrants Confirmations</w:t>
      </w:r>
      <w:r>
        <w:rPr>
          <w:rFonts w:ascii="Arial" w:cs="Arial" w:eastAsia="Arial" w:hAnsi="Arial"/>
          <w:sz w:val="12"/>
          <w:szCs w:val="12"/>
          <w:color w:val="auto"/>
        </w:rPr>
        <w:t>”); and</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Company has requested a full termination of the Additional Warrants Transaction and partial termination of the Base Warrants Transaction;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their mutual covenants herein contained, the parties hereto, intending to be legally bound, hereby mutually covenant and agree as follows:</w:t>
      </w:r>
    </w:p>
    <w:p>
      <w:pPr>
        <w:spacing w:after="0" w:line="123" w:lineRule="exact"/>
        <w:rPr>
          <w:sz w:val="20"/>
          <w:szCs w:val="20"/>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u w:val="single" w:color="auto"/>
          <w:color w:val="auto"/>
        </w:rPr>
        <w:t>Defined Terms</w:t>
      </w:r>
      <w:r>
        <w:rPr>
          <w:rFonts w:ascii="Arial" w:cs="Arial" w:eastAsia="Arial" w:hAnsi="Arial"/>
          <w:sz w:val="12"/>
          <w:szCs w:val="12"/>
          <w:color w:val="auto"/>
        </w:rPr>
        <w:t>. Any capitalized term not otherwise defined herein shall have the meaning set forth for such term in the Warrants Confirmations.</w:t>
      </w:r>
    </w:p>
    <w:p>
      <w:pPr>
        <w:spacing w:after="0" w:line="150" w:lineRule="exact"/>
        <w:rPr>
          <w:rFonts w:ascii="Arial" w:cs="Arial" w:eastAsia="Arial" w:hAnsi="Arial"/>
          <w:sz w:val="12"/>
          <w:szCs w:val="12"/>
          <w:color w:val="auto"/>
        </w:rPr>
      </w:pPr>
    </w:p>
    <w:p>
      <w:pPr>
        <w:jc w:val="both"/>
        <w:ind w:firstLine="424"/>
        <w:spacing w:after="0" w:line="298" w:lineRule="auto"/>
        <w:tabs>
          <w:tab w:leader="none" w:pos="642" w:val="left"/>
        </w:tabs>
        <w:numPr>
          <w:ilvl w:val="0"/>
          <w:numId w:val="39"/>
        </w:numPr>
        <w:rPr>
          <w:rFonts w:ascii="Arial" w:cs="Arial" w:eastAsia="Arial" w:hAnsi="Arial"/>
          <w:sz w:val="11"/>
          <w:szCs w:val="11"/>
          <w:color w:val="auto"/>
        </w:rPr>
      </w:pPr>
      <w:r>
        <w:rPr>
          <w:rFonts w:ascii="Arial" w:cs="Arial" w:eastAsia="Arial" w:hAnsi="Arial"/>
          <w:sz w:val="11"/>
          <w:szCs w:val="11"/>
          <w:u w:val="single" w:color="auto"/>
          <w:color w:val="auto"/>
        </w:rPr>
        <w:t>Termination and Amendment</w:t>
      </w:r>
      <w:r>
        <w:rPr>
          <w:rFonts w:ascii="Arial" w:cs="Arial" w:eastAsia="Arial" w:hAnsi="Arial"/>
          <w:sz w:val="11"/>
          <w:szCs w:val="11"/>
          <w:color w:val="auto"/>
        </w:rPr>
        <w:t>. Notwithstanding anything to the contrary in the Warrants Confirmations, Company and Dealer agree that, effective on the date hereof, (i) the Additional Warrants Transaction shall automatically terminate and all of the respective rights and obligations of the parties under the Additional Warrants Confirmation shall be terminated, cancelled and extinguished and (ii) the Number of Warrants under the Base Warrants Transaction shall be reduced to 3,641,455, and in connection therewith Company shall be required to pay to Dealer the Cash Settlement Amount on the Payment Date pursuant to Sections 3 and 4 below.</w:t>
      </w:r>
    </w:p>
    <w:p>
      <w:pPr>
        <w:spacing w:after="0" w:line="105" w:lineRule="exact"/>
        <w:rPr>
          <w:rFonts w:ascii="Arial" w:cs="Arial" w:eastAsia="Arial" w:hAnsi="Arial"/>
          <w:sz w:val="11"/>
          <w:szCs w:val="11"/>
          <w:color w:val="auto"/>
        </w:rPr>
      </w:pPr>
    </w:p>
    <w:p>
      <w:pPr>
        <w:jc w:val="both"/>
        <w:ind w:firstLine="424"/>
        <w:spacing w:after="0" w:line="257" w:lineRule="auto"/>
        <w:tabs>
          <w:tab w:leader="none" w:pos="669" w:val="left"/>
        </w:tabs>
        <w:numPr>
          <w:ilvl w:val="0"/>
          <w:numId w:val="39"/>
        </w:numPr>
        <w:rPr>
          <w:rFonts w:ascii="Arial" w:cs="Arial" w:eastAsia="Arial" w:hAnsi="Arial"/>
          <w:sz w:val="12"/>
          <w:szCs w:val="12"/>
          <w:color w:val="auto"/>
        </w:rPr>
      </w:pPr>
      <w:r>
        <w:rPr>
          <w:rFonts w:ascii="Arial" w:cs="Arial" w:eastAsia="Arial" w:hAnsi="Arial"/>
          <w:sz w:val="12"/>
          <w:szCs w:val="12"/>
          <w:u w:val="single" w:color="auto"/>
          <w:color w:val="auto"/>
        </w:rPr>
        <w:t>Procedures for Hedge Unwind</w:t>
      </w:r>
      <w:r>
        <w:rPr>
          <w:rFonts w:ascii="Arial" w:cs="Arial" w:eastAsia="Arial" w:hAnsi="Arial"/>
          <w:sz w:val="12"/>
          <w:szCs w:val="12"/>
          <w:color w:val="auto"/>
        </w:rPr>
        <w:t>. On each Hedge Unwind Date (as defined below), Dealer (or an affiliate of Dealer), for the account of Dealer, shall unwind a portion of its hedge of the Warrants underlying the Warrants Transactions being terminated hereunder (the period of ten consecutive Scheduled Trading Days beginning on and including the Exchange Business Day following the Effective Date (as defined below, and such Exchange Business Day, the “</w:t>
      </w:r>
      <w:r>
        <w:rPr>
          <w:rFonts w:ascii="Arial" w:cs="Arial" w:eastAsia="Arial" w:hAnsi="Arial"/>
          <w:sz w:val="12"/>
          <w:szCs w:val="12"/>
          <w:b w:val="1"/>
          <w:bCs w:val="1"/>
          <w:color w:val="auto"/>
        </w:rPr>
        <w:t>Start Date</w:t>
      </w:r>
      <w:r>
        <w:rPr>
          <w:rFonts w:ascii="Arial" w:cs="Arial" w:eastAsia="Arial" w:hAnsi="Arial"/>
          <w:sz w:val="12"/>
          <w:szCs w:val="12"/>
          <w:color w:val="auto"/>
        </w:rPr>
        <w:t>”) being collectively referred to as the “</w:t>
      </w:r>
      <w:r>
        <w:rPr>
          <w:rFonts w:ascii="Arial" w:cs="Arial" w:eastAsia="Arial" w:hAnsi="Arial"/>
          <w:sz w:val="12"/>
          <w:szCs w:val="12"/>
          <w:b w:val="1"/>
          <w:bCs w:val="1"/>
          <w:color w:val="auto"/>
        </w:rPr>
        <w:t>Hedge Unwind Period</w:t>
      </w:r>
      <w:r>
        <w:rPr>
          <w:rFonts w:ascii="Arial" w:cs="Arial" w:eastAsia="Arial" w:hAnsi="Arial"/>
          <w:sz w:val="12"/>
          <w:szCs w:val="12"/>
          <w:color w:val="auto"/>
        </w:rPr>
        <w:t>” (subject to extension pursuant to the proviso in the immediately following sentence)). A “</w:t>
      </w:r>
      <w:r>
        <w:rPr>
          <w:rFonts w:ascii="Arial" w:cs="Arial" w:eastAsia="Arial" w:hAnsi="Arial"/>
          <w:sz w:val="12"/>
          <w:szCs w:val="12"/>
          <w:b w:val="1"/>
          <w:bCs w:val="1"/>
          <w:color w:val="auto"/>
        </w:rPr>
        <w:t>Hedge Unwind Date</w:t>
      </w:r>
      <w:r>
        <w:rPr>
          <w:rFonts w:ascii="Arial" w:cs="Arial" w:eastAsia="Arial" w:hAnsi="Arial"/>
          <w:sz w:val="12"/>
          <w:szCs w:val="12"/>
          <w:color w:val="auto"/>
        </w:rPr>
        <w:t xml:space="preserve">” means the Start Date and each Scheduled Trading Day in the Hedge Unwind Period;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any such date is a Disrupted Day in whole, such date shall not constitute a Hedge Unwind Date, and an additional Hedge Unwind Date shall occur on the Scheduled Trading Day after the date that would otherwise be the final Hedge Unwind Date.</w:t>
      </w:r>
    </w:p>
    <w:p>
      <w:pPr>
        <w:spacing w:after="0" w:line="125" w:lineRule="exact"/>
        <w:rPr>
          <w:rFonts w:ascii="Arial" w:cs="Arial" w:eastAsia="Arial" w:hAnsi="Arial"/>
          <w:sz w:val="12"/>
          <w:szCs w:val="12"/>
          <w:color w:val="auto"/>
        </w:rPr>
      </w:pPr>
    </w:p>
    <w:p>
      <w:pPr>
        <w:jc w:val="both"/>
        <w:ind w:firstLine="424"/>
        <w:spacing w:after="0" w:line="283" w:lineRule="auto"/>
        <w:tabs>
          <w:tab w:leader="none" w:pos="687" w:val="left"/>
        </w:tabs>
        <w:numPr>
          <w:ilvl w:val="0"/>
          <w:numId w:val="39"/>
        </w:numPr>
        <w:rPr>
          <w:rFonts w:ascii="Arial" w:cs="Arial" w:eastAsia="Arial" w:hAnsi="Arial"/>
          <w:sz w:val="11"/>
          <w:szCs w:val="11"/>
          <w:color w:val="auto"/>
        </w:rPr>
      </w:pPr>
      <w:r>
        <w:rPr>
          <w:rFonts w:ascii="Arial" w:cs="Arial" w:eastAsia="Arial" w:hAnsi="Arial"/>
          <w:sz w:val="11"/>
          <w:szCs w:val="11"/>
          <w:u w:val="single" w:color="auto"/>
          <w:color w:val="auto"/>
        </w:rPr>
        <w:t>Payments and Deliveries</w:t>
      </w:r>
      <w:r>
        <w:rPr>
          <w:rFonts w:ascii="Arial" w:cs="Arial" w:eastAsia="Arial" w:hAnsi="Arial"/>
          <w:sz w:val="11"/>
          <w:szCs w:val="11"/>
          <w:color w:val="auto"/>
        </w:rPr>
        <w:t>. On the third Scheduled Trading Day following the final Hedge Unwind Date or, if such day is not a Clearance System Business Day, on the next Clearance System Business Day immediately following such day (the “</w:t>
      </w:r>
      <w:r>
        <w:rPr>
          <w:rFonts w:ascii="Arial" w:cs="Arial" w:eastAsia="Arial" w:hAnsi="Arial"/>
          <w:sz w:val="11"/>
          <w:szCs w:val="11"/>
          <w:b w:val="1"/>
          <w:bCs w:val="1"/>
          <w:color w:val="auto"/>
        </w:rPr>
        <w:t>Payment Date</w:t>
      </w:r>
      <w:r>
        <w:rPr>
          <w:rFonts w:ascii="Arial" w:cs="Arial" w:eastAsia="Arial" w:hAnsi="Arial"/>
          <w:sz w:val="11"/>
          <w:szCs w:val="11"/>
          <w:color w:val="auto"/>
        </w:rPr>
        <w:t>”), Company shall pay to Dealer in immediately available funds cash in an amount equal to the Cash Settlement Amount. The “</w:t>
      </w:r>
      <w:r>
        <w:rPr>
          <w:rFonts w:ascii="Arial" w:cs="Arial" w:eastAsia="Arial" w:hAnsi="Arial"/>
          <w:sz w:val="11"/>
          <w:szCs w:val="11"/>
          <w:b w:val="1"/>
          <w:bCs w:val="1"/>
          <w:color w:val="auto"/>
        </w:rPr>
        <w:t>Cash Settlement Amount</w:t>
      </w:r>
      <w:r>
        <w:rPr>
          <w:rFonts w:ascii="Arial" w:cs="Arial" w:eastAsia="Arial" w:hAnsi="Arial"/>
          <w:sz w:val="11"/>
          <w:szCs w:val="11"/>
          <w:color w:val="auto"/>
        </w:rPr>
        <w:t>” shall mean an amount in US Dollars determined by Dealer according to the table set forth in Schedule A attached hereto (using linear interpolation or commercially reasonable extrapolation by Dealer, as applicable, to determine the Cash Settlement Amount for any Average VWAP not specifically appearing in Schedule A). “</w:t>
      </w:r>
      <w:r>
        <w:rPr>
          <w:rFonts w:ascii="Arial" w:cs="Arial" w:eastAsia="Arial" w:hAnsi="Arial"/>
          <w:sz w:val="11"/>
          <w:szCs w:val="11"/>
          <w:b w:val="1"/>
          <w:bCs w:val="1"/>
          <w:color w:val="auto"/>
        </w:rPr>
        <w:t>Average VWAP</w:t>
      </w:r>
      <w:r>
        <w:rPr>
          <w:rFonts w:ascii="Arial" w:cs="Arial" w:eastAsia="Arial" w:hAnsi="Arial"/>
          <w:sz w:val="11"/>
          <w:szCs w:val="11"/>
          <w:color w:val="auto"/>
        </w:rPr>
        <w:t>” means the arithmetic average of the VWAP Prices for each Hedge Unwind Date during the Hedge Unwind Period. “</w:t>
      </w:r>
      <w:r>
        <w:rPr>
          <w:rFonts w:ascii="Arial" w:cs="Arial" w:eastAsia="Arial" w:hAnsi="Arial"/>
          <w:sz w:val="11"/>
          <w:szCs w:val="11"/>
          <w:b w:val="1"/>
          <w:bCs w:val="1"/>
          <w:color w:val="auto"/>
        </w:rPr>
        <w:t>VWAP Price</w:t>
      </w:r>
      <w:r>
        <w:rPr>
          <w:rFonts w:ascii="Arial" w:cs="Arial" w:eastAsia="Arial" w:hAnsi="Arial"/>
          <w:sz w:val="11"/>
          <w:szCs w:val="11"/>
          <w:color w:val="auto"/>
        </w:rPr>
        <w:t>” for any Scheduled Trading Day means the per Share volume-weighted average price as displayed under the heading “Bloomberg VWAP” on Bloomberg page EZPW &lt;equity&gt; AQR (or any successor thereto) in respect of the period from 9:30 am to 4:00 pm (New York City time) on such Scheduled Trading Day (or if such volume-weighted average price is unavailable, the market value of one Share on such Scheduled Trading Day for such time period, as determined by Dealer).</w:t>
      </w:r>
    </w:p>
    <w:p>
      <w:pPr>
        <w:sectPr>
          <w:pgSz w:w="11900" w:h="16838" w:orient="portrait"/>
          <w:cols w:equalWidth="0" w:num="1">
            <w:col w:w="11480"/>
          </w:cols>
          <w:pgMar w:left="220" w:top="680" w:right="19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2"/>
          <w:szCs w:val="12"/>
          <w:color w:val="auto"/>
        </w:rPr>
        <w:t>Notwithstanding the foregoing, if any Scheduled Trading Day in the Hedge Unwind Period is a Disrupted Day (in whole or in part), then the VWAP Price for such Scheduled Trading Day(s) shall be the volume-weighted average price per Share on such Scheduled Trading Day on the Exchange for such time period, as determined by Dealer based on such sources as it deems appropriate using a volume-weighted methodology, for the portion of such Scheduled Trading Day for which Dealer determines there is no Market Disruption Event with respect to the Shares (if any) and the number of Hedge Unwind Dates and the Cash Settlement Amount shall be adjusted by Dealer in its good faith, commercially reasonable discretion to account for such disruption and/or extension.</w:t>
      </w:r>
    </w:p>
    <w:p>
      <w:pPr>
        <w:spacing w:after="0" w:line="121" w:lineRule="exact"/>
        <w:rPr>
          <w:sz w:val="20"/>
          <w:szCs w:val="20"/>
          <w:color w:val="auto"/>
        </w:rPr>
      </w:pPr>
    </w:p>
    <w:p>
      <w:pPr>
        <w:jc w:val="both"/>
        <w:ind w:firstLine="424"/>
        <w:spacing w:after="0" w:line="292" w:lineRule="auto"/>
        <w:tabs>
          <w:tab w:leader="none" w:pos="669" w:val="left"/>
        </w:tabs>
        <w:numPr>
          <w:ilvl w:val="0"/>
          <w:numId w:val="40"/>
        </w:numPr>
        <w:rPr>
          <w:rFonts w:ascii="Arial" w:cs="Arial" w:eastAsia="Arial" w:hAnsi="Arial"/>
          <w:sz w:val="11"/>
          <w:szCs w:val="11"/>
          <w:color w:val="auto"/>
        </w:rPr>
      </w:pPr>
      <w:r>
        <w:rPr>
          <w:rFonts w:ascii="Arial" w:cs="Arial" w:eastAsia="Arial" w:hAnsi="Arial"/>
          <w:sz w:val="11"/>
          <w:szCs w:val="11"/>
          <w:u w:val="single" w:color="auto"/>
          <w:color w:val="auto"/>
        </w:rPr>
        <w:t>Effectiveness</w:t>
      </w:r>
      <w:r>
        <w:rPr>
          <w:rFonts w:ascii="Arial" w:cs="Arial" w:eastAsia="Arial" w:hAnsi="Arial"/>
          <w:sz w:val="11"/>
          <w:szCs w:val="11"/>
          <w:color w:val="auto"/>
        </w:rPr>
        <w:t>. This Agreement, including the termination and amendment of the Warrant Confirmations as set forth herein, shall be effective upon the date (the “</w:t>
      </w:r>
      <w:r>
        <w:rPr>
          <w:rFonts w:ascii="Arial" w:cs="Arial" w:eastAsia="Arial" w:hAnsi="Arial"/>
          <w:sz w:val="11"/>
          <w:szCs w:val="11"/>
          <w:b w:val="1"/>
          <w:bCs w:val="1"/>
          <w:color w:val="auto"/>
        </w:rPr>
        <w:t>Effective Date</w:t>
      </w:r>
      <w:r>
        <w:rPr>
          <w:rFonts w:ascii="Arial" w:cs="Arial" w:eastAsia="Arial" w:hAnsi="Arial"/>
          <w:sz w:val="11"/>
          <w:szCs w:val="11"/>
          <w:color w:val="auto"/>
        </w:rPr>
        <w:t>”) that each of (i) Company’s offering of its 2.875% Convertible Senior Notes due 2024 and (ii) Company’s repurchase of its 2.125% Cash Convertible Senior Notes due 2019 has been consummated and settled. If, for any reason, the Effective Date has not occurred on or prior to July 5, 2017, (i) this Agreement shall automatically terminate and all of the respective rights and obligations of Company and Dealer hereunder shall be cancelled, terminated and discharged and (ii) each party shall be released and discharged by the other party from, and agrees not to make any claim against the other party with respect to, any obligations or liabilities of the other party arising out of and to be performed in connection with this Agreement.</w:t>
      </w:r>
    </w:p>
    <w:p>
      <w:pPr>
        <w:spacing w:after="0" w:line="109" w:lineRule="exact"/>
        <w:rPr>
          <w:rFonts w:ascii="Arial" w:cs="Arial" w:eastAsia="Arial" w:hAnsi="Arial"/>
          <w:sz w:val="11"/>
          <w:szCs w:val="11"/>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Company</w:t>
      </w:r>
      <w:r>
        <w:rPr>
          <w:rFonts w:ascii="Arial" w:cs="Arial" w:eastAsia="Arial" w:hAnsi="Arial"/>
          <w:sz w:val="12"/>
          <w:szCs w:val="12"/>
          <w:color w:val="auto"/>
        </w:rPr>
        <w:t>. Company represents and warrants to Dealer (and agrees with Dealer in the case of Section 6(g)(ii))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40"/>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40"/>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40"/>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40"/>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1020" w:hanging="163"/>
        <w:spacing w:after="0"/>
        <w:tabs>
          <w:tab w:leader="none" w:pos="1020" w:val="left"/>
        </w:tabs>
        <w:numPr>
          <w:ilvl w:val="1"/>
          <w:numId w:val="40"/>
        </w:numPr>
        <w:rPr>
          <w:rFonts w:ascii="Arial" w:cs="Arial" w:eastAsia="Arial" w:hAnsi="Arial"/>
          <w:sz w:val="12"/>
          <w:szCs w:val="12"/>
          <w:color w:val="auto"/>
        </w:rPr>
      </w:pPr>
      <w:r>
        <w:rPr>
          <w:rFonts w:ascii="Arial" w:cs="Arial" w:eastAsia="Arial" w:hAnsi="Arial"/>
          <w:sz w:val="12"/>
          <w:szCs w:val="12"/>
          <w:color w:val="auto"/>
        </w:rPr>
        <w:t>each of it and its affiliates is not in possession of any material nonpublic information regarding Company or the Shares;</w:t>
      </w:r>
    </w:p>
    <w:p>
      <w:pPr>
        <w:spacing w:after="0" w:line="150" w:lineRule="exact"/>
        <w:rPr>
          <w:rFonts w:ascii="Arial" w:cs="Arial" w:eastAsia="Arial" w:hAnsi="Arial"/>
          <w:sz w:val="12"/>
          <w:szCs w:val="12"/>
          <w:color w:val="auto"/>
        </w:rPr>
      </w:pPr>
    </w:p>
    <w:p>
      <w:pPr>
        <w:jc w:val="both"/>
        <w:ind w:firstLine="857"/>
        <w:spacing w:after="0" w:line="298" w:lineRule="auto"/>
        <w:tabs>
          <w:tab w:leader="none" w:pos="1015" w:val="left"/>
        </w:tabs>
        <w:numPr>
          <w:ilvl w:val="1"/>
          <w:numId w:val="40"/>
        </w:numPr>
        <w:rPr>
          <w:rFonts w:ascii="Arial" w:cs="Arial" w:eastAsia="Arial" w:hAnsi="Arial"/>
          <w:sz w:val="11"/>
          <w:szCs w:val="11"/>
          <w:color w:val="auto"/>
        </w:rPr>
      </w:pPr>
      <w:r>
        <w:rPr>
          <w:rFonts w:ascii="Arial" w:cs="Arial" w:eastAsia="Arial" w:hAnsi="Arial"/>
          <w:sz w:val="11"/>
          <w:szCs w:val="11"/>
          <w:color w:val="auto"/>
        </w:rPr>
        <w:t>it is not entering into this Agreement to create actual or apparent trading activity in the Shares (or any security convertible into or exchangeable for the Shares), to raise or depress or otherwise manipulate the price of the Shares (or any security convertible into or exchangeable for the Shares), for the purpose of inducing the sale of the Shares (or any security convertible into or exchangeable for the Shares) by others or otherwise in violation of the Securities Exchange Act of 1934, as amended (the “</w:t>
      </w:r>
      <w:r>
        <w:rPr>
          <w:rFonts w:ascii="Arial" w:cs="Arial" w:eastAsia="Arial" w:hAnsi="Arial"/>
          <w:sz w:val="11"/>
          <w:szCs w:val="11"/>
          <w:b w:val="1"/>
          <w:bCs w:val="1"/>
          <w:color w:val="auto"/>
        </w:rPr>
        <w:t>Exchange Act</w:t>
      </w:r>
      <w:r>
        <w:rPr>
          <w:rFonts w:ascii="Arial" w:cs="Arial" w:eastAsia="Arial" w:hAnsi="Arial"/>
          <w:sz w:val="11"/>
          <w:szCs w:val="1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makes no representation or warranty with respect to Dealer’s Hedge Position (or any other dealer’s hedge position); and</w:t>
      </w:r>
    </w:p>
    <w:p>
      <w:pPr>
        <w:spacing w:after="0" w:line="101" w:lineRule="exact"/>
        <w:rPr>
          <w:rFonts w:ascii="Arial" w:cs="Arial" w:eastAsia="Arial" w:hAnsi="Arial"/>
          <w:sz w:val="11"/>
          <w:szCs w:val="11"/>
          <w:color w:val="auto"/>
        </w:rPr>
      </w:pPr>
    </w:p>
    <w:p>
      <w:pPr>
        <w:jc w:val="both"/>
        <w:ind w:firstLine="857"/>
        <w:spacing w:after="0" w:line="258" w:lineRule="auto"/>
        <w:tabs>
          <w:tab w:leader="none" w:pos="1035" w:val="left"/>
        </w:tabs>
        <w:numPr>
          <w:ilvl w:val="1"/>
          <w:numId w:val="40"/>
        </w:numPr>
        <w:rPr>
          <w:rFonts w:ascii="Arial" w:cs="Arial" w:eastAsia="Arial" w:hAnsi="Arial"/>
          <w:sz w:val="12"/>
          <w:szCs w:val="12"/>
          <w:color w:val="auto"/>
        </w:rPr>
      </w:pPr>
      <w:r>
        <w:rPr>
          <w:rFonts w:ascii="Arial" w:cs="Arial" w:eastAsia="Arial" w:hAnsi="Arial"/>
          <w:sz w:val="12"/>
          <w:szCs w:val="12"/>
          <w:color w:val="auto"/>
        </w:rPr>
        <w:t>(i) it is not on the date hereof, engaged in a distribution, as such term is used in Regulation M under the Exchange Act (“</w:t>
      </w:r>
      <w:r>
        <w:rPr>
          <w:rFonts w:ascii="Arial" w:cs="Arial" w:eastAsia="Arial" w:hAnsi="Arial"/>
          <w:sz w:val="12"/>
          <w:szCs w:val="12"/>
          <w:b w:val="1"/>
          <w:bCs w:val="1"/>
          <w:color w:val="auto"/>
        </w:rPr>
        <w:t>Regulation M”</w:t>
      </w:r>
      <w:r>
        <w:rPr>
          <w:rFonts w:ascii="Arial" w:cs="Arial" w:eastAsia="Arial" w:hAnsi="Arial"/>
          <w:sz w:val="12"/>
          <w:szCs w:val="12"/>
          <w:color w:val="auto"/>
        </w:rPr>
        <w:t xml:space="preserve">), of the Shares or any securities deemed “reference securities” (as defined in Regulation M) with respect to the Shares and (ii) it shall not engage in any such distribution during the period commencing on the date hereof and ending on the second Exchange Business Day immediately following the last day of the Hedge Unwind Period with respect to the Shares or such reference securities, unless it notifies Dealer, on the day immediately preceding the first day of the “restricted period” (as defined in Regulation M) of any such distribution, and of completion of such restricted period on the date such distribution is concluded;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connection with the notification with respect to the completion of the restricted period, it shall be deemed to repeat the representations contained in paragraphs (e) and (f) of this Section 6.</w:t>
      </w:r>
    </w:p>
    <w:p>
      <w:pPr>
        <w:spacing w:after="0" w:line="126" w:lineRule="exact"/>
        <w:rPr>
          <w:rFonts w:ascii="Arial" w:cs="Arial" w:eastAsia="Arial" w:hAnsi="Arial"/>
          <w:sz w:val="12"/>
          <w:szCs w:val="12"/>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Dealer</w:t>
      </w:r>
      <w:r>
        <w:rPr>
          <w:rFonts w:ascii="Arial" w:cs="Arial" w:eastAsia="Arial" w:hAnsi="Arial"/>
          <w:sz w:val="12"/>
          <w:szCs w:val="12"/>
          <w:color w:val="auto"/>
        </w:rPr>
        <w:t>. Dealer represents and warrants to Company on the date hereof that: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581" w:right="199" w:bottom="1440" w:gutter="0" w:footer="0" w:header="0"/>
        </w:sectPr>
      </w:pPr>
    </w:p>
    <w:bookmarkStart w:id="56" w:name="page57"/>
    <w:bookmarkEnd w:id="56"/>
    <w:p>
      <w:pPr>
        <w:ind w:firstLine="857"/>
        <w:spacing w:after="0" w:line="276" w:lineRule="auto"/>
        <w:tabs>
          <w:tab w:leader="none" w:pos="1028" w:val="left"/>
        </w:tabs>
        <w:numPr>
          <w:ilvl w:val="1"/>
          <w:numId w:val="41"/>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41"/>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41"/>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 and</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41"/>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u w:val="single" w:color="auto"/>
          <w:color w:val="auto"/>
        </w:rPr>
        <w:t>Account for Payment to Dealer</w:t>
      </w:r>
      <w:r>
        <w:rPr>
          <w:rFonts w:ascii="Arial" w:cs="Arial" w:eastAsia="Arial" w:hAnsi="Arial"/>
          <w:sz w:val="12"/>
          <w:szCs w:val="12"/>
          <w:color w:val="auto"/>
        </w:rPr>
        <w:t>:</w:t>
      </w:r>
    </w:p>
    <w:p>
      <w:pPr>
        <w:spacing w:after="0" w:line="150" w:lineRule="exact"/>
        <w:rPr>
          <w:sz w:val="20"/>
          <w:szCs w:val="20"/>
          <w:color w:val="auto"/>
        </w:rPr>
      </w:pPr>
    </w:p>
    <w:tbl>
      <w:tblPr>
        <w:tblLayout w:type="fixed"/>
        <w:tblInd w:w="860" w:type="dxa"/>
        <w:tblCellMar>
          <w:top w:w="0" w:type="dxa"/>
          <w:left w:w="0" w:type="dxa"/>
          <w:bottom w:w="0" w:type="dxa"/>
          <w:right w:w="0" w:type="dxa"/>
        </w:tblCellMar>
      </w:tblPr>
      <w:tr>
        <w:trPr>
          <w:trHeight w:val="144"/>
        </w:trPr>
        <w:tc>
          <w:tcPr>
            <w:tcW w:w="480" w:type="dxa"/>
            <w:vAlign w:val="bottom"/>
          </w:tcPr>
          <w:p>
            <w:pPr>
              <w:spacing w:after="0"/>
              <w:rPr>
                <w:sz w:val="20"/>
                <w:szCs w:val="20"/>
                <w:color w:val="auto"/>
              </w:rPr>
            </w:pPr>
            <w:r>
              <w:rPr>
                <w:rFonts w:ascii="Arial" w:cs="Arial" w:eastAsia="Arial" w:hAnsi="Arial"/>
                <w:sz w:val="12"/>
                <w:szCs w:val="12"/>
                <w:color w:val="auto"/>
              </w:rPr>
              <w:t>Bank:</w:t>
            </w:r>
          </w:p>
        </w:tc>
        <w:tc>
          <w:tcPr>
            <w:tcW w:w="1640" w:type="dxa"/>
            <w:vAlign w:val="bottom"/>
            <w:gridSpan w:val="2"/>
          </w:tcPr>
          <w:p>
            <w:pPr>
              <w:jc w:val="right"/>
              <w:ind w:right="620"/>
              <w:spacing w:after="0"/>
              <w:rPr>
                <w:sz w:val="20"/>
                <w:szCs w:val="20"/>
                <w:color w:val="auto"/>
              </w:rPr>
            </w:pPr>
            <w:r>
              <w:rPr>
                <w:rFonts w:ascii="Arial" w:cs="Arial" w:eastAsia="Arial" w:hAnsi="Arial"/>
                <w:sz w:val="12"/>
                <w:szCs w:val="12"/>
                <w:color w:val="auto"/>
                <w:w w:val="96"/>
              </w:rPr>
              <w:t>UBS AG Stamford</w:t>
            </w:r>
          </w:p>
        </w:tc>
      </w:tr>
      <w:tr>
        <w:trPr>
          <w:trHeight w:val="144"/>
        </w:trPr>
        <w:tc>
          <w:tcPr>
            <w:tcW w:w="720" w:type="dxa"/>
            <w:vAlign w:val="bottom"/>
            <w:gridSpan w:val="2"/>
          </w:tcPr>
          <w:p>
            <w:pPr>
              <w:spacing w:after="0"/>
              <w:rPr>
                <w:sz w:val="20"/>
                <w:szCs w:val="20"/>
                <w:color w:val="auto"/>
              </w:rPr>
            </w:pPr>
            <w:r>
              <w:rPr>
                <w:rFonts w:ascii="Arial" w:cs="Arial" w:eastAsia="Arial" w:hAnsi="Arial"/>
                <w:sz w:val="12"/>
                <w:szCs w:val="12"/>
                <w:color w:val="auto"/>
                <w:w w:val="92"/>
              </w:rPr>
              <w:t>Bank Routing:</w:t>
            </w:r>
          </w:p>
        </w:tc>
        <w:tc>
          <w:tcPr>
            <w:tcW w:w="1400" w:type="dxa"/>
            <w:vAlign w:val="bottom"/>
          </w:tcPr>
          <w:p>
            <w:pPr>
              <w:jc w:val="right"/>
              <w:ind w:right="500"/>
              <w:spacing w:after="0"/>
              <w:rPr>
                <w:sz w:val="20"/>
                <w:szCs w:val="20"/>
                <w:color w:val="auto"/>
              </w:rPr>
            </w:pPr>
            <w:r>
              <w:rPr>
                <w:rFonts w:ascii="Arial" w:cs="Arial" w:eastAsia="Arial" w:hAnsi="Arial"/>
                <w:sz w:val="12"/>
                <w:szCs w:val="12"/>
                <w:color w:val="auto"/>
              </w:rPr>
              <w:t>026-007-993</w:t>
            </w:r>
          </w:p>
        </w:tc>
      </w:tr>
      <w:tr>
        <w:trPr>
          <w:trHeight w:val="144"/>
        </w:trPr>
        <w:tc>
          <w:tcPr>
            <w:tcW w:w="2120" w:type="dxa"/>
            <w:vAlign w:val="bottom"/>
            <w:gridSpan w:val="3"/>
          </w:tcPr>
          <w:p>
            <w:pPr>
              <w:spacing w:after="0"/>
              <w:rPr>
                <w:sz w:val="20"/>
                <w:szCs w:val="20"/>
                <w:color w:val="auto"/>
              </w:rPr>
            </w:pPr>
            <w:r>
              <w:rPr>
                <w:rFonts w:ascii="Arial" w:cs="Arial" w:eastAsia="Arial" w:hAnsi="Arial"/>
                <w:sz w:val="12"/>
                <w:szCs w:val="12"/>
                <w:color w:val="auto"/>
                <w:w w:val="94"/>
              </w:rPr>
              <w:t>Account Name:  UBS AG, London Branch</w:t>
            </w:r>
          </w:p>
        </w:tc>
      </w:tr>
      <w:tr>
        <w:trPr>
          <w:trHeight w:val="144"/>
        </w:trPr>
        <w:tc>
          <w:tcPr>
            <w:tcW w:w="480" w:type="dxa"/>
            <w:vAlign w:val="bottom"/>
          </w:tcPr>
          <w:p>
            <w:pPr>
              <w:spacing w:after="0"/>
              <w:rPr>
                <w:sz w:val="20"/>
                <w:szCs w:val="20"/>
                <w:color w:val="auto"/>
              </w:rPr>
            </w:pPr>
            <w:r>
              <w:rPr>
                <w:rFonts w:ascii="Arial" w:cs="Arial" w:eastAsia="Arial" w:hAnsi="Arial"/>
                <w:sz w:val="12"/>
                <w:szCs w:val="12"/>
                <w:color w:val="auto"/>
                <w:w w:val="94"/>
              </w:rPr>
              <w:t>Acct No.:</w:t>
            </w:r>
          </w:p>
        </w:tc>
        <w:tc>
          <w:tcPr>
            <w:tcW w:w="240" w:type="dxa"/>
            <w:vAlign w:val="bottom"/>
          </w:tcPr>
          <w:p>
            <w:pPr>
              <w:spacing w:after="0"/>
              <w:rPr>
                <w:sz w:val="12"/>
                <w:szCs w:val="12"/>
                <w:color w:val="auto"/>
              </w:rPr>
            </w:pPr>
          </w:p>
        </w:tc>
        <w:tc>
          <w:tcPr>
            <w:tcW w:w="1400" w:type="dxa"/>
            <w:vAlign w:val="bottom"/>
          </w:tcPr>
          <w:p>
            <w:pPr>
              <w:jc w:val="center"/>
              <w:ind w:right="280"/>
              <w:spacing w:after="0"/>
              <w:rPr>
                <w:sz w:val="20"/>
                <w:szCs w:val="20"/>
                <w:color w:val="auto"/>
              </w:rPr>
            </w:pPr>
            <w:r>
              <w:rPr>
                <w:rFonts w:ascii="Arial" w:cs="Arial" w:eastAsia="Arial" w:hAnsi="Arial"/>
                <w:sz w:val="12"/>
                <w:szCs w:val="12"/>
                <w:color w:val="auto"/>
                <w:w w:val="91"/>
              </w:rPr>
              <w:t>101-WA-140007-000</w:t>
            </w:r>
          </w:p>
        </w:tc>
      </w:tr>
      <w:tr>
        <w:trPr>
          <w:trHeight w:val="153"/>
        </w:trPr>
        <w:tc>
          <w:tcPr>
            <w:tcW w:w="480" w:type="dxa"/>
            <w:vAlign w:val="bottom"/>
          </w:tcPr>
          <w:p>
            <w:pPr>
              <w:spacing w:after="0"/>
              <w:rPr>
                <w:sz w:val="20"/>
                <w:szCs w:val="20"/>
                <w:color w:val="auto"/>
              </w:rPr>
            </w:pPr>
            <w:r>
              <w:rPr>
                <w:rFonts w:ascii="Arial" w:cs="Arial" w:eastAsia="Arial" w:hAnsi="Arial"/>
                <w:sz w:val="12"/>
                <w:szCs w:val="12"/>
                <w:color w:val="auto"/>
              </w:rPr>
              <w:t>Attn:</w:t>
            </w:r>
          </w:p>
        </w:tc>
        <w:tc>
          <w:tcPr>
            <w:tcW w:w="164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Equity Derivatives Settlements</w:t>
            </w:r>
          </w:p>
        </w:tc>
      </w:tr>
    </w:tbl>
    <w:p>
      <w:pPr>
        <w:spacing w:after="0" w:line="135" w:lineRule="exact"/>
        <w:rPr>
          <w:sz w:val="20"/>
          <w:szCs w:val="20"/>
          <w:color w:val="auto"/>
        </w:rPr>
      </w:pPr>
    </w:p>
    <w:p>
      <w:pPr>
        <w:ind w:left="660" w:hanging="236"/>
        <w:spacing w:after="0"/>
        <w:tabs>
          <w:tab w:leader="none" w:pos="660" w:val="left"/>
        </w:tabs>
        <w:numPr>
          <w:ilvl w:val="0"/>
          <w:numId w:val="43"/>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any dispute arising hereunder shall be governed by and construed in accordance with the laws of the State of New York (without reference to choice of law doctrine).</w:t>
      </w:r>
    </w:p>
    <w:p>
      <w:pPr>
        <w:spacing w:after="0" w:line="150" w:lineRule="exact"/>
        <w:rPr>
          <w:rFonts w:ascii="Arial" w:cs="Arial" w:eastAsia="Arial" w:hAnsi="Arial"/>
          <w:sz w:val="12"/>
          <w:szCs w:val="12"/>
          <w:color w:val="auto"/>
        </w:rPr>
      </w:pPr>
    </w:p>
    <w:p>
      <w:pPr>
        <w:ind w:left="720" w:hanging="296"/>
        <w:spacing w:after="0"/>
        <w:tabs>
          <w:tab w:leader="none" w:pos="720" w:val="left"/>
        </w:tabs>
        <w:numPr>
          <w:ilvl w:val="0"/>
          <w:numId w:val="43"/>
        </w:numPr>
        <w:rPr>
          <w:rFonts w:ascii="Arial" w:cs="Arial" w:eastAsia="Arial" w:hAnsi="Arial"/>
          <w:sz w:val="11"/>
          <w:szCs w:val="11"/>
          <w:color w:val="auto"/>
        </w:rPr>
      </w:pP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signed in any number of counterparts, each of which shall be an original, with the same effect as if all of the signatures thereto and hereto were upon the same instrument.</w:t>
      </w:r>
    </w:p>
    <w:p>
      <w:pPr>
        <w:spacing w:after="0" w:line="161" w:lineRule="exact"/>
        <w:rPr>
          <w:rFonts w:ascii="Arial" w:cs="Arial" w:eastAsia="Arial" w:hAnsi="Arial"/>
          <w:sz w:val="11"/>
          <w:szCs w:val="11"/>
          <w:color w:val="auto"/>
        </w:rPr>
      </w:pPr>
    </w:p>
    <w:p>
      <w:pPr>
        <w:ind w:firstLine="424"/>
        <w:spacing w:after="0" w:line="276" w:lineRule="auto"/>
        <w:tabs>
          <w:tab w:leader="none" w:pos="725" w:val="left"/>
        </w:tabs>
        <w:numPr>
          <w:ilvl w:val="0"/>
          <w:numId w:val="43"/>
        </w:numPr>
        <w:rPr>
          <w:rFonts w:ascii="Arial" w:cs="Arial" w:eastAsia="Arial" w:hAnsi="Arial"/>
          <w:sz w:val="12"/>
          <w:szCs w:val="12"/>
          <w:color w:val="auto"/>
        </w:rPr>
      </w:pPr>
      <w:r>
        <w:rPr>
          <w:rFonts w:ascii="Arial" w:cs="Arial" w:eastAsia="Arial" w:hAnsi="Arial"/>
          <w:sz w:val="12"/>
          <w:szCs w:val="12"/>
          <w:u w:val="single" w:color="auto"/>
          <w:color w:val="auto"/>
        </w:rPr>
        <w:t>No Reliance, etc</w:t>
      </w:r>
      <w:r>
        <w:rPr>
          <w:rFonts w:ascii="Arial" w:cs="Arial" w:eastAsia="Arial" w:hAnsi="Arial"/>
          <w:sz w:val="12"/>
          <w:szCs w:val="12"/>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14" w:lineRule="exact"/>
        <w:rPr>
          <w:rFonts w:ascii="Arial" w:cs="Arial" w:eastAsia="Arial" w:hAnsi="Arial"/>
          <w:sz w:val="12"/>
          <w:szCs w:val="12"/>
          <w:color w:val="auto"/>
        </w:rPr>
      </w:pPr>
    </w:p>
    <w:p>
      <w:pPr>
        <w:jc w:val="both"/>
        <w:ind w:firstLine="424"/>
        <w:spacing w:after="0" w:line="263" w:lineRule="auto"/>
        <w:tabs>
          <w:tab w:leader="none" w:pos="711" w:val="left"/>
        </w:tabs>
        <w:numPr>
          <w:ilvl w:val="0"/>
          <w:numId w:val="43"/>
        </w:numPr>
        <w:rPr>
          <w:rFonts w:ascii="Arial" w:cs="Arial" w:eastAsia="Arial" w:hAnsi="Arial"/>
          <w:sz w:val="12"/>
          <w:szCs w:val="12"/>
          <w:color w:val="auto"/>
        </w:rPr>
      </w:pPr>
      <w:r>
        <w:rPr>
          <w:rFonts w:ascii="Arial" w:cs="Arial" w:eastAsia="Arial" w:hAnsi="Arial"/>
          <w:sz w:val="12"/>
          <w:szCs w:val="12"/>
          <w:u w:val="single" w:color="auto"/>
          <w:color w:val="auto"/>
        </w:rPr>
        <w:t>Designation by Dealer</w:t>
      </w:r>
      <w:r>
        <w:rPr>
          <w:rFonts w:ascii="Arial" w:cs="Arial" w:eastAsia="Arial" w:hAnsi="Arial"/>
          <w:sz w:val="12"/>
          <w:szCs w:val="12"/>
          <w:color w:val="auto"/>
        </w:rPr>
        <w:t>. Notwithstanding any other provision in this Agreement to the contrary requiring or allowing Dealer to purchase, sell, receive or deliver any Shares or other securities to or from Company, Dealer may designate any of its affiliates to purchase, sell, receive or deliver such shares or other securities and otherwise to perform Dealer obligations in respect of the transactions contemplated by this Agreement and any such designee may assume such obligations. Dealer shall be discharged of its obligations to Company to the extent of any such performance.</w:t>
      </w:r>
    </w:p>
    <w:p>
      <w:pPr>
        <w:spacing w:after="0" w:line="122" w:lineRule="exact"/>
        <w:rPr>
          <w:rFonts w:ascii="Arial" w:cs="Arial" w:eastAsia="Arial" w:hAnsi="Arial"/>
          <w:sz w:val="12"/>
          <w:szCs w:val="12"/>
          <w:color w:val="auto"/>
        </w:rPr>
      </w:pPr>
    </w:p>
    <w:p>
      <w:pPr>
        <w:jc w:val="both"/>
        <w:ind w:firstLine="424"/>
        <w:spacing w:after="0" w:line="263" w:lineRule="auto"/>
        <w:tabs>
          <w:tab w:leader="none" w:pos="747" w:val="left"/>
        </w:tabs>
        <w:numPr>
          <w:ilvl w:val="0"/>
          <w:numId w:val="43"/>
        </w:numPr>
        <w:rPr>
          <w:rFonts w:ascii="Arial" w:cs="Arial" w:eastAsia="Arial" w:hAnsi="Arial"/>
          <w:sz w:val="12"/>
          <w:szCs w:val="12"/>
          <w:color w:val="auto"/>
        </w:rPr>
      </w:pPr>
      <w:r>
        <w:rPr>
          <w:rFonts w:ascii="Arial" w:cs="Arial" w:eastAsia="Arial" w:hAnsi="Arial"/>
          <w:sz w:val="12"/>
          <w:szCs w:val="12"/>
          <w:u w:val="single" w:color="auto"/>
          <w:color w:val="auto"/>
        </w:rPr>
        <w:t>No Setoff; No Collateral</w:t>
      </w:r>
      <w:r>
        <w:rPr>
          <w:rFonts w:ascii="Arial" w:cs="Arial" w:eastAsia="Arial" w:hAnsi="Arial"/>
          <w:sz w:val="12"/>
          <w:szCs w:val="12"/>
          <w:color w:val="auto"/>
        </w:rPr>
        <w:t>. Notwithstanding any provision of this Agreement or any other agreement between the parties to the contrary, the obligations of Company hereunder are not, and shall not be, secured by any collateral. Each party waives any and all rights it may have to set off obligations arising under this Agreement and the Transaction against other obligations between the parties, whether arising under any other agreement, applicable law or otherwise.</w:t>
      </w:r>
    </w:p>
    <w:p>
      <w:pPr>
        <w:spacing w:after="0" w:line="122" w:lineRule="exact"/>
        <w:rPr>
          <w:rFonts w:ascii="Arial" w:cs="Arial" w:eastAsia="Arial" w:hAnsi="Arial"/>
          <w:sz w:val="12"/>
          <w:szCs w:val="12"/>
          <w:color w:val="auto"/>
        </w:rPr>
      </w:pPr>
    </w:p>
    <w:p>
      <w:pPr>
        <w:ind w:left="700" w:hanging="276"/>
        <w:spacing w:after="0"/>
        <w:tabs>
          <w:tab w:leader="none" w:pos="700" w:val="left"/>
        </w:tabs>
        <w:numPr>
          <w:ilvl w:val="0"/>
          <w:numId w:val="43"/>
        </w:numPr>
        <w:rPr>
          <w:rFonts w:ascii="Arial" w:cs="Arial" w:eastAsia="Arial" w:hAnsi="Arial"/>
          <w:sz w:val="12"/>
          <w:szCs w:val="12"/>
          <w:color w:val="auto"/>
        </w:rPr>
      </w:pPr>
      <w:r>
        <w:rPr>
          <w:rFonts w:ascii="Arial" w:cs="Arial" w:eastAsia="Arial" w:hAnsi="Arial"/>
          <w:sz w:val="12"/>
          <w:szCs w:val="12"/>
          <w:u w:val="single" w:color="auto"/>
          <w:color w:val="auto"/>
        </w:rPr>
        <w:t>No Other Changes</w:t>
      </w:r>
      <w:r>
        <w:rPr>
          <w:rFonts w:ascii="Arial" w:cs="Arial" w:eastAsia="Arial" w:hAnsi="Arial"/>
          <w:sz w:val="12"/>
          <w:szCs w:val="12"/>
          <w:color w:val="auto"/>
        </w:rPr>
        <w:t>. Except as expressly set forth herein, all of the terms and conditions of the Base Warrants Confirmation shall remain in full force and effect and are hereby confirmed in all respects.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Follows</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581" w:right="199" w:bottom="1440" w:gutter="0" w:footer="0" w:header="0"/>
        </w:sectPr>
      </w:pPr>
    </w:p>
    <w:bookmarkStart w:id="57" w:name="page58"/>
    <w:bookmarkEnd w:id="57"/>
    <w:p>
      <w:pPr>
        <w:spacing w:after="0"/>
        <w:rPr>
          <w:sz w:val="20"/>
          <w:szCs w:val="20"/>
          <w:color w:val="auto"/>
        </w:rPr>
      </w:pPr>
      <w:r>
        <w:rPr>
          <w:rFonts w:ascii="Arial" w:cs="Arial" w:eastAsia="Arial" w:hAnsi="Arial"/>
          <w:sz w:val="12"/>
          <w:szCs w:val="12"/>
          <w:color w:val="auto"/>
        </w:rPr>
        <w:t>IN WITNESS WHEREOF, the parties hereto have caused this Agreement to be duly executed as of the date first written above.</w:t>
      </w:r>
    </w:p>
    <w:p>
      <w:pPr>
        <w:spacing w:after="0" w:line="200" w:lineRule="exact"/>
        <w:rPr>
          <w:sz w:val="20"/>
          <w:szCs w:val="20"/>
          <w:color w:val="auto"/>
        </w:rPr>
      </w:pPr>
    </w:p>
    <w:p>
      <w:pPr>
        <w:spacing w:after="0" w:line="343"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UBS AG, London Branch</w:t>
      </w:r>
    </w:p>
    <w:p>
      <w:pPr>
        <w:spacing w:after="0" w:line="334" w:lineRule="exact"/>
        <w:rPr>
          <w:sz w:val="20"/>
          <w:szCs w:val="20"/>
          <w:color w:val="auto"/>
        </w:rPr>
      </w:pPr>
    </w:p>
    <w:tbl>
      <w:tblPr>
        <w:tblLayout w:type="fixed"/>
        <w:tblInd w:w="588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14"/>
                <w:szCs w:val="1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Michael O'Donovan</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Michael O'Donovan</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Authorized Signatory</w:t>
            </w:r>
          </w:p>
        </w:tc>
      </w:tr>
      <w:tr>
        <w:trPr>
          <w:trHeight w:val="477"/>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24"/>
                <w:szCs w:val="2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Brian Badentscher</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Brian Badentscher</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Authorized Signatory</w:t>
            </w:r>
          </w:p>
        </w:tc>
      </w:tr>
    </w:tbl>
    <w:p>
      <w:pPr>
        <w:spacing w:after="0" w:line="311" w:lineRule="exact"/>
        <w:rPr>
          <w:sz w:val="20"/>
          <w:szCs w:val="20"/>
          <w:color w:val="auto"/>
        </w:rPr>
      </w:pPr>
    </w:p>
    <w:p>
      <w:pPr>
        <w:jc w:val="right"/>
        <w:ind w:right="2200"/>
        <w:spacing w:after="0"/>
        <w:rPr>
          <w:sz w:val="20"/>
          <w:szCs w:val="20"/>
          <w:color w:val="auto"/>
        </w:rPr>
      </w:pPr>
      <w:r>
        <w:rPr>
          <w:rFonts w:ascii="Arial" w:cs="Arial" w:eastAsia="Arial" w:hAnsi="Arial"/>
          <w:sz w:val="12"/>
          <w:szCs w:val="12"/>
          <w:b w:val="1"/>
          <w:bCs w:val="1"/>
          <w:color w:val="auto"/>
        </w:rPr>
        <w:t xml:space="preserve">UBS Securities LLC, </w:t>
      </w:r>
      <w:r>
        <w:rPr>
          <w:rFonts w:ascii="Arial" w:cs="Arial" w:eastAsia="Arial" w:hAnsi="Arial"/>
          <w:sz w:val="12"/>
          <w:szCs w:val="12"/>
          <w:color w:val="auto"/>
        </w:rPr>
        <w:t>as Agent for UBS AG, London Branch</w:t>
      </w:r>
    </w:p>
    <w:p>
      <w:pPr>
        <w:spacing w:after="0" w:line="334" w:lineRule="exact"/>
        <w:rPr>
          <w:sz w:val="20"/>
          <w:szCs w:val="20"/>
          <w:color w:val="auto"/>
        </w:rPr>
      </w:pPr>
    </w:p>
    <w:tbl>
      <w:tblPr>
        <w:tblLayout w:type="fixed"/>
        <w:tblInd w:w="588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14"/>
                <w:szCs w:val="1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Michael O'Donovan</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Michael O'Donovan</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Managing Director</w:t>
            </w:r>
          </w:p>
        </w:tc>
      </w:tr>
      <w:tr>
        <w:trPr>
          <w:trHeight w:val="477"/>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24"/>
                <w:szCs w:val="2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Brian Badentscher</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Brian Badentscher</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369" w:lineRule="exact"/>
        <w:rPr>
          <w:sz w:val="20"/>
          <w:szCs w:val="20"/>
          <w:color w:val="auto"/>
        </w:rPr>
      </w:pPr>
    </w:p>
    <w:p>
      <w:pPr>
        <w:ind w:left="58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20955</wp:posOffset>
            </wp:positionV>
            <wp:extent cx="283083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830830" cy="5715"/>
                    </a:xfrm>
                    <a:prstGeom prst="rect">
                      <a:avLst/>
                    </a:prstGeom>
                    <a:noFill/>
                  </pic:spPr>
                </pic:pic>
              </a:graphicData>
            </a:graphic>
          </wp:anchor>
        </w:drawing>
      </w:r>
    </w:p>
    <w:p>
      <w:pPr>
        <w:spacing w:after="0" w:line="31"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Thomas H. Welch, Jr.</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Title: Chief Legal Officer and Secretary</w:t>
      </w:r>
    </w:p>
    <w:p>
      <w:pPr>
        <w:spacing w:after="0" w:line="200" w:lineRule="exact"/>
        <w:rPr>
          <w:sz w:val="20"/>
          <w:szCs w:val="20"/>
          <w:color w:val="auto"/>
        </w:rPr>
      </w:pPr>
    </w:p>
    <w:p>
      <w:pPr>
        <w:spacing w:after="0" w:line="38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Warrant Termination Agreement</w:t>
      </w:r>
      <w:r>
        <w:rPr>
          <w:rFonts w:ascii="Arial" w:cs="Arial" w:eastAsia="Arial" w:hAnsi="Arial"/>
          <w:sz w:val="12"/>
          <w:szCs w:val="12"/>
          <w:color w:val="auto"/>
        </w:rPr>
        <w:t>]</w:t>
      </w:r>
    </w:p>
    <w:p>
      <w:pPr>
        <w:sectPr>
          <w:pgSz w:w="11900" w:h="16838" w:orient="portrait"/>
          <w:cols w:equalWidth="0" w:num="1">
            <w:col w:w="11060"/>
          </w:cols>
          <w:pgMar w:left="640" w:top="725" w:right="19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b w:val="1"/>
          <w:bCs w:val="1"/>
          <w:color w:val="auto"/>
        </w:rPr>
        <w:t>Schedule 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60" w:type="dxa"/>
            <w:vAlign w:val="bottom"/>
            <w:gridSpan w:val="3"/>
          </w:tcPr>
          <w:p>
            <w:pPr>
              <w:spacing w:after="0"/>
              <w:rPr>
                <w:sz w:val="20"/>
                <w:szCs w:val="20"/>
                <w:color w:val="auto"/>
              </w:rPr>
            </w:pPr>
            <w:r>
              <w:rPr>
                <w:rFonts w:ascii="Arial" w:cs="Arial" w:eastAsia="Arial" w:hAnsi="Arial"/>
                <w:sz w:val="12"/>
                <w:szCs w:val="12"/>
                <w:color w:val="auto"/>
              </w:rPr>
              <w:t>The Cash Settlement Amount shall be determined by Dealer according to the table below.</w:t>
            </w:r>
          </w:p>
        </w:tc>
        <w:tc>
          <w:tcPr>
            <w:tcW w:w="1280" w:type="dxa"/>
            <w:vAlign w:val="bottom"/>
          </w:tcPr>
          <w:p>
            <w:pPr>
              <w:spacing w:after="0"/>
              <w:rPr>
                <w:sz w:val="13"/>
                <w:szCs w:val="13"/>
                <w:color w:val="auto"/>
              </w:rPr>
            </w:pPr>
          </w:p>
        </w:tc>
      </w:tr>
      <w:tr>
        <w:trPr>
          <w:trHeight w:val="369"/>
        </w:trPr>
        <w:tc>
          <w:tcPr>
            <w:tcW w:w="32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Average VWAP</w:t>
            </w:r>
          </w:p>
        </w:tc>
        <w:tc>
          <w:tcPr>
            <w:tcW w:w="1280" w:type="dxa"/>
            <w:vAlign w:val="bottom"/>
          </w:tcPr>
          <w:p>
            <w:pPr>
              <w:spacing w:after="0"/>
              <w:rPr>
                <w:sz w:val="20"/>
                <w:szCs w:val="20"/>
                <w:color w:val="auto"/>
              </w:rPr>
            </w:pPr>
            <w:r>
              <w:rPr>
                <w:rFonts w:ascii="Arial" w:cs="Arial" w:eastAsia="Arial" w:hAnsi="Arial"/>
                <w:sz w:val="12"/>
                <w:szCs w:val="12"/>
                <w:b w:val="1"/>
                <w:bCs w:val="1"/>
                <w:color w:val="auto"/>
                <w:w w:val="88"/>
              </w:rPr>
              <w:t>Cash Settlement Amount</w:t>
            </w:r>
          </w:p>
        </w:tc>
      </w:tr>
      <w:tr>
        <w:trPr>
          <w:trHeight w:val="187"/>
        </w:trPr>
        <w:tc>
          <w:tcPr>
            <w:tcW w:w="3240" w:type="dxa"/>
            <w:vAlign w:val="bottom"/>
          </w:tcPr>
          <w:p>
            <w:pPr>
              <w:spacing w:after="0"/>
              <w:rPr>
                <w:sz w:val="16"/>
                <w:szCs w:val="16"/>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$7.00</w:t>
            </w:r>
          </w:p>
        </w:tc>
        <w:tc>
          <w:tcPr>
            <w:tcW w:w="1320" w:type="dxa"/>
            <w:vAlign w:val="bottom"/>
          </w:tcPr>
          <w:p>
            <w:pPr>
              <w:spacing w:after="0"/>
              <w:rPr>
                <w:sz w:val="16"/>
                <w:szCs w:val="16"/>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$106,689</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$122,466</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$139,712</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$158,472</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$178,829</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$200,828</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$224,531</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$249,823</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$9.00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$276,930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Dealer may adjust the table above upon the occurrence of any event or condition that would have allowed Dealer to adjust the terms of the Warrants Transactions under the Warrants Confirmations.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w:t>
      </w:r>
    </w:p>
    <w:p>
      <w:pPr>
        <w:sectPr>
          <w:pgSz w:w="11900" w:h="16838" w:orient="portrait"/>
          <w:cols w:equalWidth="0" w:num="1">
            <w:col w:w="11480"/>
          </w:cols>
          <w:pgMar w:left="220" w:top="581" w:right="199" w:bottom="1440" w:gutter="0" w:footer="0" w:header="0"/>
        </w:sectPr>
      </w:pPr>
    </w:p>
    <w:bookmarkStart w:id="59" w:name="page60"/>
    <w:bookmarkEnd w:id="59"/>
    <w:p>
      <w:pPr>
        <w:jc w:val="center"/>
        <w:spacing w:after="0"/>
        <w:rPr>
          <w:sz w:val="20"/>
          <w:szCs w:val="20"/>
          <w:color w:val="auto"/>
        </w:rPr>
      </w:pPr>
      <w:r>
        <w:rPr>
          <w:rFonts w:ascii="Arial" w:cs="Arial" w:eastAsia="Arial" w:hAnsi="Arial"/>
          <w:sz w:val="14"/>
          <w:szCs w:val="14"/>
          <w:b w:val="1"/>
          <w:bCs w:val="1"/>
          <w:color w:val="auto"/>
        </w:rPr>
        <w:t>CALL OPTION TERMINATION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dated as of June 29,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Between EZCORP, INC. and JEFFERIES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2923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7292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THIS CALL OPTION TERMINATION AGREEMENT (this “</w:t>
      </w:r>
      <w:r>
        <w:rPr>
          <w:rFonts w:ascii="Arial" w:cs="Arial" w:eastAsia="Arial" w:hAnsi="Arial"/>
          <w:sz w:val="12"/>
          <w:szCs w:val="12"/>
          <w:b w:val="1"/>
          <w:bCs w:val="1"/>
          <w:color w:val="auto"/>
        </w:rPr>
        <w:t>Agreement</w:t>
      </w:r>
      <w:r>
        <w:rPr>
          <w:rFonts w:ascii="Arial" w:cs="Arial" w:eastAsia="Arial" w:hAnsi="Arial"/>
          <w:sz w:val="12"/>
          <w:szCs w:val="12"/>
          <w:color w:val="auto"/>
        </w:rPr>
        <w:t>”) with respect to the Call Option Confirmations (as defined below) is made as of June 29, 2017, between EZCORP, Inc. (“</w:t>
      </w:r>
      <w:r>
        <w:rPr>
          <w:rFonts w:ascii="Arial" w:cs="Arial" w:eastAsia="Arial" w:hAnsi="Arial"/>
          <w:sz w:val="12"/>
          <w:szCs w:val="12"/>
          <w:b w:val="1"/>
          <w:bCs w:val="1"/>
          <w:color w:val="auto"/>
        </w:rPr>
        <w:t>Company</w:t>
      </w:r>
      <w:r>
        <w:rPr>
          <w:rFonts w:ascii="Arial" w:cs="Arial" w:eastAsia="Arial" w:hAnsi="Arial"/>
          <w:sz w:val="12"/>
          <w:szCs w:val="12"/>
          <w:color w:val="auto"/>
        </w:rPr>
        <w:t>”) and Jefferies International Limited (“</w:t>
      </w:r>
      <w:r>
        <w:rPr>
          <w:rFonts w:ascii="Arial" w:cs="Arial" w:eastAsia="Arial" w:hAnsi="Arial"/>
          <w:sz w:val="12"/>
          <w:szCs w:val="12"/>
          <w:b w:val="1"/>
          <w:bCs w:val="1"/>
          <w:color w:val="auto"/>
        </w:rPr>
        <w:t>Dealer</w:t>
      </w:r>
      <w:r>
        <w:rPr>
          <w:rFonts w:ascii="Arial" w:cs="Arial" w:eastAsia="Arial" w:hAnsi="Arial"/>
          <w:sz w:val="12"/>
          <w:szCs w:val="12"/>
          <w:color w:val="auto"/>
        </w:rPr>
        <w:t>”).</w:t>
      </w:r>
    </w:p>
    <w:p>
      <w:pPr>
        <w:spacing w:after="0" w:line="80" w:lineRule="exact"/>
        <w:rPr>
          <w:sz w:val="20"/>
          <w:szCs w:val="20"/>
          <w:color w:val="auto"/>
        </w:rPr>
      </w:pPr>
    </w:p>
    <w:p>
      <w:pPr>
        <w:ind w:firstLine="432"/>
        <w:spacing w:after="0" w:line="388" w:lineRule="auto"/>
        <w:rPr>
          <w:sz w:val="20"/>
          <w:szCs w:val="20"/>
          <w:color w:val="auto"/>
        </w:rPr>
      </w:pPr>
      <w:r>
        <w:rPr>
          <w:rFonts w:ascii="Arial" w:cs="Arial" w:eastAsia="Arial" w:hAnsi="Arial"/>
          <w:sz w:val="10"/>
          <w:szCs w:val="10"/>
          <w:color w:val="auto"/>
        </w:rPr>
        <w:t>WHEREAS, Company issued $200,000,000 principal amount of 2.125% Cash Convertible Senior Notes due 2019 (the “</w:t>
      </w:r>
      <w:r>
        <w:rPr>
          <w:rFonts w:ascii="Arial" w:cs="Arial" w:eastAsia="Arial" w:hAnsi="Arial"/>
          <w:sz w:val="10"/>
          <w:szCs w:val="10"/>
          <w:b w:val="1"/>
          <w:bCs w:val="1"/>
          <w:color w:val="auto"/>
        </w:rPr>
        <w:t>Convertible Notes</w:t>
      </w:r>
      <w:r>
        <w:rPr>
          <w:rFonts w:ascii="Arial" w:cs="Arial" w:eastAsia="Arial" w:hAnsi="Arial"/>
          <w:sz w:val="10"/>
          <w:szCs w:val="10"/>
          <w:color w:val="auto"/>
        </w:rPr>
        <w:t>”), and another $30,000,000 principal amount of Convertible Notes in connection with the initial purchasers’ option to purchase additional Convertible Notes (the “</w:t>
      </w:r>
      <w:r>
        <w:rPr>
          <w:rFonts w:ascii="Arial" w:cs="Arial" w:eastAsia="Arial" w:hAnsi="Arial"/>
          <w:sz w:val="10"/>
          <w:szCs w:val="10"/>
          <w:b w:val="1"/>
          <w:bCs w:val="1"/>
          <w:color w:val="auto"/>
        </w:rPr>
        <w:t>Additional Notes</w:t>
      </w:r>
      <w:r>
        <w:rPr>
          <w:rFonts w:ascii="Arial" w:cs="Arial" w:eastAsia="Arial" w:hAnsi="Arial"/>
          <w:sz w:val="10"/>
          <w:szCs w:val="10"/>
          <w:color w:val="auto"/>
        </w:rPr>
        <w:t>”), in each case, pursuant to an Indenture dated as of June 23, 2014 between Company and Wells Fargo Bank, National Association, as trustee;</w:t>
      </w:r>
    </w:p>
    <w:p>
      <w:pPr>
        <w:spacing w:after="0" w:line="33"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WHEREAS, in connection with the pricing of the Convertible Notes, Company and Dealer entered into a Base Call Option Transaction (the “</w:t>
      </w:r>
      <w:r>
        <w:rPr>
          <w:rFonts w:ascii="Arial" w:cs="Arial" w:eastAsia="Arial" w:hAnsi="Arial"/>
          <w:sz w:val="12"/>
          <w:szCs w:val="12"/>
          <w:b w:val="1"/>
          <w:bCs w:val="1"/>
          <w:color w:val="auto"/>
        </w:rPr>
        <w:t>Base Call Option Transaction</w:t>
      </w:r>
      <w:r>
        <w:rPr>
          <w:rFonts w:ascii="Arial" w:cs="Arial" w:eastAsia="Arial" w:hAnsi="Arial"/>
          <w:sz w:val="12"/>
          <w:szCs w:val="12"/>
          <w:color w:val="auto"/>
        </w:rPr>
        <w:t>”) pursuant to a letter agreement re: Call Option Transaction dated as of June 17, 2014 confirming the terms of a call option transaction (as amended, modified, terminated or unwound from time to time, the “</w:t>
      </w:r>
      <w:r>
        <w:rPr>
          <w:rFonts w:ascii="Arial" w:cs="Arial" w:eastAsia="Arial" w:hAnsi="Arial"/>
          <w:sz w:val="12"/>
          <w:szCs w:val="12"/>
          <w:b w:val="1"/>
          <w:bCs w:val="1"/>
          <w:color w:val="auto"/>
        </w:rPr>
        <w:t>Base Call Option Confirmation</w:t>
      </w:r>
      <w:r>
        <w:rPr>
          <w:rFonts w:ascii="Arial" w:cs="Arial" w:eastAsia="Arial" w:hAnsi="Arial"/>
          <w:sz w:val="12"/>
          <w:szCs w:val="12"/>
          <w:color w:val="auto"/>
        </w:rPr>
        <w:t>”);</w:t>
      </w:r>
    </w:p>
    <w:p>
      <w:pPr>
        <w:spacing w:after="0" w:line="80" w:lineRule="exact"/>
        <w:rPr>
          <w:sz w:val="20"/>
          <w:szCs w:val="20"/>
          <w:color w:val="auto"/>
        </w:rPr>
      </w:pPr>
    </w:p>
    <w:p>
      <w:pPr>
        <w:ind w:right="40" w:firstLine="432"/>
        <w:spacing w:after="0" w:line="267" w:lineRule="auto"/>
        <w:rPr>
          <w:sz w:val="20"/>
          <w:szCs w:val="20"/>
          <w:color w:val="auto"/>
        </w:rPr>
      </w:pPr>
      <w:r>
        <w:rPr>
          <w:rFonts w:ascii="Arial" w:cs="Arial" w:eastAsia="Arial" w:hAnsi="Arial"/>
          <w:sz w:val="12"/>
          <w:szCs w:val="12"/>
          <w:color w:val="auto"/>
        </w:rPr>
        <w:t>WHEREAS, in connection with the Additional Notes, Company and Dealer entered into an Additional Call Option Transaction (the “</w:t>
      </w:r>
      <w:r>
        <w:rPr>
          <w:rFonts w:ascii="Arial" w:cs="Arial" w:eastAsia="Arial" w:hAnsi="Arial"/>
          <w:sz w:val="12"/>
          <w:szCs w:val="12"/>
          <w:b w:val="1"/>
          <w:bCs w:val="1"/>
          <w:color w:val="auto"/>
        </w:rPr>
        <w:t>Additional Call Option Transaction</w:t>
      </w:r>
      <w:r>
        <w:rPr>
          <w:rFonts w:ascii="Arial" w:cs="Arial" w:eastAsia="Arial" w:hAnsi="Arial"/>
          <w:sz w:val="12"/>
          <w:szCs w:val="12"/>
          <w:color w:val="auto"/>
        </w:rPr>
        <w:t>” and, together with the Base Call Option Transaction, the “</w:t>
      </w:r>
      <w:r>
        <w:rPr>
          <w:rFonts w:ascii="Arial" w:cs="Arial" w:eastAsia="Arial" w:hAnsi="Arial"/>
          <w:sz w:val="12"/>
          <w:szCs w:val="12"/>
          <w:b w:val="1"/>
          <w:bCs w:val="1"/>
          <w:color w:val="auto"/>
        </w:rPr>
        <w:t>Call Option Transactions</w:t>
      </w:r>
      <w:r>
        <w:rPr>
          <w:rFonts w:ascii="Arial" w:cs="Arial" w:eastAsia="Arial" w:hAnsi="Arial"/>
          <w:sz w:val="12"/>
          <w:szCs w:val="12"/>
          <w:color w:val="auto"/>
        </w:rPr>
        <w:t>”) pursuant to a letter agreement re: Additional Call Option Transaction dated as of June 27, 2014 confirming the terms of an additional call option transaction (as amended, modified, terminated or unwound from time to time, the “</w:t>
      </w:r>
      <w:r>
        <w:rPr>
          <w:rFonts w:ascii="Arial" w:cs="Arial" w:eastAsia="Arial" w:hAnsi="Arial"/>
          <w:sz w:val="12"/>
          <w:szCs w:val="12"/>
          <w:b w:val="1"/>
          <w:bCs w:val="1"/>
          <w:color w:val="auto"/>
        </w:rPr>
        <w:t>Additional Call Option Confirmation</w:t>
      </w:r>
      <w:r>
        <w:rPr>
          <w:rFonts w:ascii="Arial" w:cs="Arial" w:eastAsia="Arial" w:hAnsi="Arial"/>
          <w:sz w:val="12"/>
          <w:szCs w:val="12"/>
          <w:color w:val="auto"/>
        </w:rPr>
        <w:t>” and, together with the Base Call Option Confirmation, the “</w:t>
      </w:r>
      <w:r>
        <w:rPr>
          <w:rFonts w:ascii="Arial" w:cs="Arial" w:eastAsia="Arial" w:hAnsi="Arial"/>
          <w:sz w:val="12"/>
          <w:szCs w:val="12"/>
          <w:b w:val="1"/>
          <w:bCs w:val="1"/>
          <w:color w:val="auto"/>
        </w:rPr>
        <w:t>Call Option Confirmations</w:t>
      </w:r>
      <w:r>
        <w:rPr>
          <w:rFonts w:ascii="Arial" w:cs="Arial" w:eastAsia="Arial" w:hAnsi="Arial"/>
          <w:sz w:val="12"/>
          <w:szCs w:val="12"/>
          <w:color w:val="auto"/>
        </w:rPr>
        <w:t>”);</w:t>
      </w:r>
    </w:p>
    <w:p>
      <w:pPr>
        <w:spacing w:after="0" w:line="89"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WHEREAS, in connection with a repurchase by Company of 35,000 Convertible Notes in $1,000 principal amount denominations (the “</w:t>
      </w:r>
      <w:r>
        <w:rPr>
          <w:rFonts w:ascii="Arial" w:cs="Arial" w:eastAsia="Arial" w:hAnsi="Arial"/>
          <w:sz w:val="12"/>
          <w:szCs w:val="12"/>
          <w:b w:val="1"/>
          <w:bCs w:val="1"/>
          <w:color w:val="auto"/>
        </w:rPr>
        <w:t>Notes Repurchase</w:t>
      </w:r>
      <w:r>
        <w:rPr>
          <w:rFonts w:ascii="Arial" w:cs="Arial" w:eastAsia="Arial" w:hAnsi="Arial"/>
          <w:sz w:val="12"/>
          <w:szCs w:val="12"/>
          <w:color w:val="auto"/>
        </w:rPr>
        <w:t>”, and such number of Convertible Notes in $1,000 principal amount denominations, the “</w:t>
      </w:r>
      <w:r>
        <w:rPr>
          <w:rFonts w:ascii="Arial" w:cs="Arial" w:eastAsia="Arial" w:hAnsi="Arial"/>
          <w:sz w:val="12"/>
          <w:szCs w:val="12"/>
          <w:b w:val="1"/>
          <w:bCs w:val="1"/>
          <w:color w:val="auto"/>
        </w:rPr>
        <w:t>Repurchase Number</w:t>
      </w:r>
      <w:r>
        <w:rPr>
          <w:rFonts w:ascii="Arial" w:cs="Arial" w:eastAsia="Arial" w:hAnsi="Arial"/>
          <w:sz w:val="12"/>
          <w:szCs w:val="12"/>
          <w:color w:val="auto"/>
        </w:rPr>
        <w:t>”), Company has requested a full termination of the Additional Call Option Transaction and partial termination of the Base Call Option Transaction;</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their mutual covenants herein contained, the parties hereto, intending to be legally bound, hereby mutually covenant and agree as follows:</w:t>
      </w:r>
    </w:p>
    <w:p>
      <w:pPr>
        <w:spacing w:after="0" w:line="123" w:lineRule="exact"/>
        <w:rPr>
          <w:sz w:val="20"/>
          <w:szCs w:val="20"/>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Defined Terms</w:t>
      </w:r>
      <w:r>
        <w:rPr>
          <w:rFonts w:ascii="Arial" w:cs="Arial" w:eastAsia="Arial" w:hAnsi="Arial"/>
          <w:sz w:val="12"/>
          <w:szCs w:val="12"/>
          <w:color w:val="auto"/>
        </w:rPr>
        <w:t>. Any capitalized term not otherwise defined herein shall have the meaning set forth for such term in the Call Option Confirmations.</w:t>
      </w:r>
    </w:p>
    <w:p>
      <w:pPr>
        <w:spacing w:after="0" w:line="150" w:lineRule="exact"/>
        <w:rPr>
          <w:rFonts w:ascii="Arial" w:cs="Arial" w:eastAsia="Arial" w:hAnsi="Arial"/>
          <w:sz w:val="12"/>
          <w:szCs w:val="12"/>
          <w:color w:val="auto"/>
        </w:rPr>
      </w:pPr>
    </w:p>
    <w:p>
      <w:pPr>
        <w:jc w:val="both"/>
        <w:ind w:firstLine="424"/>
        <w:spacing w:after="0" w:line="257" w:lineRule="auto"/>
        <w:tabs>
          <w:tab w:leader="none" w:pos="696"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Termination and Amendment</w:t>
      </w:r>
      <w:r>
        <w:rPr>
          <w:rFonts w:ascii="Arial" w:cs="Arial" w:eastAsia="Arial" w:hAnsi="Arial"/>
          <w:sz w:val="12"/>
          <w:szCs w:val="12"/>
          <w:color w:val="auto"/>
        </w:rPr>
        <w:t>. Notwithstanding anything to the contrary in the Call Option Confirmations, Company and Dealer agree that, effective on the date hereof, (i) the Additional Call Option Transaction shall automatically terminate and all of the respective rights and obligations of the parties under the Additional Call Option Confirmation shall be terminated, cancelled and extinguished and (ii) the Number of Options under the Base Call Option Transaction shall be reduced to 195,000, and in connection therewith Dealer shall be required to pay to Company the Cash Settlement Amount on the Payment Date pursuant to Sections 3 and 4 below. For the avoidance of doubt, the parties agree that the Notes Repurchase shall be disregarded for all purposes under the Call Option Transactions, and without limiting the foregoing, no Early Termination Date shall be deemed to occur with respect to any Call Option Transaction or any portion thereof on account of the Notes Repurchase.</w:t>
      </w:r>
    </w:p>
    <w:p>
      <w:pPr>
        <w:spacing w:after="0" w:line="125" w:lineRule="exact"/>
        <w:rPr>
          <w:rFonts w:ascii="Arial" w:cs="Arial" w:eastAsia="Arial" w:hAnsi="Arial"/>
          <w:sz w:val="12"/>
          <w:szCs w:val="12"/>
          <w:color w:val="auto"/>
        </w:rPr>
      </w:pPr>
    </w:p>
    <w:p>
      <w:pPr>
        <w:jc w:val="both"/>
        <w:ind w:firstLine="424"/>
        <w:spacing w:after="0" w:line="257" w:lineRule="auto"/>
        <w:tabs>
          <w:tab w:leader="none" w:pos="660"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Procedures for Hedge Unwind</w:t>
      </w:r>
      <w:r>
        <w:rPr>
          <w:rFonts w:ascii="Arial" w:cs="Arial" w:eastAsia="Arial" w:hAnsi="Arial"/>
          <w:sz w:val="12"/>
          <w:szCs w:val="12"/>
          <w:color w:val="auto"/>
        </w:rPr>
        <w:t>. On each Hedge Unwind Date (as defined below), Dealer (or an affiliate of Dealer), for the account of Dealer, shall unwind a portion of its hedge of the Options underlying the Call Option Transactions being terminated hereunder (the period of ten consecutive Scheduled Trading Days beginning on and including the Exchange Business Day following the Effective Date (as defined below, and such Exchange Business Day, the “</w:t>
      </w:r>
      <w:r>
        <w:rPr>
          <w:rFonts w:ascii="Arial" w:cs="Arial" w:eastAsia="Arial" w:hAnsi="Arial"/>
          <w:sz w:val="12"/>
          <w:szCs w:val="12"/>
          <w:b w:val="1"/>
          <w:bCs w:val="1"/>
          <w:color w:val="auto"/>
        </w:rPr>
        <w:t>Start Date</w:t>
      </w:r>
      <w:r>
        <w:rPr>
          <w:rFonts w:ascii="Arial" w:cs="Arial" w:eastAsia="Arial" w:hAnsi="Arial"/>
          <w:sz w:val="12"/>
          <w:szCs w:val="12"/>
          <w:color w:val="auto"/>
        </w:rPr>
        <w:t>”) being collectively referred to as the “</w:t>
      </w:r>
      <w:r>
        <w:rPr>
          <w:rFonts w:ascii="Arial" w:cs="Arial" w:eastAsia="Arial" w:hAnsi="Arial"/>
          <w:sz w:val="12"/>
          <w:szCs w:val="12"/>
          <w:b w:val="1"/>
          <w:bCs w:val="1"/>
          <w:color w:val="auto"/>
        </w:rPr>
        <w:t>Hedge Unwind Period</w:t>
      </w:r>
      <w:r>
        <w:rPr>
          <w:rFonts w:ascii="Arial" w:cs="Arial" w:eastAsia="Arial" w:hAnsi="Arial"/>
          <w:sz w:val="12"/>
          <w:szCs w:val="12"/>
          <w:color w:val="auto"/>
        </w:rPr>
        <w:t>” (subject to extension pursuant to the proviso in the immediately following sentence)). A “</w:t>
      </w:r>
      <w:r>
        <w:rPr>
          <w:rFonts w:ascii="Arial" w:cs="Arial" w:eastAsia="Arial" w:hAnsi="Arial"/>
          <w:sz w:val="12"/>
          <w:szCs w:val="12"/>
          <w:b w:val="1"/>
          <w:bCs w:val="1"/>
          <w:color w:val="auto"/>
        </w:rPr>
        <w:t>Hedge Unwind Date</w:t>
      </w:r>
      <w:r>
        <w:rPr>
          <w:rFonts w:ascii="Arial" w:cs="Arial" w:eastAsia="Arial" w:hAnsi="Arial"/>
          <w:sz w:val="12"/>
          <w:szCs w:val="12"/>
          <w:color w:val="auto"/>
        </w:rPr>
        <w:t xml:space="preserve">” means the Start Date and each Scheduled Trading Day in the Hedge Unwind Period;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any such date is a Disrupted Day in whole, such date shall not constitute a Hedge Unwind Date, and an additional Hedge Unwind Date shall occur on the Scheduled Trading Day after the date that would otherwise be the final Hedge Unwind Date.</w:t>
      </w:r>
    </w:p>
    <w:p>
      <w:pPr>
        <w:sectPr>
          <w:pgSz w:w="11900" w:h="16838" w:orient="portrait"/>
          <w:cols w:equalWidth="0" w:num="1">
            <w:col w:w="11480"/>
          </w:cols>
          <w:pgMar w:left="220" w:top="680" w:right="199" w:bottom="1440" w:gutter="0" w:footer="0" w:header="0"/>
        </w:sectPr>
      </w:pPr>
    </w:p>
    <w:bookmarkStart w:id="60" w:name="page61"/>
    <w:bookmarkEnd w:id="60"/>
    <w:p>
      <w:pPr>
        <w:jc w:val="both"/>
        <w:ind w:firstLine="424"/>
        <w:spacing w:after="0" w:line="279" w:lineRule="auto"/>
        <w:tabs>
          <w:tab w:leader="none" w:pos="687" w:val="left"/>
        </w:tabs>
        <w:numPr>
          <w:ilvl w:val="0"/>
          <w:numId w:val="45"/>
        </w:numPr>
        <w:rPr>
          <w:rFonts w:ascii="Arial" w:cs="Arial" w:eastAsia="Arial" w:hAnsi="Arial"/>
          <w:sz w:val="11"/>
          <w:szCs w:val="11"/>
          <w:color w:val="auto"/>
        </w:rPr>
      </w:pPr>
      <w:r>
        <w:rPr>
          <w:rFonts w:ascii="Arial" w:cs="Arial" w:eastAsia="Arial" w:hAnsi="Arial"/>
          <w:sz w:val="11"/>
          <w:szCs w:val="11"/>
          <w:u w:val="single" w:color="auto"/>
          <w:color w:val="auto"/>
        </w:rPr>
        <w:t>Payments and Deliveries</w:t>
      </w:r>
      <w:r>
        <w:rPr>
          <w:rFonts w:ascii="Arial" w:cs="Arial" w:eastAsia="Arial" w:hAnsi="Arial"/>
          <w:sz w:val="11"/>
          <w:szCs w:val="11"/>
          <w:color w:val="auto"/>
        </w:rPr>
        <w:t>. On the third Scheduled Trading Day following the final Hedge Unwind Date or, if such day is not a Clearance System Business Day, on the next Clearance System Business Day immediately following such day (the “</w:t>
      </w:r>
      <w:r>
        <w:rPr>
          <w:rFonts w:ascii="Arial" w:cs="Arial" w:eastAsia="Arial" w:hAnsi="Arial"/>
          <w:sz w:val="11"/>
          <w:szCs w:val="11"/>
          <w:b w:val="1"/>
          <w:bCs w:val="1"/>
          <w:color w:val="auto"/>
        </w:rPr>
        <w:t>Payment Date</w:t>
      </w:r>
      <w:r>
        <w:rPr>
          <w:rFonts w:ascii="Arial" w:cs="Arial" w:eastAsia="Arial" w:hAnsi="Arial"/>
          <w:sz w:val="11"/>
          <w:szCs w:val="11"/>
          <w:color w:val="auto"/>
        </w:rPr>
        <w:t>”), Dealer shall pay to Company in immediately available funds cash in an amount equal to the Cash Settlement Amount. The “</w:t>
      </w:r>
      <w:r>
        <w:rPr>
          <w:rFonts w:ascii="Arial" w:cs="Arial" w:eastAsia="Arial" w:hAnsi="Arial"/>
          <w:sz w:val="11"/>
          <w:szCs w:val="11"/>
          <w:b w:val="1"/>
          <w:bCs w:val="1"/>
          <w:color w:val="auto"/>
        </w:rPr>
        <w:t>Cash Settlement Amount</w:t>
      </w:r>
      <w:r>
        <w:rPr>
          <w:rFonts w:ascii="Arial" w:cs="Arial" w:eastAsia="Arial" w:hAnsi="Arial"/>
          <w:sz w:val="11"/>
          <w:szCs w:val="11"/>
          <w:color w:val="auto"/>
        </w:rPr>
        <w:t>” shall mean an amount in US Dollars determined by Dealer according to the table set forth in Schedule A attached hereto (using linear interpolation or commercially reasonable extrapolation by Dealer, as applicable, to determine the Cash Settlement Amount for any Average VWAP not specifically appearing in Schedule A). “</w:t>
      </w:r>
      <w:r>
        <w:rPr>
          <w:rFonts w:ascii="Arial" w:cs="Arial" w:eastAsia="Arial" w:hAnsi="Arial"/>
          <w:sz w:val="11"/>
          <w:szCs w:val="11"/>
          <w:b w:val="1"/>
          <w:bCs w:val="1"/>
          <w:color w:val="auto"/>
        </w:rPr>
        <w:t>Average VWAP</w:t>
      </w:r>
      <w:r>
        <w:rPr>
          <w:rFonts w:ascii="Arial" w:cs="Arial" w:eastAsia="Arial" w:hAnsi="Arial"/>
          <w:sz w:val="11"/>
          <w:szCs w:val="11"/>
          <w:color w:val="auto"/>
        </w:rPr>
        <w:t>” means the arithmetic average of the VWAP Prices for each Hedge Unwind Date during the Hedge Unwind Period. “</w:t>
      </w:r>
      <w:r>
        <w:rPr>
          <w:rFonts w:ascii="Arial" w:cs="Arial" w:eastAsia="Arial" w:hAnsi="Arial"/>
          <w:sz w:val="11"/>
          <w:szCs w:val="11"/>
          <w:b w:val="1"/>
          <w:bCs w:val="1"/>
          <w:color w:val="auto"/>
        </w:rPr>
        <w:t>VWAP Price</w:t>
      </w:r>
      <w:r>
        <w:rPr>
          <w:rFonts w:ascii="Arial" w:cs="Arial" w:eastAsia="Arial" w:hAnsi="Arial"/>
          <w:sz w:val="11"/>
          <w:szCs w:val="11"/>
          <w:color w:val="auto"/>
        </w:rPr>
        <w:t>” for any Scheduled Trading Day means the per Share volume-weighted average price as displayed under the heading “Bloomberg VWAP” on Bloomberg page EZPW &lt;equity&gt; AQR (or any successor thereto) in respect of the period from 9:30 am to 4:00 pm (New York City time) on such Scheduled Trading Day (or if such volume-weighted average price is unavailable, the market value of one Share on such Scheduled Trading Day for such time period, as determined by Dealer). Notwithstanding the foregoing, if any Scheduled Trading Day in the Hedge Unwind Period is a Disrupted Day (in whole or in part), then the VWAP Price for such Scheduled Trading Day(s) shall be the volume-weighted average price per Share on such Scheduled Trading Day on the Exchange for such time period, as determined by Dealer based on such sources as it deems appropriate using a volume-weighted methodology, for the portion of such Scheduled Trading Day for which Dealer determines there is no Market Disruption Event with respect to the Shares (if any) and the number of Hedge Unwind Dates and the Cash Settlement Amount shall be adjusted by Dealer in its good faith, commercially reasonable discretion to account for such disruption and/or extension.</w:t>
      </w:r>
    </w:p>
    <w:p>
      <w:pPr>
        <w:spacing w:after="0" w:line="110" w:lineRule="exact"/>
        <w:rPr>
          <w:rFonts w:ascii="Arial" w:cs="Arial" w:eastAsia="Arial" w:hAnsi="Arial"/>
          <w:sz w:val="11"/>
          <w:szCs w:val="11"/>
          <w:color w:val="auto"/>
        </w:rPr>
      </w:pPr>
    </w:p>
    <w:p>
      <w:pPr>
        <w:jc w:val="both"/>
        <w:ind w:firstLine="424"/>
        <w:spacing w:after="0" w:line="292" w:lineRule="auto"/>
        <w:tabs>
          <w:tab w:leader="none" w:pos="651" w:val="left"/>
        </w:tabs>
        <w:numPr>
          <w:ilvl w:val="0"/>
          <w:numId w:val="45"/>
        </w:numPr>
        <w:rPr>
          <w:rFonts w:ascii="Arial" w:cs="Arial" w:eastAsia="Arial" w:hAnsi="Arial"/>
          <w:sz w:val="11"/>
          <w:szCs w:val="11"/>
          <w:color w:val="auto"/>
        </w:rPr>
      </w:pPr>
      <w:r>
        <w:rPr>
          <w:rFonts w:ascii="Arial" w:cs="Arial" w:eastAsia="Arial" w:hAnsi="Arial"/>
          <w:sz w:val="11"/>
          <w:szCs w:val="11"/>
          <w:u w:val="single" w:color="auto"/>
          <w:color w:val="auto"/>
        </w:rPr>
        <w:t>Effectiveness</w:t>
      </w:r>
      <w:r>
        <w:rPr>
          <w:rFonts w:ascii="Arial" w:cs="Arial" w:eastAsia="Arial" w:hAnsi="Arial"/>
          <w:sz w:val="11"/>
          <w:szCs w:val="11"/>
          <w:color w:val="auto"/>
        </w:rPr>
        <w:t>. This Agreement, including the termination and amendment of the Call Option Confirmations as set forth herein, shall be effective upon the date (the “</w:t>
      </w:r>
      <w:r>
        <w:rPr>
          <w:rFonts w:ascii="Arial" w:cs="Arial" w:eastAsia="Arial" w:hAnsi="Arial"/>
          <w:sz w:val="11"/>
          <w:szCs w:val="11"/>
          <w:b w:val="1"/>
          <w:bCs w:val="1"/>
          <w:color w:val="auto"/>
        </w:rPr>
        <w:t>Effective Date</w:t>
      </w:r>
      <w:r>
        <w:rPr>
          <w:rFonts w:ascii="Arial" w:cs="Arial" w:eastAsia="Arial" w:hAnsi="Arial"/>
          <w:sz w:val="11"/>
          <w:szCs w:val="11"/>
          <w:color w:val="auto"/>
        </w:rPr>
        <w:t>”) that each of (i) Company’s offering of its 2.875% Convertible Senior Notes due 2024 and (ii) the Notes Repurchase has been consummated and settled. If, for any reason, the Effective Date has not occurred on or prior to July 5, 2017, (i) this Agreement shall automatically terminate and all of the respective rights and obligations of Company and Dealer hereunder shall be cancelled, terminated and discharged and (ii) each party shall be released and discharged by the other party from, and agrees not to make any claim against the other party with respect to, any obligations or liabilities of the other party arising out of and to be performed in connection with this Agreement.</w:t>
      </w:r>
    </w:p>
    <w:p>
      <w:pPr>
        <w:spacing w:after="0" w:line="109" w:lineRule="exact"/>
        <w:rPr>
          <w:rFonts w:ascii="Arial" w:cs="Arial" w:eastAsia="Arial" w:hAnsi="Arial"/>
          <w:sz w:val="11"/>
          <w:szCs w:val="11"/>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Company</w:t>
      </w:r>
      <w:r>
        <w:rPr>
          <w:rFonts w:ascii="Arial" w:cs="Arial" w:eastAsia="Arial" w:hAnsi="Arial"/>
          <w:sz w:val="12"/>
          <w:szCs w:val="12"/>
          <w:color w:val="auto"/>
        </w:rPr>
        <w:t>. Company represents and warrants to Dealer (and agrees with Dealer in the case of Section 6(g)(ii))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45"/>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45"/>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45"/>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45"/>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1020" w:hanging="163"/>
        <w:spacing w:after="0"/>
        <w:tabs>
          <w:tab w:leader="none" w:pos="10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each of it and its affiliates is not in possession of any material nonpublic information regarding Company or the Shares;</w:t>
      </w:r>
    </w:p>
    <w:p>
      <w:pPr>
        <w:spacing w:after="0" w:line="150" w:lineRule="exact"/>
        <w:rPr>
          <w:rFonts w:ascii="Arial" w:cs="Arial" w:eastAsia="Arial" w:hAnsi="Arial"/>
          <w:sz w:val="12"/>
          <w:szCs w:val="12"/>
          <w:color w:val="auto"/>
        </w:rPr>
      </w:pPr>
    </w:p>
    <w:p>
      <w:pPr>
        <w:jc w:val="both"/>
        <w:ind w:firstLine="857"/>
        <w:spacing w:after="0" w:line="259" w:lineRule="auto"/>
        <w:tabs>
          <w:tab w:leader="none" w:pos="1015" w:val="left"/>
        </w:tabs>
        <w:numPr>
          <w:ilvl w:val="1"/>
          <w:numId w:val="45"/>
        </w:numPr>
        <w:rPr>
          <w:rFonts w:ascii="Arial" w:cs="Arial" w:eastAsia="Arial" w:hAnsi="Arial"/>
          <w:sz w:val="12"/>
          <w:szCs w:val="12"/>
          <w:color w:val="auto"/>
        </w:rPr>
      </w:pPr>
      <w:r>
        <w:rPr>
          <w:rFonts w:ascii="Arial" w:cs="Arial" w:eastAsia="Arial" w:hAnsi="Arial"/>
          <w:sz w:val="12"/>
          <w:szCs w:val="12"/>
          <w:color w:val="auto"/>
        </w:rPr>
        <w:t>it is not entering into this Agreement to create actual or apparent trading activity in the Shares (or any security convertible into or exchangeable for the Shares), to raise or depress or otherwise manipulate the price of the Shares (or any security convertible into or exchangeable for the Shares), for the purpose of inducing the sale of the Shares (or any security convertible into or exchangeable for the Shares) by others or otherwise in violation of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Company makes no representation or warranty with respect to Dealer’s Hedge Position (or any other dealer’s hedge position in respect of derivatives relating to the Convertible Notes); and</w:t>
      </w:r>
    </w:p>
    <w:p>
      <w:pPr>
        <w:spacing w:after="0" w:line="120" w:lineRule="exact"/>
        <w:rPr>
          <w:rFonts w:ascii="Arial" w:cs="Arial" w:eastAsia="Arial" w:hAnsi="Arial"/>
          <w:sz w:val="12"/>
          <w:szCs w:val="12"/>
          <w:color w:val="auto"/>
        </w:rPr>
      </w:pPr>
    </w:p>
    <w:p>
      <w:pPr>
        <w:ind w:left="1020" w:hanging="163"/>
        <w:spacing w:after="0"/>
        <w:tabs>
          <w:tab w:leader="none" w:pos="1020" w:val="left"/>
        </w:tabs>
        <w:numPr>
          <w:ilvl w:val="1"/>
          <w:numId w:val="45"/>
        </w:numPr>
        <w:rPr>
          <w:rFonts w:ascii="Arial" w:cs="Arial" w:eastAsia="Arial" w:hAnsi="Arial"/>
          <w:sz w:val="11"/>
          <w:szCs w:val="11"/>
          <w:color w:val="auto"/>
        </w:rPr>
      </w:pPr>
      <w:r>
        <w:rPr>
          <w:rFonts w:ascii="Arial" w:cs="Arial" w:eastAsia="Arial" w:hAnsi="Arial"/>
          <w:sz w:val="11"/>
          <w:szCs w:val="11"/>
          <w:color w:val="auto"/>
        </w:rPr>
        <w:t>(i) it is not on the date hereof, engaged in a distribution, as such term is used in Regulation M under the Exchange Act (“</w:t>
      </w:r>
      <w:r>
        <w:rPr>
          <w:rFonts w:ascii="Arial" w:cs="Arial" w:eastAsia="Arial" w:hAnsi="Arial"/>
          <w:sz w:val="11"/>
          <w:szCs w:val="11"/>
          <w:b w:val="1"/>
          <w:bCs w:val="1"/>
          <w:color w:val="auto"/>
        </w:rPr>
        <w:t>Regulation M”</w:t>
      </w:r>
      <w:r>
        <w:rPr>
          <w:rFonts w:ascii="Arial" w:cs="Arial" w:eastAsia="Arial" w:hAnsi="Arial"/>
          <w:sz w:val="11"/>
          <w:szCs w:val="11"/>
          <w:color w:val="auto"/>
        </w:rPr>
        <w:t>), of the Shares or any securities deemed “reference securities” (as defined in</w:t>
      </w:r>
    </w:p>
    <w:p>
      <w:pPr>
        <w:spacing w:after="0" w:line="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Regulation 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581" w:right="199" w:bottom="1440" w:gutter="0" w:footer="0" w:header="0"/>
        </w:sectPr>
      </w:pPr>
    </w:p>
    <w:bookmarkStart w:id="61" w:name="page62"/>
    <w:bookmarkEnd w:id="61"/>
    <w:p>
      <w:pPr>
        <w:jc w:val="both"/>
        <w:spacing w:after="0" w:line="259" w:lineRule="auto"/>
        <w:rPr>
          <w:sz w:val="20"/>
          <w:szCs w:val="20"/>
          <w:color w:val="auto"/>
        </w:rPr>
      </w:pPr>
      <w:r>
        <w:rPr>
          <w:rFonts w:ascii="Arial" w:cs="Arial" w:eastAsia="Arial" w:hAnsi="Arial"/>
          <w:sz w:val="12"/>
          <w:szCs w:val="12"/>
          <w:color w:val="auto"/>
        </w:rPr>
        <w:t xml:space="preserve">with respect to the Shares and (ii) it shall not engage in any such distribution during the period commencing on the date hereof and ending on the second Exchange Business Day immediately following the last day of the Hedge Unwind Period with respect to the Shares or such reference securities, unless it notifies Dealer, on the day immediately preceding the first day of the “restricted period” (as defined in Regulation M) of any such distribution, and of completion of such restricted period on the date such distribution is concluded;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connection with the notification with respect to the completion of the restricted period, it shall be deemed to repeat the representations contained in paragraphs (e) and (f) of this Section 6.</w:t>
      </w:r>
    </w:p>
    <w:p>
      <w:pPr>
        <w:spacing w:after="0" w:line="125" w:lineRule="exact"/>
        <w:rPr>
          <w:sz w:val="20"/>
          <w:szCs w:val="20"/>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Dealer</w:t>
      </w:r>
      <w:r>
        <w:rPr>
          <w:rFonts w:ascii="Arial" w:cs="Arial" w:eastAsia="Arial" w:hAnsi="Arial"/>
          <w:sz w:val="12"/>
          <w:szCs w:val="12"/>
          <w:color w:val="auto"/>
        </w:rPr>
        <w:t>. Dealer represents and warrants to Company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46"/>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46"/>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46"/>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 and</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46"/>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Account for Payment to Company</w:t>
      </w:r>
      <w:r>
        <w:rPr>
          <w:rFonts w:ascii="Arial" w:cs="Arial" w:eastAsia="Arial" w:hAnsi="Arial"/>
          <w:sz w:val="12"/>
          <w:szCs w:val="12"/>
          <w:color w:val="auto"/>
        </w:rPr>
        <w:t>:</w:t>
      </w:r>
    </w:p>
    <w:p>
      <w:pPr>
        <w:spacing w:after="0" w:line="150"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2"/>
          <w:szCs w:val="12"/>
          <w:color w:val="auto"/>
        </w:rPr>
        <w:t>Bank:</w:t>
      </w:r>
      <w:r>
        <w:rPr>
          <w:sz w:val="20"/>
          <w:szCs w:val="20"/>
          <w:color w:val="auto"/>
        </w:rPr>
        <w:tab/>
      </w:r>
      <w:r>
        <w:rPr>
          <w:rFonts w:ascii="Arial" w:cs="Arial" w:eastAsia="Arial" w:hAnsi="Arial"/>
          <w:sz w:val="11"/>
          <w:szCs w:val="11"/>
          <w:color w:val="auto"/>
        </w:rPr>
        <w:t>Wells Fargo Bank, NA</w:t>
      </w:r>
    </w:p>
    <w:p>
      <w:pPr>
        <w:spacing w:after="0" w:line="15" w:lineRule="exact"/>
        <w:rPr>
          <w:sz w:val="20"/>
          <w:szCs w:val="20"/>
          <w:color w:val="auto"/>
        </w:rPr>
      </w:pPr>
    </w:p>
    <w:p>
      <w:pPr>
        <w:ind w:left="860"/>
        <w:spacing w:after="0"/>
        <w:tabs>
          <w:tab w:leader="none" w:pos="1300" w:val="left"/>
        </w:tabs>
        <w:rPr>
          <w:sz w:val="20"/>
          <w:szCs w:val="20"/>
          <w:color w:val="auto"/>
        </w:rPr>
      </w:pPr>
      <w:r>
        <w:rPr>
          <w:rFonts w:ascii="Arial" w:cs="Arial" w:eastAsia="Arial" w:hAnsi="Arial"/>
          <w:sz w:val="12"/>
          <w:szCs w:val="12"/>
          <w:color w:val="auto"/>
        </w:rPr>
        <w:t>ABA#:</w:t>
      </w:r>
      <w:r>
        <w:rPr>
          <w:sz w:val="20"/>
          <w:szCs w:val="20"/>
          <w:color w:val="auto"/>
        </w:rPr>
        <w:tab/>
      </w:r>
      <w:r>
        <w:rPr>
          <w:rFonts w:ascii="Arial" w:cs="Arial" w:eastAsia="Arial" w:hAnsi="Arial"/>
          <w:sz w:val="10"/>
          <w:szCs w:val="10"/>
          <w:color w:val="auto"/>
        </w:rPr>
        <w:t>121000248</w:t>
      </w:r>
    </w:p>
    <w:p>
      <w:pPr>
        <w:spacing w:after="0" w:line="6" w:lineRule="exact"/>
        <w:rPr>
          <w:sz w:val="20"/>
          <w:szCs w:val="20"/>
          <w:color w:val="auto"/>
        </w:rPr>
      </w:pPr>
    </w:p>
    <w:p>
      <w:pPr>
        <w:ind w:left="860"/>
        <w:spacing w:after="0"/>
        <w:tabs>
          <w:tab w:leader="none" w:pos="1540" w:val="left"/>
        </w:tabs>
        <w:rPr>
          <w:sz w:val="20"/>
          <w:szCs w:val="20"/>
          <w:color w:val="auto"/>
        </w:rPr>
      </w:pPr>
      <w:r>
        <w:rPr>
          <w:rFonts w:ascii="Arial" w:cs="Arial" w:eastAsia="Arial" w:hAnsi="Arial"/>
          <w:sz w:val="12"/>
          <w:szCs w:val="12"/>
          <w:color w:val="auto"/>
        </w:rPr>
        <w:t>Acct Name:</w:t>
      </w:r>
      <w:r>
        <w:rPr>
          <w:sz w:val="20"/>
          <w:szCs w:val="20"/>
          <w:color w:val="auto"/>
        </w:rPr>
        <w:tab/>
      </w:r>
      <w:r>
        <w:rPr>
          <w:rFonts w:ascii="Arial" w:cs="Arial" w:eastAsia="Arial" w:hAnsi="Arial"/>
          <w:sz w:val="10"/>
          <w:szCs w:val="10"/>
          <w:color w:val="auto"/>
        </w:rPr>
        <w:t>Texas EZPawn, LP</w:t>
      </w:r>
    </w:p>
    <w:p>
      <w:pPr>
        <w:spacing w:after="0" w:line="6"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2"/>
          <w:szCs w:val="12"/>
          <w:color w:val="auto"/>
        </w:rPr>
        <w:t>Acct No.:</w:t>
      </w:r>
      <w:r>
        <w:rPr>
          <w:sz w:val="20"/>
          <w:szCs w:val="20"/>
          <w:color w:val="auto"/>
        </w:rPr>
        <w:tab/>
      </w:r>
      <w:r>
        <w:rPr>
          <w:rFonts w:ascii="Arial" w:cs="Arial" w:eastAsia="Arial" w:hAnsi="Arial"/>
          <w:sz w:val="10"/>
          <w:szCs w:val="10"/>
          <w:color w:val="auto"/>
        </w:rPr>
        <w:t>4159720622</w:t>
      </w:r>
    </w:p>
    <w:p>
      <w:pPr>
        <w:spacing w:after="0" w:line="6"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2"/>
          <w:szCs w:val="12"/>
          <w:color w:val="auto"/>
        </w:rPr>
        <w:t>Contact:</w:t>
      </w:r>
      <w:r>
        <w:rPr>
          <w:sz w:val="20"/>
          <w:szCs w:val="20"/>
          <w:color w:val="auto"/>
        </w:rPr>
        <w:tab/>
      </w:r>
      <w:r>
        <w:rPr>
          <w:rFonts w:ascii="Arial" w:cs="Arial" w:eastAsia="Arial" w:hAnsi="Arial"/>
          <w:sz w:val="11"/>
          <w:szCs w:val="11"/>
          <w:color w:val="auto"/>
        </w:rPr>
        <w:t>Karissa Sullivan</w:t>
      </w:r>
    </w:p>
    <w:p>
      <w:pPr>
        <w:spacing w:after="0" w:line="6"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2"/>
          <w:szCs w:val="12"/>
          <w:color w:val="auto"/>
        </w:rPr>
        <w:t>Phone No.:</w:t>
      </w:r>
      <w:r>
        <w:rPr>
          <w:sz w:val="20"/>
          <w:szCs w:val="20"/>
          <w:color w:val="auto"/>
        </w:rPr>
        <w:tab/>
      </w:r>
      <w:r>
        <w:rPr>
          <w:rFonts w:ascii="Arial" w:cs="Arial" w:eastAsia="Arial" w:hAnsi="Arial"/>
          <w:sz w:val="10"/>
          <w:szCs w:val="10"/>
          <w:color w:val="auto"/>
        </w:rPr>
        <w:t>512-314-2257</w:t>
      </w:r>
    </w:p>
    <w:p>
      <w:pPr>
        <w:spacing w:after="0" w:line="141" w:lineRule="exact"/>
        <w:rPr>
          <w:sz w:val="20"/>
          <w:szCs w:val="20"/>
          <w:color w:val="auto"/>
        </w:rPr>
      </w:pPr>
    </w:p>
    <w:p>
      <w:pPr>
        <w:ind w:left="660" w:hanging="236"/>
        <w:spacing w:after="0"/>
        <w:tabs>
          <w:tab w:leader="none" w:pos="660" w:val="left"/>
        </w:tabs>
        <w:numPr>
          <w:ilvl w:val="0"/>
          <w:numId w:val="47"/>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any dispute arising hereunder shall be governed by and construed in accordance with the laws of the State of New York (without reference to choice of law doctrine).</w:t>
      </w:r>
    </w:p>
    <w:p>
      <w:pPr>
        <w:spacing w:after="0" w:line="150" w:lineRule="exact"/>
        <w:rPr>
          <w:rFonts w:ascii="Arial" w:cs="Arial" w:eastAsia="Arial" w:hAnsi="Arial"/>
          <w:sz w:val="12"/>
          <w:szCs w:val="12"/>
          <w:color w:val="auto"/>
        </w:rPr>
      </w:pPr>
    </w:p>
    <w:p>
      <w:pPr>
        <w:ind w:left="720" w:hanging="296"/>
        <w:spacing w:after="0"/>
        <w:tabs>
          <w:tab w:leader="none" w:pos="720" w:val="left"/>
        </w:tabs>
        <w:numPr>
          <w:ilvl w:val="0"/>
          <w:numId w:val="47"/>
        </w:numPr>
        <w:rPr>
          <w:rFonts w:ascii="Arial" w:cs="Arial" w:eastAsia="Arial" w:hAnsi="Arial"/>
          <w:sz w:val="11"/>
          <w:szCs w:val="11"/>
          <w:color w:val="auto"/>
        </w:rPr>
      </w:pP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signed in any number of counterparts, each of which shall be an original, with the same effect as if all of the signatures thereto and hereto were upon the same instrument.</w:t>
      </w:r>
    </w:p>
    <w:p>
      <w:pPr>
        <w:spacing w:after="0" w:line="161" w:lineRule="exact"/>
        <w:rPr>
          <w:rFonts w:ascii="Arial" w:cs="Arial" w:eastAsia="Arial" w:hAnsi="Arial"/>
          <w:sz w:val="11"/>
          <w:szCs w:val="11"/>
          <w:color w:val="auto"/>
        </w:rPr>
      </w:pPr>
    </w:p>
    <w:p>
      <w:pPr>
        <w:ind w:firstLine="424"/>
        <w:spacing w:after="0" w:line="276" w:lineRule="auto"/>
        <w:tabs>
          <w:tab w:leader="none" w:pos="725" w:val="left"/>
        </w:tabs>
        <w:numPr>
          <w:ilvl w:val="0"/>
          <w:numId w:val="47"/>
        </w:numPr>
        <w:rPr>
          <w:rFonts w:ascii="Arial" w:cs="Arial" w:eastAsia="Arial" w:hAnsi="Arial"/>
          <w:sz w:val="12"/>
          <w:szCs w:val="12"/>
          <w:color w:val="auto"/>
        </w:rPr>
      </w:pPr>
      <w:r>
        <w:rPr>
          <w:rFonts w:ascii="Arial" w:cs="Arial" w:eastAsia="Arial" w:hAnsi="Arial"/>
          <w:sz w:val="12"/>
          <w:szCs w:val="12"/>
          <w:u w:val="single" w:color="auto"/>
          <w:color w:val="auto"/>
        </w:rPr>
        <w:t>No Reliance, etc</w:t>
      </w:r>
      <w:r>
        <w:rPr>
          <w:rFonts w:ascii="Arial" w:cs="Arial" w:eastAsia="Arial" w:hAnsi="Arial"/>
          <w:sz w:val="12"/>
          <w:szCs w:val="12"/>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14" w:lineRule="exact"/>
        <w:rPr>
          <w:rFonts w:ascii="Arial" w:cs="Arial" w:eastAsia="Arial" w:hAnsi="Arial"/>
          <w:sz w:val="12"/>
          <w:szCs w:val="12"/>
          <w:color w:val="auto"/>
        </w:rPr>
      </w:pPr>
    </w:p>
    <w:p>
      <w:pPr>
        <w:jc w:val="both"/>
        <w:ind w:firstLine="424"/>
        <w:spacing w:after="0" w:line="263" w:lineRule="auto"/>
        <w:tabs>
          <w:tab w:leader="none" w:pos="711" w:val="left"/>
        </w:tabs>
        <w:numPr>
          <w:ilvl w:val="0"/>
          <w:numId w:val="47"/>
        </w:numPr>
        <w:rPr>
          <w:rFonts w:ascii="Arial" w:cs="Arial" w:eastAsia="Arial" w:hAnsi="Arial"/>
          <w:sz w:val="12"/>
          <w:szCs w:val="12"/>
          <w:color w:val="auto"/>
        </w:rPr>
      </w:pPr>
      <w:r>
        <w:rPr>
          <w:rFonts w:ascii="Arial" w:cs="Arial" w:eastAsia="Arial" w:hAnsi="Arial"/>
          <w:sz w:val="12"/>
          <w:szCs w:val="12"/>
          <w:u w:val="single" w:color="auto"/>
          <w:color w:val="auto"/>
        </w:rPr>
        <w:t>Designation by Dealer</w:t>
      </w:r>
      <w:r>
        <w:rPr>
          <w:rFonts w:ascii="Arial" w:cs="Arial" w:eastAsia="Arial" w:hAnsi="Arial"/>
          <w:sz w:val="12"/>
          <w:szCs w:val="12"/>
          <w:color w:val="auto"/>
        </w:rPr>
        <w:t>. Notwithstanding any other provision in this Agreement to the contrary requiring or allowing Dealer to purchase, sell, receive or deliver any Shares or other securities to or from Company, Dealer may designate any of its affiliates to purchase, sell, receive or deliver such shares or other securities and otherwise to perform Dealer obligations in respect of the transactions contemplated by this Agreement and any such designee may assume such obligations. Dealer shall be discharged of its obligations to Company to the extent of any such performance.</w:t>
      </w:r>
    </w:p>
    <w:p>
      <w:pPr>
        <w:spacing w:after="0" w:line="122" w:lineRule="exact"/>
        <w:rPr>
          <w:rFonts w:ascii="Arial" w:cs="Arial" w:eastAsia="Arial" w:hAnsi="Arial"/>
          <w:sz w:val="12"/>
          <w:szCs w:val="12"/>
          <w:color w:val="auto"/>
        </w:rPr>
      </w:pPr>
    </w:p>
    <w:p>
      <w:pPr>
        <w:jc w:val="both"/>
        <w:ind w:firstLine="424"/>
        <w:spacing w:after="0" w:line="263" w:lineRule="auto"/>
        <w:tabs>
          <w:tab w:leader="none" w:pos="747" w:val="left"/>
        </w:tabs>
        <w:numPr>
          <w:ilvl w:val="0"/>
          <w:numId w:val="47"/>
        </w:numPr>
        <w:rPr>
          <w:rFonts w:ascii="Arial" w:cs="Arial" w:eastAsia="Arial" w:hAnsi="Arial"/>
          <w:sz w:val="12"/>
          <w:szCs w:val="12"/>
          <w:color w:val="auto"/>
        </w:rPr>
      </w:pPr>
      <w:r>
        <w:rPr>
          <w:rFonts w:ascii="Arial" w:cs="Arial" w:eastAsia="Arial" w:hAnsi="Arial"/>
          <w:sz w:val="12"/>
          <w:szCs w:val="12"/>
          <w:u w:val="single" w:color="auto"/>
          <w:color w:val="auto"/>
        </w:rPr>
        <w:t>No Setoff; No Collateral</w:t>
      </w:r>
      <w:r>
        <w:rPr>
          <w:rFonts w:ascii="Arial" w:cs="Arial" w:eastAsia="Arial" w:hAnsi="Arial"/>
          <w:sz w:val="12"/>
          <w:szCs w:val="12"/>
          <w:color w:val="auto"/>
        </w:rPr>
        <w:t>. Notwithstanding any provision of this Agreement or any other agreement between the parties to the contrary, the obligations of Company hereunder are not, and shall not be, secured by any collateral. Each party waives any and all rights it may have to set off obligations arising under this Agreement and the Transaction against other obligations between the parties, whether arising under any other agreement, applicable law or otherwise.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581" w:right="199" w:bottom="1440" w:gutter="0" w:footer="0" w:header="0"/>
        </w:sectPr>
      </w:pPr>
    </w:p>
    <w:bookmarkStart w:id="62" w:name="page63"/>
    <w:bookmarkEnd w:id="62"/>
    <w:p>
      <w:pPr>
        <w:spacing w:after="0"/>
        <w:tabs>
          <w:tab w:leader="none" w:pos="260"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0"/>
          <w:szCs w:val="10"/>
          <w:u w:val="single" w:color="auto"/>
          <w:color w:val="auto"/>
        </w:rPr>
        <w:t>No Other Changes</w:t>
      </w:r>
      <w:r>
        <w:rPr>
          <w:rFonts w:ascii="Arial" w:cs="Arial" w:eastAsia="Arial" w:hAnsi="Arial"/>
          <w:sz w:val="10"/>
          <w:szCs w:val="10"/>
          <w:color w:val="auto"/>
        </w:rPr>
        <w:t>. Except as expressly set forth herein, all of the terms and conditions of the Base Call Option Confirmation shall remain in full force and effect and are hereby confirmed in all respects.</w:t>
      </w:r>
    </w:p>
    <w:p>
      <w:pPr>
        <w:sectPr>
          <w:pgSz w:w="11900" w:h="16838" w:orient="portrait"/>
          <w:cols w:equalWidth="0" w:num="1">
            <w:col w:w="9980"/>
          </w:cols>
          <w:pgMar w:left="640" w:top="581" w:right="1279" w:bottom="1440" w:gutter="0" w:footer="0" w:header="0"/>
        </w:sectPr>
      </w:pPr>
    </w:p>
    <w:p>
      <w:pPr>
        <w:spacing w:after="0" w:line="15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Follows</w:t>
      </w: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980"/>
          </w:cols>
          <w:pgMar w:left="640" w:top="581" w:right="127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2"/>
          <w:szCs w:val="12"/>
          <w:color w:val="auto"/>
        </w:rPr>
        <w:t>IN WITNESS WHEREOF, the parties hereto have caused this Agreement to be duly executed as of the date first written above.</w:t>
      </w:r>
    </w:p>
    <w:p>
      <w:pPr>
        <w:spacing w:after="0" w:line="200" w:lineRule="exact"/>
        <w:rPr>
          <w:sz w:val="20"/>
          <w:szCs w:val="20"/>
          <w:color w:val="auto"/>
        </w:rPr>
      </w:pPr>
    </w:p>
    <w:p>
      <w:pPr>
        <w:spacing w:after="0" w:line="343"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Jefferies International Limited</w:t>
      </w:r>
    </w:p>
    <w:p>
      <w:pPr>
        <w:spacing w:after="0" w:line="334" w:lineRule="exact"/>
        <w:rPr>
          <w:sz w:val="20"/>
          <w:szCs w:val="20"/>
          <w:color w:val="auto"/>
        </w:rPr>
      </w:pPr>
    </w:p>
    <w:tbl>
      <w:tblPr>
        <w:tblLayout w:type="fixed"/>
        <w:tblInd w:w="588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14"/>
                <w:szCs w:val="1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Frank Copplestone</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Frank Copplestone</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Managing Director</w:t>
            </w:r>
          </w:p>
        </w:tc>
      </w:tr>
      <w:tr>
        <w:trPr>
          <w:trHeight w:val="324"/>
        </w:trPr>
        <w:tc>
          <w:tcPr>
            <w:tcW w:w="51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Jefferies LLC, </w:t>
            </w:r>
            <w:r>
              <w:rPr>
                <w:rFonts w:ascii="Arial" w:cs="Arial" w:eastAsia="Arial" w:hAnsi="Arial"/>
                <w:sz w:val="12"/>
                <w:szCs w:val="12"/>
                <w:color w:val="auto"/>
              </w:rPr>
              <w:t>as Agent</w:t>
            </w:r>
          </w:p>
        </w:tc>
      </w:tr>
      <w:tr>
        <w:trPr>
          <w:trHeight w:val="477"/>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24"/>
                <w:szCs w:val="2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John Noonan</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John Noonan</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Managing Director</w:t>
            </w:r>
          </w:p>
        </w:tc>
      </w:tr>
    </w:tbl>
    <w:p>
      <w:pPr>
        <w:spacing w:after="0" w:line="200" w:lineRule="exact"/>
        <w:rPr>
          <w:sz w:val="20"/>
          <w:szCs w:val="20"/>
          <w:color w:val="auto"/>
        </w:rPr>
      </w:pPr>
    </w:p>
    <w:p>
      <w:pPr>
        <w:spacing w:after="0" w:line="346"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369" w:lineRule="exact"/>
        <w:rPr>
          <w:sz w:val="20"/>
          <w:szCs w:val="20"/>
          <w:color w:val="auto"/>
        </w:rPr>
      </w:pPr>
    </w:p>
    <w:p>
      <w:pPr>
        <w:ind w:left="58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20955</wp:posOffset>
            </wp:positionV>
            <wp:extent cx="283083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830830" cy="5715"/>
                    </a:xfrm>
                    <a:prstGeom prst="rect">
                      <a:avLst/>
                    </a:prstGeom>
                    <a:noFill/>
                  </pic:spPr>
                </pic:pic>
              </a:graphicData>
            </a:graphic>
          </wp:anchor>
        </w:drawing>
      </w:r>
    </w:p>
    <w:p>
      <w:pPr>
        <w:spacing w:after="0" w:line="31"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Thomas H. Welch, Jr.</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Title: Chief Legal Officer and Secretary</w:t>
      </w:r>
    </w:p>
    <w:p>
      <w:pPr>
        <w:spacing w:after="0" w:line="200" w:lineRule="exact"/>
        <w:rPr>
          <w:sz w:val="20"/>
          <w:szCs w:val="20"/>
          <w:color w:val="auto"/>
        </w:rPr>
      </w:pPr>
    </w:p>
    <w:p>
      <w:pPr>
        <w:spacing w:after="0" w:line="38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Call Option Termination Agreement</w:t>
      </w:r>
      <w:r>
        <w:rPr>
          <w:rFonts w:ascii="Arial" w:cs="Arial" w:eastAsia="Arial" w:hAnsi="Arial"/>
          <w:sz w:val="12"/>
          <w:szCs w:val="12"/>
          <w:color w:val="auto"/>
        </w:rPr>
        <w:t>]</w:t>
      </w:r>
    </w:p>
    <w:p>
      <w:pPr>
        <w:sectPr>
          <w:pgSz w:w="11900" w:h="16838" w:orient="portrait"/>
          <w:cols w:equalWidth="0" w:num="1">
            <w:col w:w="11060"/>
          </w:cols>
          <w:pgMar w:left="640" w:top="725" w:right="199" w:bottom="1440" w:gutter="0" w:footer="0" w:header="0"/>
        </w:sectPr>
      </w:pPr>
    </w:p>
    <w:bookmarkStart w:id="64" w:name="page65"/>
    <w:bookmarkEnd w:id="64"/>
    <w:p>
      <w:pPr>
        <w:jc w:val="right"/>
        <w:spacing w:after="0"/>
        <w:rPr>
          <w:sz w:val="20"/>
          <w:szCs w:val="20"/>
          <w:color w:val="auto"/>
        </w:rPr>
      </w:pPr>
      <w:r>
        <w:rPr>
          <w:rFonts w:ascii="Arial" w:cs="Arial" w:eastAsia="Arial" w:hAnsi="Arial"/>
          <w:sz w:val="14"/>
          <w:szCs w:val="14"/>
          <w:b w:val="1"/>
          <w:bCs w:val="1"/>
          <w:color w:val="auto"/>
        </w:rPr>
        <w:t>Schedule 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60" w:type="dxa"/>
            <w:vAlign w:val="bottom"/>
            <w:gridSpan w:val="3"/>
          </w:tcPr>
          <w:p>
            <w:pPr>
              <w:spacing w:after="0"/>
              <w:rPr>
                <w:sz w:val="20"/>
                <w:szCs w:val="20"/>
                <w:color w:val="auto"/>
              </w:rPr>
            </w:pPr>
            <w:r>
              <w:rPr>
                <w:rFonts w:ascii="Arial" w:cs="Arial" w:eastAsia="Arial" w:hAnsi="Arial"/>
                <w:sz w:val="12"/>
                <w:szCs w:val="12"/>
                <w:color w:val="auto"/>
              </w:rPr>
              <w:t>The Cash Settlement Amount shall be determined by Dealer according to the table below.</w:t>
            </w:r>
          </w:p>
        </w:tc>
        <w:tc>
          <w:tcPr>
            <w:tcW w:w="1280" w:type="dxa"/>
            <w:vAlign w:val="bottom"/>
          </w:tcPr>
          <w:p>
            <w:pPr>
              <w:spacing w:after="0"/>
              <w:rPr>
                <w:sz w:val="13"/>
                <w:szCs w:val="13"/>
                <w:color w:val="auto"/>
              </w:rPr>
            </w:pPr>
          </w:p>
        </w:tc>
      </w:tr>
      <w:tr>
        <w:trPr>
          <w:trHeight w:val="369"/>
        </w:trPr>
        <w:tc>
          <w:tcPr>
            <w:tcW w:w="32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Average VWAP</w:t>
            </w:r>
          </w:p>
        </w:tc>
        <w:tc>
          <w:tcPr>
            <w:tcW w:w="1280" w:type="dxa"/>
            <w:vAlign w:val="bottom"/>
          </w:tcPr>
          <w:p>
            <w:pPr>
              <w:spacing w:after="0"/>
              <w:rPr>
                <w:sz w:val="20"/>
                <w:szCs w:val="20"/>
                <w:color w:val="auto"/>
              </w:rPr>
            </w:pPr>
            <w:r>
              <w:rPr>
                <w:rFonts w:ascii="Arial" w:cs="Arial" w:eastAsia="Arial" w:hAnsi="Arial"/>
                <w:sz w:val="12"/>
                <w:szCs w:val="12"/>
                <w:b w:val="1"/>
                <w:bCs w:val="1"/>
                <w:color w:val="auto"/>
                <w:w w:val="88"/>
              </w:rPr>
              <w:t>Cash Settlement Amount</w:t>
            </w:r>
          </w:p>
        </w:tc>
      </w:tr>
      <w:tr>
        <w:trPr>
          <w:trHeight w:val="187"/>
        </w:trPr>
        <w:tc>
          <w:tcPr>
            <w:tcW w:w="3240" w:type="dxa"/>
            <w:vAlign w:val="bottom"/>
          </w:tcPr>
          <w:p>
            <w:pPr>
              <w:spacing w:after="0"/>
              <w:rPr>
                <w:sz w:val="16"/>
                <w:szCs w:val="16"/>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$7.00</w:t>
            </w:r>
          </w:p>
        </w:tc>
        <w:tc>
          <w:tcPr>
            <w:tcW w:w="1320" w:type="dxa"/>
            <w:vAlign w:val="bottom"/>
          </w:tcPr>
          <w:p>
            <w:pPr>
              <w:spacing w:after="0"/>
              <w:rPr>
                <w:sz w:val="16"/>
                <w:szCs w:val="16"/>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$85,456</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$99,849</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$115,785</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$133,346</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$152,567</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$173,552</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$196,243</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$220,779</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$9.00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$247,170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Dealer may adjust the table above upon the occurrence of any event or condition that would have allowed Dealer to adjust the terms of the Call Option Transactions under the Call Option Confirmations.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w:t>
      </w:r>
    </w:p>
    <w:p>
      <w:pPr>
        <w:sectPr>
          <w:pgSz w:w="11900" w:h="16838" w:orient="portrait"/>
          <w:cols w:equalWidth="0" w:num="1">
            <w:col w:w="11480"/>
          </w:cols>
          <w:pgMar w:left="220" w:top="581" w:right="19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WARRANT TERMINATION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dated as of June 29,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Between EZCORP, INC. and JEFFERIES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2923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72923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THIS WARRANT TERMINATION AGREEMENT (this “</w:t>
      </w:r>
      <w:r>
        <w:rPr>
          <w:rFonts w:ascii="Arial" w:cs="Arial" w:eastAsia="Arial" w:hAnsi="Arial"/>
          <w:sz w:val="12"/>
          <w:szCs w:val="12"/>
          <w:b w:val="1"/>
          <w:bCs w:val="1"/>
          <w:color w:val="auto"/>
        </w:rPr>
        <w:t>Agreement</w:t>
      </w:r>
      <w:r>
        <w:rPr>
          <w:rFonts w:ascii="Arial" w:cs="Arial" w:eastAsia="Arial" w:hAnsi="Arial"/>
          <w:sz w:val="12"/>
          <w:szCs w:val="12"/>
          <w:color w:val="auto"/>
        </w:rPr>
        <w:t>”) with respect to the Warrants Confirmations (as defined below) is made as of June 29, 2017, between EZCORP, Inc. (“</w:t>
      </w:r>
      <w:r>
        <w:rPr>
          <w:rFonts w:ascii="Arial" w:cs="Arial" w:eastAsia="Arial" w:hAnsi="Arial"/>
          <w:sz w:val="12"/>
          <w:szCs w:val="12"/>
          <w:b w:val="1"/>
          <w:bCs w:val="1"/>
          <w:color w:val="auto"/>
        </w:rPr>
        <w:t>Company</w:t>
      </w:r>
      <w:r>
        <w:rPr>
          <w:rFonts w:ascii="Arial" w:cs="Arial" w:eastAsia="Arial" w:hAnsi="Arial"/>
          <w:sz w:val="12"/>
          <w:szCs w:val="12"/>
          <w:color w:val="auto"/>
        </w:rPr>
        <w:t>”) and Jefferies International Limited (“</w:t>
      </w:r>
      <w:r>
        <w:rPr>
          <w:rFonts w:ascii="Arial" w:cs="Arial" w:eastAsia="Arial" w:hAnsi="Arial"/>
          <w:sz w:val="12"/>
          <w:szCs w:val="12"/>
          <w:b w:val="1"/>
          <w:bCs w:val="1"/>
          <w:color w:val="auto"/>
        </w:rPr>
        <w:t>Dealer</w:t>
      </w:r>
      <w:r>
        <w:rPr>
          <w:rFonts w:ascii="Arial" w:cs="Arial" w:eastAsia="Arial" w:hAnsi="Arial"/>
          <w:sz w:val="12"/>
          <w:szCs w:val="12"/>
          <w:color w:val="auto"/>
        </w:rPr>
        <w:t>”).</w:t>
      </w:r>
    </w:p>
    <w:p>
      <w:pPr>
        <w:spacing w:after="0" w:line="80" w:lineRule="exact"/>
        <w:rPr>
          <w:sz w:val="20"/>
          <w:szCs w:val="20"/>
          <w:color w:val="auto"/>
        </w:rPr>
      </w:pPr>
    </w:p>
    <w:p>
      <w:pPr>
        <w:jc w:val="both"/>
        <w:ind w:right="20" w:firstLine="432"/>
        <w:spacing w:after="0" w:line="267" w:lineRule="auto"/>
        <w:rPr>
          <w:sz w:val="20"/>
          <w:szCs w:val="20"/>
          <w:color w:val="auto"/>
        </w:rPr>
      </w:pPr>
      <w:r>
        <w:rPr>
          <w:rFonts w:ascii="Arial" w:cs="Arial" w:eastAsia="Arial" w:hAnsi="Arial"/>
          <w:sz w:val="12"/>
          <w:szCs w:val="12"/>
          <w:color w:val="auto"/>
        </w:rPr>
        <w:t>WHEREAS, Dealer and Company entered into a Base Warrants Transaction (the “</w:t>
      </w:r>
      <w:r>
        <w:rPr>
          <w:rFonts w:ascii="Arial" w:cs="Arial" w:eastAsia="Arial" w:hAnsi="Arial"/>
          <w:sz w:val="12"/>
          <w:szCs w:val="12"/>
          <w:b w:val="1"/>
          <w:bCs w:val="1"/>
          <w:color w:val="auto"/>
        </w:rPr>
        <w:t>Base Warrants Transaction</w:t>
      </w:r>
      <w:r>
        <w:rPr>
          <w:rFonts w:ascii="Arial" w:cs="Arial" w:eastAsia="Arial" w:hAnsi="Arial"/>
          <w:sz w:val="12"/>
          <w:szCs w:val="12"/>
          <w:color w:val="auto"/>
        </w:rPr>
        <w:t>”) pursuant to a letter agreement re: Base Warrants dated as of June 17, 2014 confirming the terms of a warrant transaction whereby Dealer purchased from Company 2,801,119 warrants (as amended by that certain amendment agreement dated as of June 27, 2014 and as may be further amended, modified, terminated or unwound from time to time, the “</w:t>
      </w:r>
      <w:r>
        <w:rPr>
          <w:rFonts w:ascii="Arial" w:cs="Arial" w:eastAsia="Arial" w:hAnsi="Arial"/>
          <w:sz w:val="12"/>
          <w:szCs w:val="12"/>
          <w:b w:val="1"/>
          <w:bCs w:val="1"/>
          <w:color w:val="auto"/>
        </w:rPr>
        <w:t>Base Warrants Confirmation</w:t>
      </w:r>
      <w:r>
        <w:rPr>
          <w:rFonts w:ascii="Arial" w:cs="Arial" w:eastAsia="Arial" w:hAnsi="Arial"/>
          <w:sz w:val="12"/>
          <w:szCs w:val="12"/>
          <w:color w:val="auto"/>
        </w:rPr>
        <w:t>”);</w:t>
      </w:r>
    </w:p>
    <w:p>
      <w:pPr>
        <w:spacing w:after="0" w:line="89" w:lineRule="exact"/>
        <w:rPr>
          <w:sz w:val="20"/>
          <w:szCs w:val="20"/>
          <w:color w:val="auto"/>
        </w:rPr>
      </w:pPr>
    </w:p>
    <w:p>
      <w:pPr>
        <w:jc w:val="both"/>
        <w:ind w:right="60" w:firstLine="432"/>
        <w:spacing w:after="0" w:line="267" w:lineRule="auto"/>
        <w:rPr>
          <w:sz w:val="20"/>
          <w:szCs w:val="20"/>
          <w:color w:val="auto"/>
        </w:rPr>
      </w:pPr>
      <w:r>
        <w:rPr>
          <w:rFonts w:ascii="Arial" w:cs="Arial" w:eastAsia="Arial" w:hAnsi="Arial"/>
          <w:sz w:val="12"/>
          <w:szCs w:val="12"/>
          <w:color w:val="auto"/>
        </w:rPr>
        <w:t>WHEREAS, Dealer and Company entered into an Additional Warrants Transaction (the “</w:t>
      </w:r>
      <w:r>
        <w:rPr>
          <w:rFonts w:ascii="Arial" w:cs="Arial" w:eastAsia="Arial" w:hAnsi="Arial"/>
          <w:sz w:val="12"/>
          <w:szCs w:val="12"/>
          <w:b w:val="1"/>
          <w:bCs w:val="1"/>
          <w:color w:val="auto"/>
        </w:rPr>
        <w:t>Additional Warrants Transaction</w:t>
      </w:r>
      <w:r>
        <w:rPr>
          <w:rFonts w:ascii="Arial" w:cs="Arial" w:eastAsia="Arial" w:hAnsi="Arial"/>
          <w:sz w:val="12"/>
          <w:szCs w:val="12"/>
          <w:color w:val="auto"/>
        </w:rPr>
        <w:t>” and, together with the Base Warrants Transaction, the “</w:t>
      </w:r>
      <w:r>
        <w:rPr>
          <w:rFonts w:ascii="Arial" w:cs="Arial" w:eastAsia="Arial" w:hAnsi="Arial"/>
          <w:sz w:val="12"/>
          <w:szCs w:val="12"/>
          <w:b w:val="1"/>
          <w:bCs w:val="1"/>
          <w:color w:val="auto"/>
        </w:rPr>
        <w:t>Warrants Transactions</w:t>
      </w:r>
      <w:r>
        <w:rPr>
          <w:rFonts w:ascii="Arial" w:cs="Arial" w:eastAsia="Arial" w:hAnsi="Arial"/>
          <w:sz w:val="12"/>
          <w:szCs w:val="12"/>
          <w:color w:val="auto"/>
        </w:rPr>
        <w:t>”) pursuant to a letter agreement re: Additional Warrants dated as of June 27, 2014 confirming the terms of an additional warrant transaction whereby Dealer purchased from Company 420,168 warrants (as amended, modified, terminated or unwound from time to time, the “</w:t>
      </w:r>
      <w:r>
        <w:rPr>
          <w:rFonts w:ascii="Arial" w:cs="Arial" w:eastAsia="Arial" w:hAnsi="Arial"/>
          <w:sz w:val="12"/>
          <w:szCs w:val="12"/>
          <w:b w:val="1"/>
          <w:bCs w:val="1"/>
          <w:color w:val="auto"/>
        </w:rPr>
        <w:t>Additional Warrants Confirmation</w:t>
      </w:r>
      <w:r>
        <w:rPr>
          <w:rFonts w:ascii="Arial" w:cs="Arial" w:eastAsia="Arial" w:hAnsi="Arial"/>
          <w:sz w:val="12"/>
          <w:szCs w:val="12"/>
          <w:color w:val="auto"/>
        </w:rPr>
        <w:t>” and, together with the Base Warrants Confirmation, the “</w:t>
      </w:r>
      <w:r>
        <w:rPr>
          <w:rFonts w:ascii="Arial" w:cs="Arial" w:eastAsia="Arial" w:hAnsi="Arial"/>
          <w:sz w:val="12"/>
          <w:szCs w:val="12"/>
          <w:b w:val="1"/>
          <w:bCs w:val="1"/>
          <w:color w:val="auto"/>
        </w:rPr>
        <w:t>Warrants Confirmations</w:t>
      </w:r>
      <w:r>
        <w:rPr>
          <w:rFonts w:ascii="Arial" w:cs="Arial" w:eastAsia="Arial" w:hAnsi="Arial"/>
          <w:sz w:val="12"/>
          <w:szCs w:val="12"/>
          <w:color w:val="auto"/>
        </w:rPr>
        <w:t>”); and</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Company has requested a full termination of the Additional Warrants Transaction and partial termination of the Base Warrants Transaction;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their mutual covenants herein contained, the parties hereto, intending to be legally bound, hereby mutually covenant and agree as follows:</w:t>
      </w:r>
    </w:p>
    <w:p>
      <w:pPr>
        <w:spacing w:after="0" w:line="123" w:lineRule="exact"/>
        <w:rPr>
          <w:sz w:val="20"/>
          <w:szCs w:val="20"/>
          <w:color w:val="auto"/>
        </w:rPr>
      </w:pPr>
    </w:p>
    <w:p>
      <w:pPr>
        <w:ind w:left="640" w:hanging="216"/>
        <w:spacing w:after="0"/>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u w:val="single" w:color="auto"/>
          <w:color w:val="auto"/>
        </w:rPr>
        <w:t>Defined Terms</w:t>
      </w:r>
      <w:r>
        <w:rPr>
          <w:rFonts w:ascii="Arial" w:cs="Arial" w:eastAsia="Arial" w:hAnsi="Arial"/>
          <w:sz w:val="12"/>
          <w:szCs w:val="12"/>
          <w:color w:val="auto"/>
        </w:rPr>
        <w:t>. Any capitalized term not otherwise defined herein shall have the meaning set forth for such term in the Warrants Confirmations.</w:t>
      </w:r>
    </w:p>
    <w:p>
      <w:pPr>
        <w:spacing w:after="0" w:line="150" w:lineRule="exact"/>
        <w:rPr>
          <w:rFonts w:ascii="Arial" w:cs="Arial" w:eastAsia="Arial" w:hAnsi="Arial"/>
          <w:sz w:val="12"/>
          <w:szCs w:val="12"/>
          <w:color w:val="auto"/>
        </w:rPr>
      </w:pPr>
    </w:p>
    <w:p>
      <w:pPr>
        <w:jc w:val="both"/>
        <w:ind w:firstLine="424"/>
        <w:spacing w:after="0" w:line="298" w:lineRule="auto"/>
        <w:tabs>
          <w:tab w:leader="none" w:pos="642" w:val="left"/>
        </w:tabs>
        <w:numPr>
          <w:ilvl w:val="0"/>
          <w:numId w:val="48"/>
        </w:numPr>
        <w:rPr>
          <w:rFonts w:ascii="Arial" w:cs="Arial" w:eastAsia="Arial" w:hAnsi="Arial"/>
          <w:sz w:val="11"/>
          <w:szCs w:val="11"/>
          <w:color w:val="auto"/>
        </w:rPr>
      </w:pPr>
      <w:r>
        <w:rPr>
          <w:rFonts w:ascii="Arial" w:cs="Arial" w:eastAsia="Arial" w:hAnsi="Arial"/>
          <w:sz w:val="11"/>
          <w:szCs w:val="11"/>
          <w:u w:val="single" w:color="auto"/>
          <w:color w:val="auto"/>
        </w:rPr>
        <w:t>Termination and Amendment</w:t>
      </w:r>
      <w:r>
        <w:rPr>
          <w:rFonts w:ascii="Arial" w:cs="Arial" w:eastAsia="Arial" w:hAnsi="Arial"/>
          <w:sz w:val="11"/>
          <w:szCs w:val="11"/>
          <w:color w:val="auto"/>
        </w:rPr>
        <w:t>. Notwithstanding anything to the contrary in the Warrants Confirmations, Company and Dealer agree that, effective on the date hereof, (i) the Additional Warrants Transaction shall automatically terminate and all of the respective rights and obligations of the parties under the Additional Warrants Confirmation shall be terminated, cancelled and extinguished and (ii) the Number of Warrants under the Base Warrants Transaction shall be reduced to 2,731,091, and in connection therewith Company shall be required to pay to Dealer the Cash Settlement Amount on the Payment Date pursuant to Sections 3 and 4 below.</w:t>
      </w:r>
    </w:p>
    <w:p>
      <w:pPr>
        <w:spacing w:after="0" w:line="105" w:lineRule="exact"/>
        <w:rPr>
          <w:rFonts w:ascii="Arial" w:cs="Arial" w:eastAsia="Arial" w:hAnsi="Arial"/>
          <w:sz w:val="11"/>
          <w:szCs w:val="11"/>
          <w:color w:val="auto"/>
        </w:rPr>
      </w:pPr>
    </w:p>
    <w:p>
      <w:pPr>
        <w:jc w:val="both"/>
        <w:ind w:firstLine="424"/>
        <w:spacing w:after="0" w:line="257" w:lineRule="auto"/>
        <w:tabs>
          <w:tab w:leader="none" w:pos="669" w:val="left"/>
        </w:tabs>
        <w:numPr>
          <w:ilvl w:val="0"/>
          <w:numId w:val="48"/>
        </w:numPr>
        <w:rPr>
          <w:rFonts w:ascii="Arial" w:cs="Arial" w:eastAsia="Arial" w:hAnsi="Arial"/>
          <w:sz w:val="12"/>
          <w:szCs w:val="12"/>
          <w:color w:val="auto"/>
        </w:rPr>
      </w:pPr>
      <w:r>
        <w:rPr>
          <w:rFonts w:ascii="Arial" w:cs="Arial" w:eastAsia="Arial" w:hAnsi="Arial"/>
          <w:sz w:val="12"/>
          <w:szCs w:val="12"/>
          <w:u w:val="single" w:color="auto"/>
          <w:color w:val="auto"/>
        </w:rPr>
        <w:t>Procedures for Hedge Unwind</w:t>
      </w:r>
      <w:r>
        <w:rPr>
          <w:rFonts w:ascii="Arial" w:cs="Arial" w:eastAsia="Arial" w:hAnsi="Arial"/>
          <w:sz w:val="12"/>
          <w:szCs w:val="12"/>
          <w:color w:val="auto"/>
        </w:rPr>
        <w:t>. On each Hedge Unwind Date (as defined below), Dealer (or an affiliate of Dealer), for the account of Dealer, shall unwind a portion of its hedge of the Warrants underlying the Warrants Transactions being terminated hereunder (the period of ten consecutive Scheduled Trading Days beginning on and including the Exchange Business Day following the Effective Date (as defined below, and such Exchange Business Day, the “</w:t>
      </w:r>
      <w:r>
        <w:rPr>
          <w:rFonts w:ascii="Arial" w:cs="Arial" w:eastAsia="Arial" w:hAnsi="Arial"/>
          <w:sz w:val="12"/>
          <w:szCs w:val="12"/>
          <w:b w:val="1"/>
          <w:bCs w:val="1"/>
          <w:color w:val="auto"/>
        </w:rPr>
        <w:t>Start Date</w:t>
      </w:r>
      <w:r>
        <w:rPr>
          <w:rFonts w:ascii="Arial" w:cs="Arial" w:eastAsia="Arial" w:hAnsi="Arial"/>
          <w:sz w:val="12"/>
          <w:szCs w:val="12"/>
          <w:color w:val="auto"/>
        </w:rPr>
        <w:t>”) being collectively referred to as the “</w:t>
      </w:r>
      <w:r>
        <w:rPr>
          <w:rFonts w:ascii="Arial" w:cs="Arial" w:eastAsia="Arial" w:hAnsi="Arial"/>
          <w:sz w:val="12"/>
          <w:szCs w:val="12"/>
          <w:b w:val="1"/>
          <w:bCs w:val="1"/>
          <w:color w:val="auto"/>
        </w:rPr>
        <w:t>Hedge Unwind Period</w:t>
      </w:r>
      <w:r>
        <w:rPr>
          <w:rFonts w:ascii="Arial" w:cs="Arial" w:eastAsia="Arial" w:hAnsi="Arial"/>
          <w:sz w:val="12"/>
          <w:szCs w:val="12"/>
          <w:color w:val="auto"/>
        </w:rPr>
        <w:t>” (subject to extension pursuant to the proviso in the immediately following sentence)). A “</w:t>
      </w:r>
      <w:r>
        <w:rPr>
          <w:rFonts w:ascii="Arial" w:cs="Arial" w:eastAsia="Arial" w:hAnsi="Arial"/>
          <w:sz w:val="12"/>
          <w:szCs w:val="12"/>
          <w:b w:val="1"/>
          <w:bCs w:val="1"/>
          <w:color w:val="auto"/>
        </w:rPr>
        <w:t>Hedge Unwind Date</w:t>
      </w:r>
      <w:r>
        <w:rPr>
          <w:rFonts w:ascii="Arial" w:cs="Arial" w:eastAsia="Arial" w:hAnsi="Arial"/>
          <w:sz w:val="12"/>
          <w:szCs w:val="12"/>
          <w:color w:val="auto"/>
        </w:rPr>
        <w:t xml:space="preserve">” means the Start Date and each Scheduled Trading Day in the Hedge Unwind Period;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any such date is a Disrupted Day in whole, such date shall not constitute a Hedge Unwind Date, and an additional Hedge Unwind Date shall occur on the Scheduled Trading Day after the date that would otherwise be the final Hedge Unwind Date.</w:t>
      </w:r>
    </w:p>
    <w:p>
      <w:pPr>
        <w:spacing w:after="0" w:line="125" w:lineRule="exact"/>
        <w:rPr>
          <w:rFonts w:ascii="Arial" w:cs="Arial" w:eastAsia="Arial" w:hAnsi="Arial"/>
          <w:sz w:val="12"/>
          <w:szCs w:val="12"/>
          <w:color w:val="auto"/>
        </w:rPr>
      </w:pPr>
    </w:p>
    <w:p>
      <w:pPr>
        <w:jc w:val="both"/>
        <w:ind w:firstLine="424"/>
        <w:spacing w:after="0" w:line="255" w:lineRule="auto"/>
        <w:tabs>
          <w:tab w:leader="none" w:pos="687" w:val="left"/>
        </w:tabs>
        <w:numPr>
          <w:ilvl w:val="0"/>
          <w:numId w:val="48"/>
        </w:numPr>
        <w:rPr>
          <w:rFonts w:ascii="Arial" w:cs="Arial" w:eastAsia="Arial" w:hAnsi="Arial"/>
          <w:sz w:val="12"/>
          <w:szCs w:val="12"/>
          <w:color w:val="auto"/>
        </w:rPr>
      </w:pPr>
      <w:r>
        <w:rPr>
          <w:rFonts w:ascii="Arial" w:cs="Arial" w:eastAsia="Arial" w:hAnsi="Arial"/>
          <w:sz w:val="12"/>
          <w:szCs w:val="12"/>
          <w:u w:val="single" w:color="auto"/>
          <w:color w:val="auto"/>
        </w:rPr>
        <w:t>Payments and Deliveries</w:t>
      </w:r>
      <w:r>
        <w:rPr>
          <w:rFonts w:ascii="Arial" w:cs="Arial" w:eastAsia="Arial" w:hAnsi="Arial"/>
          <w:sz w:val="12"/>
          <w:szCs w:val="12"/>
          <w:color w:val="auto"/>
        </w:rPr>
        <w:t>. On the third Scheduled Trading Day following the final Hedge Unwind Date or, if such day is not a Clearance System Business Day, on the next Clearance System Business Day immediately following such day (the “</w:t>
      </w:r>
      <w:r>
        <w:rPr>
          <w:rFonts w:ascii="Arial" w:cs="Arial" w:eastAsia="Arial" w:hAnsi="Arial"/>
          <w:sz w:val="12"/>
          <w:szCs w:val="12"/>
          <w:b w:val="1"/>
          <w:bCs w:val="1"/>
          <w:color w:val="auto"/>
        </w:rPr>
        <w:t>Payment Date</w:t>
      </w:r>
      <w:r>
        <w:rPr>
          <w:rFonts w:ascii="Arial" w:cs="Arial" w:eastAsia="Arial" w:hAnsi="Arial"/>
          <w:sz w:val="12"/>
          <w:szCs w:val="12"/>
          <w:color w:val="auto"/>
        </w:rPr>
        <w:t>”), Company shall pay to Dealer in immediately available funds cash in an amount equal to the Cash Settlement Amount. The “</w:t>
      </w:r>
      <w:r>
        <w:rPr>
          <w:rFonts w:ascii="Arial" w:cs="Arial" w:eastAsia="Arial" w:hAnsi="Arial"/>
          <w:sz w:val="12"/>
          <w:szCs w:val="12"/>
          <w:b w:val="1"/>
          <w:bCs w:val="1"/>
          <w:color w:val="auto"/>
        </w:rPr>
        <w:t>Cash Settlement Amount</w:t>
      </w:r>
      <w:r>
        <w:rPr>
          <w:rFonts w:ascii="Arial" w:cs="Arial" w:eastAsia="Arial" w:hAnsi="Arial"/>
          <w:sz w:val="12"/>
          <w:szCs w:val="12"/>
          <w:color w:val="auto"/>
        </w:rPr>
        <w:t>” shall mean an amount in US Dollars determined by Dealer according to the table set forth in Schedule A attached hereto (using linear interpolation or commercially reasonable extrapolation by Dealer, as applicable, to determine the Cash Settlement Amount for any Average VWAP not specifically appearing in Schedule A). “</w:t>
      </w:r>
      <w:r>
        <w:rPr>
          <w:rFonts w:ascii="Arial" w:cs="Arial" w:eastAsia="Arial" w:hAnsi="Arial"/>
          <w:sz w:val="12"/>
          <w:szCs w:val="12"/>
          <w:b w:val="1"/>
          <w:bCs w:val="1"/>
          <w:color w:val="auto"/>
        </w:rPr>
        <w:t>Average VWAP</w:t>
      </w:r>
      <w:r>
        <w:rPr>
          <w:rFonts w:ascii="Arial" w:cs="Arial" w:eastAsia="Arial" w:hAnsi="Arial"/>
          <w:sz w:val="12"/>
          <w:szCs w:val="12"/>
          <w:color w:val="auto"/>
        </w:rPr>
        <w:t>” means the arithmetic average of the VWAP Prices for each Hedge Unwind Date during the Hedge Unwind Period. “</w:t>
      </w:r>
      <w:r>
        <w:rPr>
          <w:rFonts w:ascii="Arial" w:cs="Arial" w:eastAsia="Arial" w:hAnsi="Arial"/>
          <w:sz w:val="12"/>
          <w:szCs w:val="12"/>
          <w:b w:val="1"/>
          <w:bCs w:val="1"/>
          <w:color w:val="auto"/>
        </w:rPr>
        <w:t>VWAP Price</w:t>
      </w:r>
      <w:r>
        <w:rPr>
          <w:rFonts w:ascii="Arial" w:cs="Arial" w:eastAsia="Arial" w:hAnsi="Arial"/>
          <w:sz w:val="12"/>
          <w:szCs w:val="12"/>
          <w:color w:val="auto"/>
        </w:rPr>
        <w:t>” for any Scheduled Trading Day means the per Share volume-weighted average price as displayed under the heading “Bloomberg VWAP” on Bloomberg page EZPW &lt;equity&gt; AQR (or any successor thereto) in respect of the period from 9:30 am to 4:00 pm (New York City time) on such Scheduled Trading Day (or if such volume-weighted average price is</w:t>
      </w:r>
    </w:p>
    <w:p>
      <w:pPr>
        <w:sectPr>
          <w:pgSz w:w="11900" w:h="16838" w:orient="portrait"/>
          <w:cols w:equalWidth="0" w:num="1">
            <w:col w:w="11480"/>
          </w:cols>
          <w:pgMar w:left="220" w:top="680" w:right="199" w:bottom="1440" w:gutter="0" w:footer="0" w:header="0"/>
        </w:sectPr>
      </w:pPr>
    </w:p>
    <w:bookmarkStart w:id="66" w:name="page67"/>
    <w:bookmarkEnd w:id="66"/>
    <w:p>
      <w:pPr>
        <w:jc w:val="both"/>
        <w:spacing w:after="0" w:line="290" w:lineRule="auto"/>
        <w:rPr>
          <w:sz w:val="20"/>
          <w:szCs w:val="20"/>
          <w:color w:val="auto"/>
        </w:rPr>
      </w:pPr>
      <w:r>
        <w:rPr>
          <w:rFonts w:ascii="Arial" w:cs="Arial" w:eastAsia="Arial" w:hAnsi="Arial"/>
          <w:sz w:val="11"/>
          <w:szCs w:val="11"/>
          <w:color w:val="auto"/>
        </w:rPr>
        <w:t>unavailable, the market value of one Share on such Scheduled Trading Day for such time period, as determined by Dealer). Notwithstanding the foregoing, if any Scheduled Trading Day in the Hedge Unwind Period is a Disrupted Day (in whole or in part), then the VWAP Price for such Scheduled Trading Day(s) shall be the volume-weighted average price per Share on such Scheduled Trading Day on the Exchange for such time period, as determined by Dealer based on such sources as it deems appropriate using a volume-weighted methodology, for the portion of such Scheduled Trading Day for which Dealer determines there is no Market Disruption Event with respect to the Shares (if any) and the number of Hedge Unwind Dates and the Cash Settlement Amount shall be adjusted by Dealer in its good faith, commercially reasonable discretion to account for such disruption and/or extension.</w:t>
      </w:r>
    </w:p>
    <w:p>
      <w:pPr>
        <w:spacing w:after="0" w:line="105" w:lineRule="exact"/>
        <w:rPr>
          <w:sz w:val="20"/>
          <w:szCs w:val="20"/>
          <w:color w:val="auto"/>
        </w:rPr>
      </w:pPr>
    </w:p>
    <w:p>
      <w:pPr>
        <w:jc w:val="both"/>
        <w:ind w:firstLine="424"/>
        <w:spacing w:after="0" w:line="292" w:lineRule="auto"/>
        <w:tabs>
          <w:tab w:leader="none" w:pos="669" w:val="left"/>
        </w:tabs>
        <w:numPr>
          <w:ilvl w:val="0"/>
          <w:numId w:val="49"/>
        </w:numPr>
        <w:rPr>
          <w:rFonts w:ascii="Arial" w:cs="Arial" w:eastAsia="Arial" w:hAnsi="Arial"/>
          <w:sz w:val="11"/>
          <w:szCs w:val="11"/>
          <w:color w:val="auto"/>
        </w:rPr>
      </w:pPr>
      <w:r>
        <w:rPr>
          <w:rFonts w:ascii="Arial" w:cs="Arial" w:eastAsia="Arial" w:hAnsi="Arial"/>
          <w:sz w:val="11"/>
          <w:szCs w:val="11"/>
          <w:u w:val="single" w:color="auto"/>
          <w:color w:val="auto"/>
        </w:rPr>
        <w:t>Effectiveness</w:t>
      </w:r>
      <w:r>
        <w:rPr>
          <w:rFonts w:ascii="Arial" w:cs="Arial" w:eastAsia="Arial" w:hAnsi="Arial"/>
          <w:sz w:val="11"/>
          <w:szCs w:val="11"/>
          <w:color w:val="auto"/>
        </w:rPr>
        <w:t>. This Agreement, including the termination and amendment of the Warrant Confirmations as set forth herein, shall be effective upon the date (the “</w:t>
      </w:r>
      <w:r>
        <w:rPr>
          <w:rFonts w:ascii="Arial" w:cs="Arial" w:eastAsia="Arial" w:hAnsi="Arial"/>
          <w:sz w:val="11"/>
          <w:szCs w:val="11"/>
          <w:b w:val="1"/>
          <w:bCs w:val="1"/>
          <w:color w:val="auto"/>
        </w:rPr>
        <w:t>Effective Date</w:t>
      </w:r>
      <w:r>
        <w:rPr>
          <w:rFonts w:ascii="Arial" w:cs="Arial" w:eastAsia="Arial" w:hAnsi="Arial"/>
          <w:sz w:val="11"/>
          <w:szCs w:val="11"/>
          <w:color w:val="auto"/>
        </w:rPr>
        <w:t>”) that each of (i) Company’s offering of its 2.875% Convertible Senior Notes due 2024 and (ii) Company’s repurchase of its 2.125% Cash Convertible Senior Notes due 2019 has been consummated and settled. If, for any reason, the Effective Date has not occurred on or prior to July 5, 2017, (i) this Agreement shall automatically terminate and all of the respective rights and obligations of Company and Dealer hereunder shall be cancelled, terminated and discharged and (ii) each party shall be released and discharged by the other party from, and agrees not to make any claim against the other party with respect to, any obligations or liabilities of the other party arising out of and to be performed in connection with this Agreement.</w:t>
      </w:r>
    </w:p>
    <w:p>
      <w:pPr>
        <w:spacing w:after="0" w:line="109" w:lineRule="exact"/>
        <w:rPr>
          <w:rFonts w:ascii="Arial" w:cs="Arial" w:eastAsia="Arial" w:hAnsi="Arial"/>
          <w:sz w:val="11"/>
          <w:szCs w:val="11"/>
          <w:color w:val="auto"/>
        </w:rPr>
      </w:pPr>
    </w:p>
    <w:p>
      <w:pPr>
        <w:ind w:left="640" w:hanging="216"/>
        <w:spacing w:after="0"/>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Company</w:t>
      </w:r>
      <w:r>
        <w:rPr>
          <w:rFonts w:ascii="Arial" w:cs="Arial" w:eastAsia="Arial" w:hAnsi="Arial"/>
          <w:sz w:val="12"/>
          <w:szCs w:val="12"/>
          <w:color w:val="auto"/>
        </w:rPr>
        <w:t>. Company represents and warrants to Dealer (and agrees with Dealer in the case of Section 6(g)(ii))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49"/>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49"/>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49"/>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49"/>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1020" w:hanging="163"/>
        <w:spacing w:after="0"/>
        <w:tabs>
          <w:tab w:leader="none" w:pos="1020" w:val="left"/>
        </w:tabs>
        <w:numPr>
          <w:ilvl w:val="1"/>
          <w:numId w:val="49"/>
        </w:numPr>
        <w:rPr>
          <w:rFonts w:ascii="Arial" w:cs="Arial" w:eastAsia="Arial" w:hAnsi="Arial"/>
          <w:sz w:val="12"/>
          <w:szCs w:val="12"/>
          <w:color w:val="auto"/>
        </w:rPr>
      </w:pPr>
      <w:r>
        <w:rPr>
          <w:rFonts w:ascii="Arial" w:cs="Arial" w:eastAsia="Arial" w:hAnsi="Arial"/>
          <w:sz w:val="12"/>
          <w:szCs w:val="12"/>
          <w:color w:val="auto"/>
        </w:rPr>
        <w:t>each of it and its affiliates is not in possession of any material nonpublic information regarding Company or the Shares;</w:t>
      </w:r>
    </w:p>
    <w:p>
      <w:pPr>
        <w:spacing w:after="0" w:line="150" w:lineRule="exact"/>
        <w:rPr>
          <w:rFonts w:ascii="Arial" w:cs="Arial" w:eastAsia="Arial" w:hAnsi="Arial"/>
          <w:sz w:val="12"/>
          <w:szCs w:val="12"/>
          <w:color w:val="auto"/>
        </w:rPr>
      </w:pPr>
    </w:p>
    <w:p>
      <w:pPr>
        <w:jc w:val="both"/>
        <w:ind w:firstLine="857"/>
        <w:spacing w:after="0" w:line="298" w:lineRule="auto"/>
        <w:tabs>
          <w:tab w:leader="none" w:pos="1015" w:val="left"/>
        </w:tabs>
        <w:numPr>
          <w:ilvl w:val="1"/>
          <w:numId w:val="49"/>
        </w:numPr>
        <w:rPr>
          <w:rFonts w:ascii="Arial" w:cs="Arial" w:eastAsia="Arial" w:hAnsi="Arial"/>
          <w:sz w:val="11"/>
          <w:szCs w:val="11"/>
          <w:color w:val="auto"/>
        </w:rPr>
      </w:pPr>
      <w:r>
        <w:rPr>
          <w:rFonts w:ascii="Arial" w:cs="Arial" w:eastAsia="Arial" w:hAnsi="Arial"/>
          <w:sz w:val="11"/>
          <w:szCs w:val="11"/>
          <w:color w:val="auto"/>
        </w:rPr>
        <w:t>it is not entering into this Agreement to create actual or apparent trading activity in the Shares (or any security convertible into or exchangeable for the Shares), to raise or depress or otherwise manipulate the price of the Shares (or any security convertible into or exchangeable for the Shares), for the purpose of inducing the sale of the Shares (or any security convertible into or exchangeable for the Shares) by others or otherwise in violation of the Securities Exchange Act of 1934, as amended (the “</w:t>
      </w:r>
      <w:r>
        <w:rPr>
          <w:rFonts w:ascii="Arial" w:cs="Arial" w:eastAsia="Arial" w:hAnsi="Arial"/>
          <w:sz w:val="11"/>
          <w:szCs w:val="11"/>
          <w:b w:val="1"/>
          <w:bCs w:val="1"/>
          <w:color w:val="auto"/>
        </w:rPr>
        <w:t>Exchange Act</w:t>
      </w:r>
      <w:r>
        <w:rPr>
          <w:rFonts w:ascii="Arial" w:cs="Arial" w:eastAsia="Arial" w:hAnsi="Arial"/>
          <w:sz w:val="11"/>
          <w:szCs w:val="1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makes no representation or warranty with respect to Dealer’s Hedge Position (or any other dealer’s hedge position); and</w:t>
      </w:r>
    </w:p>
    <w:p>
      <w:pPr>
        <w:spacing w:after="0" w:line="101" w:lineRule="exact"/>
        <w:rPr>
          <w:rFonts w:ascii="Arial" w:cs="Arial" w:eastAsia="Arial" w:hAnsi="Arial"/>
          <w:sz w:val="11"/>
          <w:szCs w:val="11"/>
          <w:color w:val="auto"/>
        </w:rPr>
      </w:pPr>
    </w:p>
    <w:p>
      <w:pPr>
        <w:jc w:val="both"/>
        <w:ind w:firstLine="857"/>
        <w:spacing w:after="0" w:line="258" w:lineRule="auto"/>
        <w:tabs>
          <w:tab w:leader="none" w:pos="1035" w:val="left"/>
        </w:tabs>
        <w:numPr>
          <w:ilvl w:val="1"/>
          <w:numId w:val="49"/>
        </w:numPr>
        <w:rPr>
          <w:rFonts w:ascii="Arial" w:cs="Arial" w:eastAsia="Arial" w:hAnsi="Arial"/>
          <w:sz w:val="12"/>
          <w:szCs w:val="12"/>
          <w:color w:val="auto"/>
        </w:rPr>
      </w:pPr>
      <w:r>
        <w:rPr>
          <w:rFonts w:ascii="Arial" w:cs="Arial" w:eastAsia="Arial" w:hAnsi="Arial"/>
          <w:sz w:val="12"/>
          <w:szCs w:val="12"/>
          <w:color w:val="auto"/>
        </w:rPr>
        <w:t>(i) it is not on the date hereof, engaged in a distribution, as such term is used in Regulation M under the Exchange Act (“</w:t>
      </w:r>
      <w:r>
        <w:rPr>
          <w:rFonts w:ascii="Arial" w:cs="Arial" w:eastAsia="Arial" w:hAnsi="Arial"/>
          <w:sz w:val="12"/>
          <w:szCs w:val="12"/>
          <w:b w:val="1"/>
          <w:bCs w:val="1"/>
          <w:color w:val="auto"/>
        </w:rPr>
        <w:t>Regulation M”</w:t>
      </w:r>
      <w:r>
        <w:rPr>
          <w:rFonts w:ascii="Arial" w:cs="Arial" w:eastAsia="Arial" w:hAnsi="Arial"/>
          <w:sz w:val="12"/>
          <w:szCs w:val="12"/>
          <w:color w:val="auto"/>
        </w:rPr>
        <w:t xml:space="preserve">), of the Shares or any securities deemed “reference securities” (as defined in Regulation M) with respect to the Shares and (ii) it shall not engage in any such distribution during the period commencing on the date hereof and ending on the second Exchange Business Day immediately following the last day of the Hedge Unwind Period with respect to the Shares or such reference securities, unless it notifies Dealer, on the day immediately preceding the first day of the “restricted period” (as defined in Regulation M) of any such distribution, and of completion of such restricted period on the date such distribution is concluded;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connection with the notification with respect to the completion of the restricted period, it shall be deemed to repeat the representations contained in paragraphs (e) and (f) of this Section 6.</w:t>
      </w:r>
    </w:p>
    <w:p>
      <w:pPr>
        <w:spacing w:after="0" w:line="126" w:lineRule="exact"/>
        <w:rPr>
          <w:rFonts w:ascii="Arial" w:cs="Arial" w:eastAsia="Arial" w:hAnsi="Arial"/>
          <w:sz w:val="12"/>
          <w:szCs w:val="12"/>
          <w:color w:val="auto"/>
        </w:rPr>
      </w:pPr>
    </w:p>
    <w:p>
      <w:pPr>
        <w:ind w:left="640" w:hanging="216"/>
        <w:spacing w:after="0"/>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Dealer</w:t>
      </w:r>
      <w:r>
        <w:rPr>
          <w:rFonts w:ascii="Arial" w:cs="Arial" w:eastAsia="Arial" w:hAnsi="Arial"/>
          <w:sz w:val="12"/>
          <w:szCs w:val="12"/>
          <w:color w:val="auto"/>
        </w:rPr>
        <w:t>. Dealer represents and warrants to Company on the date hereof that: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581" w:right="199" w:bottom="1440" w:gutter="0" w:footer="0" w:header="0"/>
        </w:sectPr>
      </w:pPr>
    </w:p>
    <w:bookmarkStart w:id="67" w:name="page68"/>
    <w:bookmarkEnd w:id="67"/>
    <w:p>
      <w:pPr>
        <w:ind w:firstLine="857"/>
        <w:spacing w:after="0" w:line="276" w:lineRule="auto"/>
        <w:tabs>
          <w:tab w:leader="none" w:pos="1028" w:val="left"/>
        </w:tabs>
        <w:numPr>
          <w:ilvl w:val="1"/>
          <w:numId w:val="50"/>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50"/>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50"/>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 and</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50"/>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Account for Payment to Dealer</w:t>
      </w:r>
      <w:r>
        <w:rPr>
          <w:rFonts w:ascii="Arial" w:cs="Arial" w:eastAsia="Arial" w:hAnsi="Arial"/>
          <w:sz w:val="12"/>
          <w:szCs w:val="12"/>
          <w:color w:val="auto"/>
        </w:rPr>
        <w:t>:</w:t>
      </w:r>
    </w:p>
    <w:p>
      <w:pPr>
        <w:spacing w:after="0" w:line="150"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2"/>
          <w:szCs w:val="12"/>
          <w:color w:val="auto"/>
        </w:rPr>
        <w:t>Bank:</w:t>
      </w:r>
      <w:r>
        <w:rPr>
          <w:sz w:val="20"/>
          <w:szCs w:val="20"/>
          <w:color w:val="auto"/>
        </w:rPr>
        <w:tab/>
      </w:r>
      <w:r>
        <w:rPr>
          <w:rFonts w:ascii="Arial" w:cs="Arial" w:eastAsia="Arial" w:hAnsi="Arial"/>
          <w:sz w:val="11"/>
          <w:szCs w:val="11"/>
          <w:color w:val="auto"/>
        </w:rPr>
        <w:t>The Bank of New York Mellon</w:t>
      </w:r>
    </w:p>
    <w:p>
      <w:pPr>
        <w:spacing w:after="0" w:line="15" w:lineRule="exact"/>
        <w:rPr>
          <w:sz w:val="20"/>
          <w:szCs w:val="20"/>
          <w:color w:val="auto"/>
        </w:rPr>
      </w:pPr>
    </w:p>
    <w:p>
      <w:pPr>
        <w:ind w:left="860"/>
        <w:spacing w:after="0"/>
        <w:tabs>
          <w:tab w:leader="none" w:pos="1300" w:val="left"/>
        </w:tabs>
        <w:rPr>
          <w:sz w:val="20"/>
          <w:szCs w:val="20"/>
          <w:color w:val="auto"/>
        </w:rPr>
      </w:pPr>
      <w:r>
        <w:rPr>
          <w:rFonts w:ascii="Arial" w:cs="Arial" w:eastAsia="Arial" w:hAnsi="Arial"/>
          <w:sz w:val="12"/>
          <w:szCs w:val="12"/>
          <w:color w:val="auto"/>
        </w:rPr>
        <w:t>ABA#:</w:t>
      </w:r>
      <w:r>
        <w:rPr>
          <w:sz w:val="20"/>
          <w:szCs w:val="20"/>
          <w:color w:val="auto"/>
        </w:rPr>
        <w:tab/>
      </w:r>
      <w:r>
        <w:rPr>
          <w:rFonts w:ascii="Arial" w:cs="Arial" w:eastAsia="Arial" w:hAnsi="Arial"/>
          <w:sz w:val="10"/>
          <w:szCs w:val="10"/>
          <w:color w:val="auto"/>
        </w:rPr>
        <w:t>021000018</w:t>
      </w:r>
    </w:p>
    <w:p>
      <w:pPr>
        <w:spacing w:after="0" w:line="6"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2"/>
          <w:szCs w:val="12"/>
          <w:color w:val="auto"/>
        </w:rPr>
        <w:t>A/C:</w:t>
      </w:r>
      <w:r>
        <w:rPr>
          <w:sz w:val="20"/>
          <w:szCs w:val="20"/>
          <w:color w:val="auto"/>
        </w:rPr>
        <w:tab/>
      </w:r>
      <w:r>
        <w:rPr>
          <w:rFonts w:ascii="Arial" w:cs="Arial" w:eastAsia="Arial" w:hAnsi="Arial"/>
          <w:sz w:val="11"/>
          <w:szCs w:val="11"/>
          <w:color w:val="auto"/>
        </w:rPr>
        <w:t>Jefferies LLC</w:t>
      </w:r>
    </w:p>
    <w:p>
      <w:pPr>
        <w:spacing w:after="0" w:line="6"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2"/>
          <w:szCs w:val="12"/>
          <w:color w:val="auto"/>
        </w:rPr>
        <w:t>A/C:</w:t>
      </w:r>
      <w:r>
        <w:rPr>
          <w:sz w:val="20"/>
          <w:szCs w:val="20"/>
          <w:color w:val="auto"/>
        </w:rPr>
        <w:tab/>
      </w:r>
      <w:r>
        <w:rPr>
          <w:rFonts w:ascii="Arial" w:cs="Arial" w:eastAsia="Arial" w:hAnsi="Arial"/>
          <w:sz w:val="10"/>
          <w:szCs w:val="10"/>
          <w:color w:val="auto"/>
        </w:rPr>
        <w:t>890-000-7001</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FFC Equity Derivatives</w:t>
      </w:r>
    </w:p>
    <w:p>
      <w:pPr>
        <w:spacing w:after="0" w:line="114" w:lineRule="exact"/>
        <w:rPr>
          <w:sz w:val="20"/>
          <w:szCs w:val="20"/>
          <w:color w:val="auto"/>
        </w:rPr>
      </w:pPr>
    </w:p>
    <w:p>
      <w:pPr>
        <w:ind w:left="660" w:hanging="236"/>
        <w:spacing w:after="0"/>
        <w:tabs>
          <w:tab w:leader="none" w:pos="660"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any dispute arising hereunder shall be governed by and construed in accordance with the laws of the State of New York (without reference to choice of law doctrine).</w:t>
      </w:r>
    </w:p>
    <w:p>
      <w:pPr>
        <w:spacing w:after="0" w:line="150" w:lineRule="exact"/>
        <w:rPr>
          <w:rFonts w:ascii="Arial" w:cs="Arial" w:eastAsia="Arial" w:hAnsi="Arial"/>
          <w:sz w:val="12"/>
          <w:szCs w:val="12"/>
          <w:color w:val="auto"/>
        </w:rPr>
      </w:pPr>
    </w:p>
    <w:p>
      <w:pPr>
        <w:ind w:left="720" w:hanging="296"/>
        <w:spacing w:after="0"/>
        <w:tabs>
          <w:tab w:leader="none" w:pos="720" w:val="left"/>
        </w:tabs>
        <w:numPr>
          <w:ilvl w:val="0"/>
          <w:numId w:val="52"/>
        </w:numPr>
        <w:rPr>
          <w:rFonts w:ascii="Arial" w:cs="Arial" w:eastAsia="Arial" w:hAnsi="Arial"/>
          <w:sz w:val="11"/>
          <w:szCs w:val="11"/>
          <w:color w:val="auto"/>
        </w:rPr>
      </w:pP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signed in any number of counterparts, each of which shall be an original, with the same effect as if all of the signatures thereto and hereto were upon the same instrument.</w:t>
      </w:r>
    </w:p>
    <w:p>
      <w:pPr>
        <w:spacing w:after="0" w:line="161" w:lineRule="exact"/>
        <w:rPr>
          <w:rFonts w:ascii="Arial" w:cs="Arial" w:eastAsia="Arial" w:hAnsi="Arial"/>
          <w:sz w:val="11"/>
          <w:szCs w:val="11"/>
          <w:color w:val="auto"/>
        </w:rPr>
      </w:pPr>
    </w:p>
    <w:p>
      <w:pPr>
        <w:ind w:firstLine="424"/>
        <w:spacing w:after="0" w:line="276" w:lineRule="auto"/>
        <w:tabs>
          <w:tab w:leader="none" w:pos="725"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t>No Reliance, etc</w:t>
      </w:r>
      <w:r>
        <w:rPr>
          <w:rFonts w:ascii="Arial" w:cs="Arial" w:eastAsia="Arial" w:hAnsi="Arial"/>
          <w:sz w:val="12"/>
          <w:szCs w:val="12"/>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14" w:lineRule="exact"/>
        <w:rPr>
          <w:rFonts w:ascii="Arial" w:cs="Arial" w:eastAsia="Arial" w:hAnsi="Arial"/>
          <w:sz w:val="12"/>
          <w:szCs w:val="12"/>
          <w:color w:val="auto"/>
        </w:rPr>
      </w:pPr>
    </w:p>
    <w:p>
      <w:pPr>
        <w:jc w:val="both"/>
        <w:ind w:firstLine="424"/>
        <w:spacing w:after="0" w:line="263" w:lineRule="auto"/>
        <w:tabs>
          <w:tab w:leader="none" w:pos="711"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t>Designation by Dealer</w:t>
      </w:r>
      <w:r>
        <w:rPr>
          <w:rFonts w:ascii="Arial" w:cs="Arial" w:eastAsia="Arial" w:hAnsi="Arial"/>
          <w:sz w:val="12"/>
          <w:szCs w:val="12"/>
          <w:color w:val="auto"/>
        </w:rPr>
        <w:t>. Notwithstanding any other provision in this Agreement to the contrary requiring or allowing Dealer to purchase, sell, receive or deliver any Shares or other securities to or from Company, Dealer may designate any of its affiliates to purchase, sell, receive or deliver such shares or other securities and otherwise to perform Dealer obligations in respect of the transactions contemplated by this Agreement and any such designee may assume such obligations. Dealer shall be discharged of its obligations to Company to the extent of any such performance.</w:t>
      </w:r>
    </w:p>
    <w:p>
      <w:pPr>
        <w:spacing w:after="0" w:line="122" w:lineRule="exact"/>
        <w:rPr>
          <w:rFonts w:ascii="Arial" w:cs="Arial" w:eastAsia="Arial" w:hAnsi="Arial"/>
          <w:sz w:val="12"/>
          <w:szCs w:val="12"/>
          <w:color w:val="auto"/>
        </w:rPr>
      </w:pPr>
    </w:p>
    <w:p>
      <w:pPr>
        <w:jc w:val="both"/>
        <w:ind w:firstLine="424"/>
        <w:spacing w:after="0" w:line="263" w:lineRule="auto"/>
        <w:tabs>
          <w:tab w:leader="none" w:pos="747"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t>No Setoff; No Collateral</w:t>
      </w:r>
      <w:r>
        <w:rPr>
          <w:rFonts w:ascii="Arial" w:cs="Arial" w:eastAsia="Arial" w:hAnsi="Arial"/>
          <w:sz w:val="12"/>
          <w:szCs w:val="12"/>
          <w:color w:val="auto"/>
        </w:rPr>
        <w:t>. Notwithstanding any provision of this Agreement or any other agreement between the parties to the contrary, the obligations of Company hereunder are not, and shall not be, secured by any collateral. Each party waives any and all rights it may have to set off obligations arising under this Agreement and the Transaction against other obligations between the parties, whether arising under any other agreement, applicable law or otherwise.</w:t>
      </w:r>
    </w:p>
    <w:p>
      <w:pPr>
        <w:spacing w:after="0" w:line="122" w:lineRule="exact"/>
        <w:rPr>
          <w:rFonts w:ascii="Arial" w:cs="Arial" w:eastAsia="Arial" w:hAnsi="Arial"/>
          <w:sz w:val="12"/>
          <w:szCs w:val="12"/>
          <w:color w:val="auto"/>
        </w:rPr>
      </w:pPr>
    </w:p>
    <w:p>
      <w:pPr>
        <w:ind w:left="700" w:hanging="276"/>
        <w:spacing w:after="0"/>
        <w:tabs>
          <w:tab w:leader="none" w:pos="700"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t>No Other Changes</w:t>
      </w:r>
      <w:r>
        <w:rPr>
          <w:rFonts w:ascii="Arial" w:cs="Arial" w:eastAsia="Arial" w:hAnsi="Arial"/>
          <w:sz w:val="12"/>
          <w:szCs w:val="12"/>
          <w:color w:val="auto"/>
        </w:rPr>
        <w:t>. Except as expressly set forth herein, all of the terms and conditions of the Base Warrants Confirmation shall remain in full force and effect and are hereby confirmed in all respects.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Follows</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725" w:right="199" w:bottom="1440" w:gutter="0" w:footer="0" w:header="0"/>
        </w:sectPr>
      </w:pPr>
    </w:p>
    <w:bookmarkStart w:id="68" w:name="page69"/>
    <w:bookmarkEnd w:id="68"/>
    <w:p>
      <w:pPr>
        <w:ind w:left="420"/>
        <w:spacing w:after="0"/>
        <w:rPr>
          <w:sz w:val="20"/>
          <w:szCs w:val="20"/>
          <w:color w:val="auto"/>
        </w:rPr>
      </w:pPr>
      <w:r>
        <w:rPr>
          <w:rFonts w:ascii="Arial" w:cs="Arial" w:eastAsia="Arial" w:hAnsi="Arial"/>
          <w:sz w:val="12"/>
          <w:szCs w:val="12"/>
          <w:color w:val="auto"/>
        </w:rPr>
        <w:t>IN WITNESS WHEREOF, the parties hereto have caused this Agreement to be duly executed as of the date first written above.</w:t>
      </w:r>
    </w:p>
    <w:p>
      <w:pPr>
        <w:spacing w:after="0" w:line="200" w:lineRule="exact"/>
        <w:rPr>
          <w:sz w:val="20"/>
          <w:szCs w:val="20"/>
          <w:color w:val="auto"/>
        </w:rPr>
      </w:pPr>
    </w:p>
    <w:p>
      <w:pPr>
        <w:spacing w:after="0" w:line="343" w:lineRule="exact"/>
        <w:rPr>
          <w:sz w:val="20"/>
          <w:szCs w:val="20"/>
          <w:color w:val="auto"/>
        </w:rPr>
      </w:pPr>
    </w:p>
    <w:p>
      <w:pPr>
        <w:ind w:left="6300"/>
        <w:spacing w:after="0"/>
        <w:rPr>
          <w:sz w:val="20"/>
          <w:szCs w:val="20"/>
          <w:color w:val="auto"/>
        </w:rPr>
      </w:pPr>
      <w:r>
        <w:rPr>
          <w:rFonts w:ascii="Arial" w:cs="Arial" w:eastAsia="Arial" w:hAnsi="Arial"/>
          <w:sz w:val="12"/>
          <w:szCs w:val="12"/>
          <w:b w:val="1"/>
          <w:bCs w:val="1"/>
          <w:color w:val="auto"/>
        </w:rPr>
        <w:t>Jefferies International Limited</w:t>
      </w:r>
    </w:p>
    <w:p>
      <w:pPr>
        <w:spacing w:after="0" w:line="334" w:lineRule="exact"/>
        <w:rPr>
          <w:sz w:val="20"/>
          <w:szCs w:val="20"/>
          <w:color w:val="auto"/>
        </w:rPr>
      </w:pPr>
    </w:p>
    <w:tbl>
      <w:tblPr>
        <w:tblLayout w:type="fixed"/>
        <w:tblInd w:w="630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14"/>
                <w:szCs w:val="1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Frank Copplestone</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Frank Copplestone</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Managing Director</w:t>
            </w:r>
          </w:p>
        </w:tc>
      </w:tr>
      <w:tr>
        <w:trPr>
          <w:trHeight w:val="324"/>
        </w:trPr>
        <w:tc>
          <w:tcPr>
            <w:tcW w:w="51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Jefferies LLC, </w:t>
            </w:r>
            <w:r>
              <w:rPr>
                <w:rFonts w:ascii="Arial" w:cs="Arial" w:eastAsia="Arial" w:hAnsi="Arial"/>
                <w:sz w:val="12"/>
                <w:szCs w:val="12"/>
                <w:color w:val="auto"/>
              </w:rPr>
              <w:t>as Agent</w:t>
            </w:r>
          </w:p>
        </w:tc>
      </w:tr>
      <w:tr>
        <w:trPr>
          <w:trHeight w:val="477"/>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24"/>
                <w:szCs w:val="2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John Noonan</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John Noonan</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Managing Director</w:t>
            </w:r>
          </w:p>
        </w:tc>
      </w:tr>
    </w:tbl>
    <w:p>
      <w:pPr>
        <w:spacing w:after="0" w:line="200" w:lineRule="exact"/>
        <w:rPr>
          <w:sz w:val="20"/>
          <w:szCs w:val="20"/>
          <w:color w:val="auto"/>
        </w:rPr>
      </w:pPr>
    </w:p>
    <w:p>
      <w:pPr>
        <w:spacing w:after="0" w:line="346" w:lineRule="exact"/>
        <w:rPr>
          <w:sz w:val="20"/>
          <w:szCs w:val="20"/>
          <w:color w:val="auto"/>
        </w:rPr>
      </w:pPr>
    </w:p>
    <w:p>
      <w:pPr>
        <w:ind w:left="630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369" w:lineRule="exact"/>
        <w:rPr>
          <w:sz w:val="20"/>
          <w:szCs w:val="20"/>
          <w:color w:val="auto"/>
        </w:rPr>
      </w:pPr>
    </w:p>
    <w:tbl>
      <w:tblPr>
        <w:tblLayout w:type="fixed"/>
        <w:tblInd w:w="6300" w:type="dxa"/>
        <w:tblCellMar>
          <w:top w:w="0" w:type="dxa"/>
          <w:left w:w="0" w:type="dxa"/>
          <w:bottom w:w="0" w:type="dxa"/>
          <w:right w:w="0" w:type="dxa"/>
        </w:tblCellMar>
      </w:tblPr>
      <w:tr>
        <w:trPr>
          <w:trHeight w:val="162"/>
        </w:trPr>
        <w:tc>
          <w:tcPr>
            <w:tcW w:w="720" w:type="dxa"/>
            <w:vAlign w:val="bottom"/>
          </w:tcPr>
          <w:p>
            <w:pPr>
              <w:spacing w:after="0"/>
              <w:rPr>
                <w:sz w:val="20"/>
                <w:szCs w:val="20"/>
                <w:color w:val="auto"/>
              </w:rPr>
            </w:pPr>
            <w:r>
              <w:rPr>
                <w:rFonts w:ascii="Arial" w:cs="Arial" w:eastAsia="Arial" w:hAnsi="Arial"/>
                <w:sz w:val="12"/>
                <w:szCs w:val="12"/>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Thomas H. Welch, Jr.</w:t>
            </w:r>
          </w:p>
        </w:tc>
      </w:tr>
      <w:tr>
        <w:trPr>
          <w:trHeight w:val="151"/>
        </w:trPr>
        <w:tc>
          <w:tcPr>
            <w:tcW w:w="720" w:type="dxa"/>
            <w:vAlign w:val="bottom"/>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Name: Thomas H. Welch, Jr.</w:t>
            </w:r>
          </w:p>
        </w:tc>
      </w:tr>
      <w:tr>
        <w:trPr>
          <w:trHeight w:val="153"/>
        </w:trPr>
        <w:tc>
          <w:tcPr>
            <w:tcW w:w="720" w:type="dxa"/>
            <w:vAlign w:val="bottom"/>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Title: Chief Legal Officer and Secretary</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Schedule 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60" w:type="dxa"/>
            <w:vAlign w:val="bottom"/>
            <w:gridSpan w:val="3"/>
          </w:tcPr>
          <w:p>
            <w:pPr>
              <w:spacing w:after="0"/>
              <w:rPr>
                <w:sz w:val="20"/>
                <w:szCs w:val="20"/>
                <w:color w:val="auto"/>
              </w:rPr>
            </w:pPr>
            <w:r>
              <w:rPr>
                <w:rFonts w:ascii="Arial" w:cs="Arial" w:eastAsia="Arial" w:hAnsi="Arial"/>
                <w:sz w:val="12"/>
                <w:szCs w:val="12"/>
                <w:color w:val="auto"/>
              </w:rPr>
              <w:t>The Cash Settlement Amount shall be determined by Dealer according to the table below.</w:t>
            </w:r>
          </w:p>
        </w:tc>
        <w:tc>
          <w:tcPr>
            <w:tcW w:w="1280" w:type="dxa"/>
            <w:vAlign w:val="bottom"/>
          </w:tcPr>
          <w:p>
            <w:pPr>
              <w:spacing w:after="0"/>
              <w:rPr>
                <w:sz w:val="13"/>
                <w:szCs w:val="13"/>
                <w:color w:val="auto"/>
              </w:rPr>
            </w:pPr>
          </w:p>
        </w:tc>
      </w:tr>
      <w:tr>
        <w:trPr>
          <w:trHeight w:val="369"/>
        </w:trPr>
        <w:tc>
          <w:tcPr>
            <w:tcW w:w="32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Average VWAP</w:t>
            </w:r>
          </w:p>
        </w:tc>
        <w:tc>
          <w:tcPr>
            <w:tcW w:w="1280" w:type="dxa"/>
            <w:vAlign w:val="bottom"/>
          </w:tcPr>
          <w:p>
            <w:pPr>
              <w:spacing w:after="0"/>
              <w:rPr>
                <w:sz w:val="20"/>
                <w:szCs w:val="20"/>
                <w:color w:val="auto"/>
              </w:rPr>
            </w:pPr>
            <w:r>
              <w:rPr>
                <w:rFonts w:ascii="Arial" w:cs="Arial" w:eastAsia="Arial" w:hAnsi="Arial"/>
                <w:sz w:val="12"/>
                <w:szCs w:val="12"/>
                <w:b w:val="1"/>
                <w:bCs w:val="1"/>
                <w:color w:val="auto"/>
                <w:w w:val="88"/>
              </w:rPr>
              <w:t>Cash Settlement Amount</w:t>
            </w:r>
          </w:p>
        </w:tc>
      </w:tr>
      <w:tr>
        <w:trPr>
          <w:trHeight w:val="187"/>
        </w:trPr>
        <w:tc>
          <w:tcPr>
            <w:tcW w:w="3240" w:type="dxa"/>
            <w:vAlign w:val="bottom"/>
          </w:tcPr>
          <w:p>
            <w:pPr>
              <w:spacing w:after="0"/>
              <w:rPr>
                <w:sz w:val="16"/>
                <w:szCs w:val="16"/>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$7.00</w:t>
            </w:r>
          </w:p>
        </w:tc>
        <w:tc>
          <w:tcPr>
            <w:tcW w:w="1320" w:type="dxa"/>
            <w:vAlign w:val="bottom"/>
          </w:tcPr>
          <w:p>
            <w:pPr>
              <w:spacing w:after="0"/>
              <w:rPr>
                <w:sz w:val="16"/>
                <w:szCs w:val="16"/>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$80,017</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$91,850</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$104,784</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$118,854</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$134,122</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$150,621</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$168,398</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$187,367</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$9.00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$207,698</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Dealer may adjust the table above upon the occurrence of any event or condition that would have allowed Dealer to adjust the terms of the Warrants Transactions under the Warrants Confirmations.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Warrant Termination Agreement</w:t>
      </w:r>
      <w:r>
        <w:rPr>
          <w:rFonts w:ascii="Arial" w:cs="Arial" w:eastAsia="Arial" w:hAnsi="Arial"/>
          <w:sz w:val="12"/>
          <w:szCs w:val="12"/>
          <w:color w:val="auto"/>
        </w:rPr>
        <w:t>]</w:t>
      </w:r>
    </w:p>
    <w:p>
      <w:pPr>
        <w:sectPr>
          <w:pgSz w:w="11900" w:h="16838" w:orient="portrait"/>
          <w:cols w:equalWidth="0" w:num="1">
            <w:col w:w="11480"/>
          </w:cols>
          <w:pgMar w:left="220" w:top="725" w:right="19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CALL OPTION TERMINATION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dated as of June 29,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Between EZCORP, INC. and MORGAN STANLEY &amp; CO.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2923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72923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THIS CALL OPTION TERMINATION AGREEMENT (this “</w:t>
      </w:r>
      <w:r>
        <w:rPr>
          <w:rFonts w:ascii="Arial" w:cs="Arial" w:eastAsia="Arial" w:hAnsi="Arial"/>
          <w:sz w:val="12"/>
          <w:szCs w:val="12"/>
          <w:b w:val="1"/>
          <w:bCs w:val="1"/>
          <w:color w:val="auto"/>
        </w:rPr>
        <w:t>Agreement</w:t>
      </w:r>
      <w:r>
        <w:rPr>
          <w:rFonts w:ascii="Arial" w:cs="Arial" w:eastAsia="Arial" w:hAnsi="Arial"/>
          <w:sz w:val="12"/>
          <w:szCs w:val="12"/>
          <w:color w:val="auto"/>
        </w:rPr>
        <w:t>”) with respect to the Call Option Confirmations (as defined below) is made as of June 29, 2017, between EZCORP, Inc. (“</w:t>
      </w:r>
      <w:r>
        <w:rPr>
          <w:rFonts w:ascii="Arial" w:cs="Arial" w:eastAsia="Arial" w:hAnsi="Arial"/>
          <w:sz w:val="12"/>
          <w:szCs w:val="12"/>
          <w:b w:val="1"/>
          <w:bCs w:val="1"/>
          <w:color w:val="auto"/>
        </w:rPr>
        <w:t>Company</w:t>
      </w:r>
      <w:r>
        <w:rPr>
          <w:rFonts w:ascii="Arial" w:cs="Arial" w:eastAsia="Arial" w:hAnsi="Arial"/>
          <w:sz w:val="12"/>
          <w:szCs w:val="12"/>
          <w:color w:val="auto"/>
        </w:rPr>
        <w:t>”) and Morgan Stanley &amp; Co. International plc (“</w:t>
      </w:r>
      <w:r>
        <w:rPr>
          <w:rFonts w:ascii="Arial" w:cs="Arial" w:eastAsia="Arial" w:hAnsi="Arial"/>
          <w:sz w:val="12"/>
          <w:szCs w:val="12"/>
          <w:b w:val="1"/>
          <w:bCs w:val="1"/>
          <w:color w:val="auto"/>
        </w:rPr>
        <w:t>Dealer</w:t>
      </w:r>
      <w:r>
        <w:rPr>
          <w:rFonts w:ascii="Arial" w:cs="Arial" w:eastAsia="Arial" w:hAnsi="Arial"/>
          <w:sz w:val="12"/>
          <w:szCs w:val="12"/>
          <w:color w:val="auto"/>
        </w:rPr>
        <w:t>”).</w:t>
      </w:r>
    </w:p>
    <w:p>
      <w:pPr>
        <w:spacing w:after="0" w:line="80" w:lineRule="exact"/>
        <w:rPr>
          <w:sz w:val="20"/>
          <w:szCs w:val="20"/>
          <w:color w:val="auto"/>
        </w:rPr>
      </w:pPr>
    </w:p>
    <w:p>
      <w:pPr>
        <w:ind w:firstLine="432"/>
        <w:spacing w:after="0" w:line="388" w:lineRule="auto"/>
        <w:rPr>
          <w:sz w:val="20"/>
          <w:szCs w:val="20"/>
          <w:color w:val="auto"/>
        </w:rPr>
      </w:pPr>
      <w:r>
        <w:rPr>
          <w:rFonts w:ascii="Arial" w:cs="Arial" w:eastAsia="Arial" w:hAnsi="Arial"/>
          <w:sz w:val="10"/>
          <w:szCs w:val="10"/>
          <w:color w:val="auto"/>
        </w:rPr>
        <w:t>WHEREAS, Company issued $200,000,000 principal amount of 2.125% Cash Convertible Senior Notes due 2019 (the “</w:t>
      </w:r>
      <w:r>
        <w:rPr>
          <w:rFonts w:ascii="Arial" w:cs="Arial" w:eastAsia="Arial" w:hAnsi="Arial"/>
          <w:sz w:val="10"/>
          <w:szCs w:val="10"/>
          <w:b w:val="1"/>
          <w:bCs w:val="1"/>
          <w:color w:val="auto"/>
        </w:rPr>
        <w:t>Convertible Notes</w:t>
      </w:r>
      <w:r>
        <w:rPr>
          <w:rFonts w:ascii="Arial" w:cs="Arial" w:eastAsia="Arial" w:hAnsi="Arial"/>
          <w:sz w:val="10"/>
          <w:szCs w:val="10"/>
          <w:color w:val="auto"/>
        </w:rPr>
        <w:t>”), and another $30,000,000 principal amount of Convertible Notes in connection with the initial purchasers’ option to purchase additional Convertible Notes (the “</w:t>
      </w:r>
      <w:r>
        <w:rPr>
          <w:rFonts w:ascii="Arial" w:cs="Arial" w:eastAsia="Arial" w:hAnsi="Arial"/>
          <w:sz w:val="10"/>
          <w:szCs w:val="10"/>
          <w:b w:val="1"/>
          <w:bCs w:val="1"/>
          <w:color w:val="auto"/>
        </w:rPr>
        <w:t>Additional Notes</w:t>
      </w:r>
      <w:r>
        <w:rPr>
          <w:rFonts w:ascii="Arial" w:cs="Arial" w:eastAsia="Arial" w:hAnsi="Arial"/>
          <w:sz w:val="10"/>
          <w:szCs w:val="10"/>
          <w:color w:val="auto"/>
        </w:rPr>
        <w:t>”), in each case, pursuant to an Indenture dated as of June 23, 2014 between Company and Wells Fargo Bank, National Association, as trustee;</w:t>
      </w:r>
    </w:p>
    <w:p>
      <w:pPr>
        <w:spacing w:after="0" w:line="33"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WHEREAS, in connection with the pricing of the Convertible Notes, Company and Dealer entered into a Base Call Option Transaction (the “</w:t>
      </w:r>
      <w:r>
        <w:rPr>
          <w:rFonts w:ascii="Arial" w:cs="Arial" w:eastAsia="Arial" w:hAnsi="Arial"/>
          <w:sz w:val="12"/>
          <w:szCs w:val="12"/>
          <w:b w:val="1"/>
          <w:bCs w:val="1"/>
          <w:color w:val="auto"/>
        </w:rPr>
        <w:t>Base Call Option Transaction</w:t>
      </w:r>
      <w:r>
        <w:rPr>
          <w:rFonts w:ascii="Arial" w:cs="Arial" w:eastAsia="Arial" w:hAnsi="Arial"/>
          <w:sz w:val="12"/>
          <w:szCs w:val="12"/>
          <w:color w:val="auto"/>
        </w:rPr>
        <w:t>”) pursuant to a letter agreement re: Call Option Transaction dated as of June 17, 2014 confirming the terms of a call option transaction (as amended, modified, terminated or unwound from time to time, the “</w:t>
      </w:r>
      <w:r>
        <w:rPr>
          <w:rFonts w:ascii="Arial" w:cs="Arial" w:eastAsia="Arial" w:hAnsi="Arial"/>
          <w:sz w:val="12"/>
          <w:szCs w:val="12"/>
          <w:b w:val="1"/>
          <w:bCs w:val="1"/>
          <w:color w:val="auto"/>
        </w:rPr>
        <w:t>Base Call Option Confirmation</w:t>
      </w:r>
      <w:r>
        <w:rPr>
          <w:rFonts w:ascii="Arial" w:cs="Arial" w:eastAsia="Arial" w:hAnsi="Arial"/>
          <w:sz w:val="12"/>
          <w:szCs w:val="12"/>
          <w:color w:val="auto"/>
        </w:rPr>
        <w:t>”);</w:t>
      </w:r>
    </w:p>
    <w:p>
      <w:pPr>
        <w:spacing w:after="0" w:line="80" w:lineRule="exact"/>
        <w:rPr>
          <w:sz w:val="20"/>
          <w:szCs w:val="20"/>
          <w:color w:val="auto"/>
        </w:rPr>
      </w:pPr>
    </w:p>
    <w:p>
      <w:pPr>
        <w:ind w:right="40" w:firstLine="432"/>
        <w:spacing w:after="0" w:line="267" w:lineRule="auto"/>
        <w:rPr>
          <w:sz w:val="20"/>
          <w:szCs w:val="20"/>
          <w:color w:val="auto"/>
        </w:rPr>
      </w:pPr>
      <w:r>
        <w:rPr>
          <w:rFonts w:ascii="Arial" w:cs="Arial" w:eastAsia="Arial" w:hAnsi="Arial"/>
          <w:sz w:val="12"/>
          <w:szCs w:val="12"/>
          <w:color w:val="auto"/>
        </w:rPr>
        <w:t>WHEREAS, in connection with the Additional Notes, Company and Dealer entered into an Additional Call Option Transaction (the “</w:t>
      </w:r>
      <w:r>
        <w:rPr>
          <w:rFonts w:ascii="Arial" w:cs="Arial" w:eastAsia="Arial" w:hAnsi="Arial"/>
          <w:sz w:val="12"/>
          <w:szCs w:val="12"/>
          <w:b w:val="1"/>
          <w:bCs w:val="1"/>
          <w:color w:val="auto"/>
        </w:rPr>
        <w:t>Additional Call Option Transaction</w:t>
      </w:r>
      <w:r>
        <w:rPr>
          <w:rFonts w:ascii="Arial" w:cs="Arial" w:eastAsia="Arial" w:hAnsi="Arial"/>
          <w:sz w:val="12"/>
          <w:szCs w:val="12"/>
          <w:color w:val="auto"/>
        </w:rPr>
        <w:t>” and, together with the Base Call Option Transaction, the “</w:t>
      </w:r>
      <w:r>
        <w:rPr>
          <w:rFonts w:ascii="Arial" w:cs="Arial" w:eastAsia="Arial" w:hAnsi="Arial"/>
          <w:sz w:val="12"/>
          <w:szCs w:val="12"/>
          <w:b w:val="1"/>
          <w:bCs w:val="1"/>
          <w:color w:val="auto"/>
        </w:rPr>
        <w:t>Call Option Transactions</w:t>
      </w:r>
      <w:r>
        <w:rPr>
          <w:rFonts w:ascii="Arial" w:cs="Arial" w:eastAsia="Arial" w:hAnsi="Arial"/>
          <w:sz w:val="12"/>
          <w:szCs w:val="12"/>
          <w:color w:val="auto"/>
        </w:rPr>
        <w:t>”) pursuant to a letter agreement re: Additional Call Option Transaction dated as of June 27, 2014 confirming the terms of an additional call option transaction (as amended, modified, terminated or unwound from time to time, the “</w:t>
      </w:r>
      <w:r>
        <w:rPr>
          <w:rFonts w:ascii="Arial" w:cs="Arial" w:eastAsia="Arial" w:hAnsi="Arial"/>
          <w:sz w:val="12"/>
          <w:szCs w:val="12"/>
          <w:b w:val="1"/>
          <w:bCs w:val="1"/>
          <w:color w:val="auto"/>
        </w:rPr>
        <w:t>Additional Call Option Confirmation</w:t>
      </w:r>
      <w:r>
        <w:rPr>
          <w:rFonts w:ascii="Arial" w:cs="Arial" w:eastAsia="Arial" w:hAnsi="Arial"/>
          <w:sz w:val="12"/>
          <w:szCs w:val="12"/>
          <w:color w:val="auto"/>
        </w:rPr>
        <w:t>” and, together with the Base Call Option Confirmation, the “</w:t>
      </w:r>
      <w:r>
        <w:rPr>
          <w:rFonts w:ascii="Arial" w:cs="Arial" w:eastAsia="Arial" w:hAnsi="Arial"/>
          <w:sz w:val="12"/>
          <w:szCs w:val="12"/>
          <w:b w:val="1"/>
          <w:bCs w:val="1"/>
          <w:color w:val="auto"/>
        </w:rPr>
        <w:t>Call Option Confirmations</w:t>
      </w:r>
      <w:r>
        <w:rPr>
          <w:rFonts w:ascii="Arial" w:cs="Arial" w:eastAsia="Arial" w:hAnsi="Arial"/>
          <w:sz w:val="12"/>
          <w:szCs w:val="12"/>
          <w:color w:val="auto"/>
        </w:rPr>
        <w:t>”);</w:t>
      </w:r>
    </w:p>
    <w:p>
      <w:pPr>
        <w:spacing w:after="0" w:line="89"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WHEREAS, in connection with a repurchase by Company of 35,000 Convertible Notes in $1,000 principal amount denominations (the “</w:t>
      </w:r>
      <w:r>
        <w:rPr>
          <w:rFonts w:ascii="Arial" w:cs="Arial" w:eastAsia="Arial" w:hAnsi="Arial"/>
          <w:sz w:val="12"/>
          <w:szCs w:val="12"/>
          <w:b w:val="1"/>
          <w:bCs w:val="1"/>
          <w:color w:val="auto"/>
        </w:rPr>
        <w:t>Notes Repurchase</w:t>
      </w:r>
      <w:r>
        <w:rPr>
          <w:rFonts w:ascii="Arial" w:cs="Arial" w:eastAsia="Arial" w:hAnsi="Arial"/>
          <w:sz w:val="12"/>
          <w:szCs w:val="12"/>
          <w:color w:val="auto"/>
        </w:rPr>
        <w:t>”, and such number of Convertible Notes in $1,000 principal amount denominations, the “</w:t>
      </w:r>
      <w:r>
        <w:rPr>
          <w:rFonts w:ascii="Arial" w:cs="Arial" w:eastAsia="Arial" w:hAnsi="Arial"/>
          <w:sz w:val="12"/>
          <w:szCs w:val="12"/>
          <w:b w:val="1"/>
          <w:bCs w:val="1"/>
          <w:color w:val="auto"/>
        </w:rPr>
        <w:t>Repurchase Number</w:t>
      </w:r>
      <w:r>
        <w:rPr>
          <w:rFonts w:ascii="Arial" w:cs="Arial" w:eastAsia="Arial" w:hAnsi="Arial"/>
          <w:sz w:val="12"/>
          <w:szCs w:val="12"/>
          <w:color w:val="auto"/>
        </w:rPr>
        <w:t>”), Company has requested a full termination of the Additional Call Option Transaction and partial termination of the Base Call Option Transaction;</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their mutual covenants herein contained, the parties hereto, intending to be legally bound, hereby mutually covenant and agree as follows:</w:t>
      </w:r>
    </w:p>
    <w:p>
      <w:pPr>
        <w:spacing w:after="0" w:line="123" w:lineRule="exact"/>
        <w:rPr>
          <w:sz w:val="20"/>
          <w:szCs w:val="20"/>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u w:val="single" w:color="auto"/>
          <w:color w:val="auto"/>
        </w:rPr>
        <w:t>Defined Terms</w:t>
      </w:r>
      <w:r>
        <w:rPr>
          <w:rFonts w:ascii="Arial" w:cs="Arial" w:eastAsia="Arial" w:hAnsi="Arial"/>
          <w:sz w:val="12"/>
          <w:szCs w:val="12"/>
          <w:color w:val="auto"/>
        </w:rPr>
        <w:t>. Any capitalized term not otherwise defined herein shall have the meaning set forth for such term in the Call Option Confirmations.</w:t>
      </w:r>
    </w:p>
    <w:p>
      <w:pPr>
        <w:spacing w:after="0" w:line="150" w:lineRule="exact"/>
        <w:rPr>
          <w:rFonts w:ascii="Arial" w:cs="Arial" w:eastAsia="Arial" w:hAnsi="Arial"/>
          <w:sz w:val="12"/>
          <w:szCs w:val="12"/>
          <w:color w:val="auto"/>
        </w:rPr>
      </w:pPr>
    </w:p>
    <w:p>
      <w:pPr>
        <w:jc w:val="both"/>
        <w:ind w:firstLine="424"/>
        <w:spacing w:after="0" w:line="257" w:lineRule="auto"/>
        <w:tabs>
          <w:tab w:leader="none" w:pos="696" w:val="left"/>
        </w:tabs>
        <w:numPr>
          <w:ilvl w:val="0"/>
          <w:numId w:val="53"/>
        </w:numPr>
        <w:rPr>
          <w:rFonts w:ascii="Arial" w:cs="Arial" w:eastAsia="Arial" w:hAnsi="Arial"/>
          <w:sz w:val="12"/>
          <w:szCs w:val="12"/>
          <w:color w:val="auto"/>
        </w:rPr>
      </w:pPr>
      <w:r>
        <w:rPr>
          <w:rFonts w:ascii="Arial" w:cs="Arial" w:eastAsia="Arial" w:hAnsi="Arial"/>
          <w:sz w:val="12"/>
          <w:szCs w:val="12"/>
          <w:u w:val="single" w:color="auto"/>
          <w:color w:val="auto"/>
        </w:rPr>
        <w:t>Termination and Amendment</w:t>
      </w:r>
      <w:r>
        <w:rPr>
          <w:rFonts w:ascii="Arial" w:cs="Arial" w:eastAsia="Arial" w:hAnsi="Arial"/>
          <w:sz w:val="12"/>
          <w:szCs w:val="12"/>
          <w:color w:val="auto"/>
        </w:rPr>
        <w:t>. Notwithstanding anything to the contrary in the Call Option Confirmations, Company and Dealer agree that, effective on the date hereof, (i) the Additional Call Option Transaction shall automatically terminate and all of the respective rights and obligations of the parties under the Additional Call Option Confirmation shall be terminated, cancelled and extinguished and (ii) the Number of Options under the Base Call Option Transaction shall be reduced to 195,000, and in connection therewith Dealer shall be required to pay to Company the Cash Settlement Amount on the Payment Date pursuant to Sections 3 and 4 below. For the avoidance of doubt, the parties agree that the Notes Repurchase shall be disregarded for all purposes under the Call Option Transactions, and without limiting the foregoing, no Early Termination Date shall be deemed to occur with respect to any Call Option Transaction or any portion thereof on account of the Notes Repurchase.</w:t>
      </w:r>
    </w:p>
    <w:p>
      <w:pPr>
        <w:spacing w:after="0" w:line="125" w:lineRule="exact"/>
        <w:rPr>
          <w:rFonts w:ascii="Arial" w:cs="Arial" w:eastAsia="Arial" w:hAnsi="Arial"/>
          <w:sz w:val="12"/>
          <w:szCs w:val="12"/>
          <w:color w:val="auto"/>
        </w:rPr>
      </w:pPr>
    </w:p>
    <w:p>
      <w:pPr>
        <w:jc w:val="both"/>
        <w:ind w:firstLine="424"/>
        <w:spacing w:after="0" w:line="257" w:lineRule="auto"/>
        <w:tabs>
          <w:tab w:leader="none" w:pos="660" w:val="left"/>
        </w:tabs>
        <w:numPr>
          <w:ilvl w:val="0"/>
          <w:numId w:val="53"/>
        </w:numPr>
        <w:rPr>
          <w:rFonts w:ascii="Arial" w:cs="Arial" w:eastAsia="Arial" w:hAnsi="Arial"/>
          <w:sz w:val="12"/>
          <w:szCs w:val="12"/>
          <w:color w:val="auto"/>
        </w:rPr>
      </w:pPr>
      <w:r>
        <w:rPr>
          <w:rFonts w:ascii="Arial" w:cs="Arial" w:eastAsia="Arial" w:hAnsi="Arial"/>
          <w:sz w:val="12"/>
          <w:szCs w:val="12"/>
          <w:u w:val="single" w:color="auto"/>
          <w:color w:val="auto"/>
        </w:rPr>
        <w:t>Procedures for Hedge Unwind</w:t>
      </w:r>
      <w:r>
        <w:rPr>
          <w:rFonts w:ascii="Arial" w:cs="Arial" w:eastAsia="Arial" w:hAnsi="Arial"/>
          <w:sz w:val="12"/>
          <w:szCs w:val="12"/>
          <w:color w:val="auto"/>
        </w:rPr>
        <w:t>. On each Hedge Unwind Date (as defined below), Dealer (or an affiliate of Dealer), for the account of Dealer, shall unwind a portion of its hedge of the Options underlying the Call Option Transactions being terminated hereunder (the period of ten consecutive Scheduled Trading Days beginning on and including the Exchange Business Day following the Effective Date (as defined below, and such Exchange Business Day, the “</w:t>
      </w:r>
      <w:r>
        <w:rPr>
          <w:rFonts w:ascii="Arial" w:cs="Arial" w:eastAsia="Arial" w:hAnsi="Arial"/>
          <w:sz w:val="12"/>
          <w:szCs w:val="12"/>
          <w:b w:val="1"/>
          <w:bCs w:val="1"/>
          <w:color w:val="auto"/>
        </w:rPr>
        <w:t>Start Date</w:t>
      </w:r>
      <w:r>
        <w:rPr>
          <w:rFonts w:ascii="Arial" w:cs="Arial" w:eastAsia="Arial" w:hAnsi="Arial"/>
          <w:sz w:val="12"/>
          <w:szCs w:val="12"/>
          <w:color w:val="auto"/>
        </w:rPr>
        <w:t>”) being collectively referred to as the “</w:t>
      </w:r>
      <w:r>
        <w:rPr>
          <w:rFonts w:ascii="Arial" w:cs="Arial" w:eastAsia="Arial" w:hAnsi="Arial"/>
          <w:sz w:val="12"/>
          <w:szCs w:val="12"/>
          <w:b w:val="1"/>
          <w:bCs w:val="1"/>
          <w:color w:val="auto"/>
        </w:rPr>
        <w:t>Hedge Unwind Period</w:t>
      </w:r>
      <w:r>
        <w:rPr>
          <w:rFonts w:ascii="Arial" w:cs="Arial" w:eastAsia="Arial" w:hAnsi="Arial"/>
          <w:sz w:val="12"/>
          <w:szCs w:val="12"/>
          <w:color w:val="auto"/>
        </w:rPr>
        <w:t>” (subject to extension pursuant to the proviso in the immediately following sentence)). A “</w:t>
      </w:r>
      <w:r>
        <w:rPr>
          <w:rFonts w:ascii="Arial" w:cs="Arial" w:eastAsia="Arial" w:hAnsi="Arial"/>
          <w:sz w:val="12"/>
          <w:szCs w:val="12"/>
          <w:b w:val="1"/>
          <w:bCs w:val="1"/>
          <w:color w:val="auto"/>
        </w:rPr>
        <w:t>Hedge Unwind Date</w:t>
      </w:r>
      <w:r>
        <w:rPr>
          <w:rFonts w:ascii="Arial" w:cs="Arial" w:eastAsia="Arial" w:hAnsi="Arial"/>
          <w:sz w:val="12"/>
          <w:szCs w:val="12"/>
          <w:color w:val="auto"/>
        </w:rPr>
        <w:t xml:space="preserve">” means the Start Date and each Scheduled Trading Day in the Hedge Unwind Period;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any such date is a Disrupted Day in whole, such date shall not constitute a Hedge Unwind Date, and an additional Hedge Unwind Date shall occur on the Scheduled Trading Day after the date that would otherwise be the final Hedge Unwind Date.</w:t>
      </w:r>
    </w:p>
    <w:p>
      <w:pPr>
        <w:sectPr>
          <w:pgSz w:w="11900" w:h="16838" w:orient="portrait"/>
          <w:cols w:equalWidth="0" w:num="1">
            <w:col w:w="11480"/>
          </w:cols>
          <w:pgMar w:left="220" w:top="680" w:right="199" w:bottom="1440" w:gutter="0" w:footer="0" w:header="0"/>
        </w:sectPr>
      </w:pPr>
    </w:p>
    <w:bookmarkStart w:id="70" w:name="page71"/>
    <w:bookmarkEnd w:id="70"/>
    <w:p>
      <w:pPr>
        <w:jc w:val="both"/>
        <w:ind w:firstLine="424"/>
        <w:spacing w:after="0" w:line="279" w:lineRule="auto"/>
        <w:tabs>
          <w:tab w:leader="none" w:pos="687" w:val="left"/>
        </w:tabs>
        <w:numPr>
          <w:ilvl w:val="0"/>
          <w:numId w:val="54"/>
        </w:numPr>
        <w:rPr>
          <w:rFonts w:ascii="Arial" w:cs="Arial" w:eastAsia="Arial" w:hAnsi="Arial"/>
          <w:sz w:val="11"/>
          <w:szCs w:val="11"/>
          <w:color w:val="auto"/>
        </w:rPr>
      </w:pPr>
      <w:r>
        <w:rPr>
          <w:rFonts w:ascii="Arial" w:cs="Arial" w:eastAsia="Arial" w:hAnsi="Arial"/>
          <w:sz w:val="11"/>
          <w:szCs w:val="11"/>
          <w:u w:val="single" w:color="auto"/>
          <w:color w:val="auto"/>
        </w:rPr>
        <w:t>Payments and Deliveries</w:t>
      </w:r>
      <w:r>
        <w:rPr>
          <w:rFonts w:ascii="Arial" w:cs="Arial" w:eastAsia="Arial" w:hAnsi="Arial"/>
          <w:sz w:val="11"/>
          <w:szCs w:val="11"/>
          <w:color w:val="auto"/>
        </w:rPr>
        <w:t>. On the third Scheduled Trading Day following the final Hedge Unwind Date or, if such day is not a Clearance System Business Day, on the next Clearance System Business Day immediately following such day (the “</w:t>
      </w:r>
      <w:r>
        <w:rPr>
          <w:rFonts w:ascii="Arial" w:cs="Arial" w:eastAsia="Arial" w:hAnsi="Arial"/>
          <w:sz w:val="11"/>
          <w:szCs w:val="11"/>
          <w:b w:val="1"/>
          <w:bCs w:val="1"/>
          <w:color w:val="auto"/>
        </w:rPr>
        <w:t>Payment Date</w:t>
      </w:r>
      <w:r>
        <w:rPr>
          <w:rFonts w:ascii="Arial" w:cs="Arial" w:eastAsia="Arial" w:hAnsi="Arial"/>
          <w:sz w:val="11"/>
          <w:szCs w:val="11"/>
          <w:color w:val="auto"/>
        </w:rPr>
        <w:t>”), Dealer shall pay to Company in immediately available funds cash in an amount equal to the Cash Settlement Amount. The “</w:t>
      </w:r>
      <w:r>
        <w:rPr>
          <w:rFonts w:ascii="Arial" w:cs="Arial" w:eastAsia="Arial" w:hAnsi="Arial"/>
          <w:sz w:val="11"/>
          <w:szCs w:val="11"/>
          <w:b w:val="1"/>
          <w:bCs w:val="1"/>
          <w:color w:val="auto"/>
        </w:rPr>
        <w:t>Cash Settlement Amount</w:t>
      </w:r>
      <w:r>
        <w:rPr>
          <w:rFonts w:ascii="Arial" w:cs="Arial" w:eastAsia="Arial" w:hAnsi="Arial"/>
          <w:sz w:val="11"/>
          <w:szCs w:val="11"/>
          <w:color w:val="auto"/>
        </w:rPr>
        <w:t>” shall mean an amount in US Dollars determined by Dealer according to the table set forth in Schedule A attached hereto (using linear interpolation or commercially reasonable extrapolation by Dealer, as applicable, to determine the Cash Settlement Amount for any Average VWAP not specifically appearing in Schedule A). “</w:t>
      </w:r>
      <w:r>
        <w:rPr>
          <w:rFonts w:ascii="Arial" w:cs="Arial" w:eastAsia="Arial" w:hAnsi="Arial"/>
          <w:sz w:val="11"/>
          <w:szCs w:val="11"/>
          <w:b w:val="1"/>
          <w:bCs w:val="1"/>
          <w:color w:val="auto"/>
        </w:rPr>
        <w:t>Average VWAP</w:t>
      </w:r>
      <w:r>
        <w:rPr>
          <w:rFonts w:ascii="Arial" w:cs="Arial" w:eastAsia="Arial" w:hAnsi="Arial"/>
          <w:sz w:val="11"/>
          <w:szCs w:val="11"/>
          <w:color w:val="auto"/>
        </w:rPr>
        <w:t>” means the arithmetic average of the VWAP Prices for each Hedge Unwind Date during the Hedge Unwind Period. “</w:t>
      </w:r>
      <w:r>
        <w:rPr>
          <w:rFonts w:ascii="Arial" w:cs="Arial" w:eastAsia="Arial" w:hAnsi="Arial"/>
          <w:sz w:val="11"/>
          <w:szCs w:val="11"/>
          <w:b w:val="1"/>
          <w:bCs w:val="1"/>
          <w:color w:val="auto"/>
        </w:rPr>
        <w:t>VWAP Price</w:t>
      </w:r>
      <w:r>
        <w:rPr>
          <w:rFonts w:ascii="Arial" w:cs="Arial" w:eastAsia="Arial" w:hAnsi="Arial"/>
          <w:sz w:val="11"/>
          <w:szCs w:val="11"/>
          <w:color w:val="auto"/>
        </w:rPr>
        <w:t>” for any Scheduled Trading Day means the per Share volume-weighted average price as displayed under the heading “Bloomberg VWAP” on Bloomberg page EZPW &lt;equity&gt; AQR (or any successor thereto) in respect of the period from 9:30 am to 4:00 pm (New York City time) on such Scheduled Trading Day (or if such volume-weighted average price is unavailable, the market value of one Share on such Scheduled Trading Day for such time period, as determined by Dealer). Notwithstanding the foregoing, if any Scheduled Trading Day in the Hedge Unwind Period is a Disrupted Day (in whole or in part), then the VWAP Price for such Scheduled Trading Day(s) shall be the volume-weighted average price per Share on such Scheduled Trading Day on the Exchange for such time period, as determined by Dealer based on such sources as it deems appropriate using a volume-weighted methodology, for the portion of such Scheduled Trading Day for which Dealer determines there is no Market Disruption Event with respect to the Shares (if any) and the number of Hedge Unwind Dates and the Cash Settlement Amount shall be adjusted by Dealer in its good faith, commercially reasonable discretion to account for such disruption and/or extension.</w:t>
      </w:r>
    </w:p>
    <w:p>
      <w:pPr>
        <w:spacing w:after="0" w:line="110" w:lineRule="exact"/>
        <w:rPr>
          <w:rFonts w:ascii="Arial" w:cs="Arial" w:eastAsia="Arial" w:hAnsi="Arial"/>
          <w:sz w:val="11"/>
          <w:szCs w:val="11"/>
          <w:color w:val="auto"/>
        </w:rPr>
      </w:pPr>
    </w:p>
    <w:p>
      <w:pPr>
        <w:jc w:val="both"/>
        <w:ind w:firstLine="424"/>
        <w:spacing w:after="0" w:line="292" w:lineRule="auto"/>
        <w:tabs>
          <w:tab w:leader="none" w:pos="651" w:val="left"/>
        </w:tabs>
        <w:numPr>
          <w:ilvl w:val="0"/>
          <w:numId w:val="54"/>
        </w:numPr>
        <w:rPr>
          <w:rFonts w:ascii="Arial" w:cs="Arial" w:eastAsia="Arial" w:hAnsi="Arial"/>
          <w:sz w:val="11"/>
          <w:szCs w:val="11"/>
          <w:color w:val="auto"/>
        </w:rPr>
      </w:pPr>
      <w:r>
        <w:rPr>
          <w:rFonts w:ascii="Arial" w:cs="Arial" w:eastAsia="Arial" w:hAnsi="Arial"/>
          <w:sz w:val="11"/>
          <w:szCs w:val="11"/>
          <w:u w:val="single" w:color="auto"/>
          <w:color w:val="auto"/>
        </w:rPr>
        <w:t>Effectiveness</w:t>
      </w:r>
      <w:r>
        <w:rPr>
          <w:rFonts w:ascii="Arial" w:cs="Arial" w:eastAsia="Arial" w:hAnsi="Arial"/>
          <w:sz w:val="11"/>
          <w:szCs w:val="11"/>
          <w:color w:val="auto"/>
        </w:rPr>
        <w:t>. This Agreement, including the termination and amendment of the Call Option Confirmations as set forth herein, shall be effective upon the date (the “</w:t>
      </w:r>
      <w:r>
        <w:rPr>
          <w:rFonts w:ascii="Arial" w:cs="Arial" w:eastAsia="Arial" w:hAnsi="Arial"/>
          <w:sz w:val="11"/>
          <w:szCs w:val="11"/>
          <w:b w:val="1"/>
          <w:bCs w:val="1"/>
          <w:color w:val="auto"/>
        </w:rPr>
        <w:t>Effective Date</w:t>
      </w:r>
      <w:r>
        <w:rPr>
          <w:rFonts w:ascii="Arial" w:cs="Arial" w:eastAsia="Arial" w:hAnsi="Arial"/>
          <w:sz w:val="11"/>
          <w:szCs w:val="11"/>
          <w:color w:val="auto"/>
        </w:rPr>
        <w:t>”) that each of (i) Company’s offering of its 2.875% Convertible Senior Notes due 2024 and (ii) the Notes Repurchase has been consummated and settled. If, for any reason, the Effective Date has not occurred on or prior to July 5, 2017, (i) this Agreement shall automatically terminate and all of the respective rights and obligations of Company and Dealer hereunder shall be cancelled, terminated and discharged and (ii) each party shall be released and discharged by the other party from, and agrees not to make any claim against the other party with respect to, any obligations or liabilities of the other party arising out of and to be performed in connection with this Agreement.</w:t>
      </w:r>
    </w:p>
    <w:p>
      <w:pPr>
        <w:spacing w:after="0" w:line="109" w:lineRule="exact"/>
        <w:rPr>
          <w:rFonts w:ascii="Arial" w:cs="Arial" w:eastAsia="Arial" w:hAnsi="Arial"/>
          <w:sz w:val="11"/>
          <w:szCs w:val="11"/>
          <w:color w:val="auto"/>
        </w:rPr>
      </w:pPr>
    </w:p>
    <w:p>
      <w:pPr>
        <w:ind w:left="640" w:hanging="216"/>
        <w:spacing w:after="0"/>
        <w:tabs>
          <w:tab w:leader="none" w:pos="640" w:val="left"/>
        </w:tabs>
        <w:numPr>
          <w:ilvl w:val="0"/>
          <w:numId w:val="54"/>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Company</w:t>
      </w:r>
      <w:r>
        <w:rPr>
          <w:rFonts w:ascii="Arial" w:cs="Arial" w:eastAsia="Arial" w:hAnsi="Arial"/>
          <w:sz w:val="12"/>
          <w:szCs w:val="12"/>
          <w:color w:val="auto"/>
        </w:rPr>
        <w:t>. Company represents and warrants to Dealer (and agrees with Dealer in the case of Section 6(g)(ii))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54"/>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54"/>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54"/>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54"/>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1020" w:hanging="163"/>
        <w:spacing w:after="0"/>
        <w:tabs>
          <w:tab w:leader="none" w:pos="1020" w:val="left"/>
        </w:tabs>
        <w:numPr>
          <w:ilvl w:val="1"/>
          <w:numId w:val="54"/>
        </w:numPr>
        <w:rPr>
          <w:rFonts w:ascii="Arial" w:cs="Arial" w:eastAsia="Arial" w:hAnsi="Arial"/>
          <w:sz w:val="12"/>
          <w:szCs w:val="12"/>
          <w:color w:val="auto"/>
        </w:rPr>
      </w:pPr>
      <w:r>
        <w:rPr>
          <w:rFonts w:ascii="Arial" w:cs="Arial" w:eastAsia="Arial" w:hAnsi="Arial"/>
          <w:sz w:val="12"/>
          <w:szCs w:val="12"/>
          <w:color w:val="auto"/>
        </w:rPr>
        <w:t>each of it and its affiliates is not in possession of any material nonpublic information regarding Company or the Shares;</w:t>
      </w:r>
    </w:p>
    <w:p>
      <w:pPr>
        <w:spacing w:after="0" w:line="150" w:lineRule="exact"/>
        <w:rPr>
          <w:rFonts w:ascii="Arial" w:cs="Arial" w:eastAsia="Arial" w:hAnsi="Arial"/>
          <w:sz w:val="12"/>
          <w:szCs w:val="12"/>
          <w:color w:val="auto"/>
        </w:rPr>
      </w:pPr>
    </w:p>
    <w:p>
      <w:pPr>
        <w:jc w:val="both"/>
        <w:ind w:firstLine="857"/>
        <w:spacing w:after="0" w:line="259" w:lineRule="auto"/>
        <w:tabs>
          <w:tab w:leader="none" w:pos="1015" w:val="left"/>
        </w:tabs>
        <w:numPr>
          <w:ilvl w:val="1"/>
          <w:numId w:val="54"/>
        </w:numPr>
        <w:rPr>
          <w:rFonts w:ascii="Arial" w:cs="Arial" w:eastAsia="Arial" w:hAnsi="Arial"/>
          <w:sz w:val="12"/>
          <w:szCs w:val="12"/>
          <w:color w:val="auto"/>
        </w:rPr>
      </w:pPr>
      <w:r>
        <w:rPr>
          <w:rFonts w:ascii="Arial" w:cs="Arial" w:eastAsia="Arial" w:hAnsi="Arial"/>
          <w:sz w:val="12"/>
          <w:szCs w:val="12"/>
          <w:color w:val="auto"/>
        </w:rPr>
        <w:t>it is not entering into this Agreement to create actual or apparent trading activity in the Shares (or any security convertible into or exchangeable for the Shares), to raise or depress or otherwise manipulate the price of the Shares (or any security convertible into or exchangeable for the Shares), for the purpose of inducing the sale of the Shares (or any security convertible into or exchangeable for the Shares) by others or otherwise in violation of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Company makes no representation or warranty with respect to Dealer’s Hedge Position (or any other dealer’s hedge position in respect of derivatives relating to the Convertible Notes); and</w:t>
      </w:r>
    </w:p>
    <w:p>
      <w:pPr>
        <w:spacing w:after="0" w:line="120" w:lineRule="exact"/>
        <w:rPr>
          <w:rFonts w:ascii="Arial" w:cs="Arial" w:eastAsia="Arial" w:hAnsi="Arial"/>
          <w:sz w:val="12"/>
          <w:szCs w:val="12"/>
          <w:color w:val="auto"/>
        </w:rPr>
      </w:pPr>
    </w:p>
    <w:p>
      <w:pPr>
        <w:ind w:left="1020" w:hanging="163"/>
        <w:spacing w:after="0"/>
        <w:tabs>
          <w:tab w:leader="none" w:pos="1020" w:val="left"/>
        </w:tabs>
        <w:numPr>
          <w:ilvl w:val="1"/>
          <w:numId w:val="54"/>
        </w:numPr>
        <w:rPr>
          <w:rFonts w:ascii="Arial" w:cs="Arial" w:eastAsia="Arial" w:hAnsi="Arial"/>
          <w:sz w:val="11"/>
          <w:szCs w:val="11"/>
          <w:color w:val="auto"/>
        </w:rPr>
      </w:pPr>
      <w:r>
        <w:rPr>
          <w:rFonts w:ascii="Arial" w:cs="Arial" w:eastAsia="Arial" w:hAnsi="Arial"/>
          <w:sz w:val="11"/>
          <w:szCs w:val="11"/>
          <w:color w:val="auto"/>
        </w:rPr>
        <w:t>(i) it is not on the date hereof, engaged in a distribution, as such term is used in Regulation M under the Exchange Act (“</w:t>
      </w:r>
      <w:r>
        <w:rPr>
          <w:rFonts w:ascii="Arial" w:cs="Arial" w:eastAsia="Arial" w:hAnsi="Arial"/>
          <w:sz w:val="11"/>
          <w:szCs w:val="11"/>
          <w:b w:val="1"/>
          <w:bCs w:val="1"/>
          <w:color w:val="auto"/>
        </w:rPr>
        <w:t>Regulation M”</w:t>
      </w:r>
      <w:r>
        <w:rPr>
          <w:rFonts w:ascii="Arial" w:cs="Arial" w:eastAsia="Arial" w:hAnsi="Arial"/>
          <w:sz w:val="11"/>
          <w:szCs w:val="11"/>
          <w:color w:val="auto"/>
        </w:rPr>
        <w:t>), of the Shares or any securities deemed “reference securities” (as defined in</w:t>
      </w:r>
    </w:p>
    <w:p>
      <w:pPr>
        <w:spacing w:after="0" w:line="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Regulation 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581" w:right="19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2"/>
          <w:szCs w:val="12"/>
          <w:color w:val="auto"/>
        </w:rPr>
        <w:t xml:space="preserve">with respect to the Shares and (ii) it shall not engage in any such distribution during the period commencing on the date hereof and ending on the second Exchange Business Day immediately following the last day of the Hedge Unwind Period with respect to the Shares or such reference securities, unless it notifies Dealer, on the day immediately preceding the first day of the “restricted period” (as defined in Regulation M) of any such distribution, and of completion of such restricted period on the date such distribution is concluded;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connection with the notification with respect to the completion of the restricted period, it shall be deemed to repeat the representations contained in paragraphs (e) and (f) of this Section 6.</w:t>
      </w:r>
    </w:p>
    <w:p>
      <w:pPr>
        <w:spacing w:after="0" w:line="125" w:lineRule="exact"/>
        <w:rPr>
          <w:sz w:val="20"/>
          <w:szCs w:val="20"/>
          <w:color w:val="auto"/>
        </w:rPr>
      </w:pPr>
    </w:p>
    <w:p>
      <w:pPr>
        <w:ind w:left="640" w:hanging="216"/>
        <w:spacing w:after="0"/>
        <w:tabs>
          <w:tab w:leader="none" w:pos="640" w:val="left"/>
        </w:tabs>
        <w:numPr>
          <w:ilvl w:val="0"/>
          <w:numId w:val="55"/>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Dealer</w:t>
      </w:r>
      <w:r>
        <w:rPr>
          <w:rFonts w:ascii="Arial" w:cs="Arial" w:eastAsia="Arial" w:hAnsi="Arial"/>
          <w:sz w:val="12"/>
          <w:szCs w:val="12"/>
          <w:color w:val="auto"/>
        </w:rPr>
        <w:t>. Dealer represents and warrants to Company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55"/>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55"/>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55"/>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 and</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55"/>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640" w:hanging="216"/>
        <w:spacing w:after="0"/>
        <w:tabs>
          <w:tab w:leader="none" w:pos="640" w:val="left"/>
        </w:tabs>
        <w:numPr>
          <w:ilvl w:val="0"/>
          <w:numId w:val="55"/>
        </w:numPr>
        <w:rPr>
          <w:rFonts w:ascii="Arial" w:cs="Arial" w:eastAsia="Arial" w:hAnsi="Arial"/>
          <w:sz w:val="12"/>
          <w:szCs w:val="12"/>
          <w:color w:val="auto"/>
        </w:rPr>
      </w:pPr>
      <w:r>
        <w:rPr>
          <w:rFonts w:ascii="Arial" w:cs="Arial" w:eastAsia="Arial" w:hAnsi="Arial"/>
          <w:sz w:val="12"/>
          <w:szCs w:val="12"/>
          <w:u w:val="single" w:color="auto"/>
          <w:color w:val="auto"/>
        </w:rPr>
        <w:t>Account for Payment to Company</w:t>
      </w:r>
      <w:r>
        <w:rPr>
          <w:rFonts w:ascii="Arial" w:cs="Arial" w:eastAsia="Arial" w:hAnsi="Arial"/>
          <w:sz w:val="12"/>
          <w:szCs w:val="12"/>
          <w:color w:val="auto"/>
        </w:rPr>
        <w:t>:</w:t>
      </w:r>
    </w:p>
    <w:p>
      <w:pPr>
        <w:spacing w:after="0" w:line="150"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2"/>
          <w:szCs w:val="12"/>
          <w:color w:val="auto"/>
        </w:rPr>
        <w:t>Bank:</w:t>
      </w:r>
      <w:r>
        <w:rPr>
          <w:sz w:val="20"/>
          <w:szCs w:val="20"/>
          <w:color w:val="auto"/>
        </w:rPr>
        <w:tab/>
      </w:r>
      <w:r>
        <w:rPr>
          <w:rFonts w:ascii="Arial" w:cs="Arial" w:eastAsia="Arial" w:hAnsi="Arial"/>
          <w:sz w:val="11"/>
          <w:szCs w:val="11"/>
          <w:color w:val="auto"/>
        </w:rPr>
        <w:t>Wells Fargo Bank, NA</w:t>
      </w:r>
    </w:p>
    <w:p>
      <w:pPr>
        <w:spacing w:after="0" w:line="15" w:lineRule="exact"/>
        <w:rPr>
          <w:sz w:val="20"/>
          <w:szCs w:val="20"/>
          <w:color w:val="auto"/>
        </w:rPr>
      </w:pPr>
    </w:p>
    <w:p>
      <w:pPr>
        <w:ind w:left="860"/>
        <w:spacing w:after="0"/>
        <w:tabs>
          <w:tab w:leader="none" w:pos="1300" w:val="left"/>
        </w:tabs>
        <w:rPr>
          <w:sz w:val="20"/>
          <w:szCs w:val="20"/>
          <w:color w:val="auto"/>
        </w:rPr>
      </w:pPr>
      <w:r>
        <w:rPr>
          <w:rFonts w:ascii="Arial" w:cs="Arial" w:eastAsia="Arial" w:hAnsi="Arial"/>
          <w:sz w:val="12"/>
          <w:szCs w:val="12"/>
          <w:color w:val="auto"/>
        </w:rPr>
        <w:t>ABA#:</w:t>
      </w:r>
      <w:r>
        <w:rPr>
          <w:sz w:val="20"/>
          <w:szCs w:val="20"/>
          <w:color w:val="auto"/>
        </w:rPr>
        <w:tab/>
      </w:r>
      <w:r>
        <w:rPr>
          <w:rFonts w:ascii="Arial" w:cs="Arial" w:eastAsia="Arial" w:hAnsi="Arial"/>
          <w:sz w:val="10"/>
          <w:szCs w:val="10"/>
          <w:color w:val="auto"/>
        </w:rPr>
        <w:t>121000248</w:t>
      </w:r>
    </w:p>
    <w:p>
      <w:pPr>
        <w:spacing w:after="0" w:line="6" w:lineRule="exact"/>
        <w:rPr>
          <w:sz w:val="20"/>
          <w:szCs w:val="20"/>
          <w:color w:val="auto"/>
        </w:rPr>
      </w:pPr>
    </w:p>
    <w:p>
      <w:pPr>
        <w:ind w:left="860"/>
        <w:spacing w:after="0"/>
        <w:tabs>
          <w:tab w:leader="none" w:pos="1540" w:val="left"/>
        </w:tabs>
        <w:rPr>
          <w:sz w:val="20"/>
          <w:szCs w:val="20"/>
          <w:color w:val="auto"/>
        </w:rPr>
      </w:pPr>
      <w:r>
        <w:rPr>
          <w:rFonts w:ascii="Arial" w:cs="Arial" w:eastAsia="Arial" w:hAnsi="Arial"/>
          <w:sz w:val="12"/>
          <w:szCs w:val="12"/>
          <w:color w:val="auto"/>
        </w:rPr>
        <w:t>Acct Name:</w:t>
      </w:r>
      <w:r>
        <w:rPr>
          <w:sz w:val="20"/>
          <w:szCs w:val="20"/>
          <w:color w:val="auto"/>
        </w:rPr>
        <w:tab/>
      </w:r>
      <w:r>
        <w:rPr>
          <w:rFonts w:ascii="Arial" w:cs="Arial" w:eastAsia="Arial" w:hAnsi="Arial"/>
          <w:sz w:val="10"/>
          <w:szCs w:val="10"/>
          <w:color w:val="auto"/>
        </w:rPr>
        <w:t>Texas EZPawn, LP</w:t>
      </w:r>
    </w:p>
    <w:p>
      <w:pPr>
        <w:spacing w:after="0" w:line="6"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2"/>
          <w:szCs w:val="12"/>
          <w:color w:val="auto"/>
        </w:rPr>
        <w:t>Acct No.:</w:t>
      </w:r>
      <w:r>
        <w:rPr>
          <w:sz w:val="20"/>
          <w:szCs w:val="20"/>
          <w:color w:val="auto"/>
        </w:rPr>
        <w:tab/>
      </w:r>
      <w:r>
        <w:rPr>
          <w:rFonts w:ascii="Arial" w:cs="Arial" w:eastAsia="Arial" w:hAnsi="Arial"/>
          <w:sz w:val="10"/>
          <w:szCs w:val="10"/>
          <w:color w:val="auto"/>
        </w:rPr>
        <w:t>4159720622</w:t>
      </w:r>
    </w:p>
    <w:p>
      <w:pPr>
        <w:spacing w:after="0" w:line="6"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2"/>
          <w:szCs w:val="12"/>
          <w:color w:val="auto"/>
        </w:rPr>
        <w:t>Contact:</w:t>
      </w:r>
      <w:r>
        <w:rPr>
          <w:sz w:val="20"/>
          <w:szCs w:val="20"/>
          <w:color w:val="auto"/>
        </w:rPr>
        <w:tab/>
      </w:r>
      <w:r>
        <w:rPr>
          <w:rFonts w:ascii="Arial" w:cs="Arial" w:eastAsia="Arial" w:hAnsi="Arial"/>
          <w:sz w:val="11"/>
          <w:szCs w:val="11"/>
          <w:color w:val="auto"/>
        </w:rPr>
        <w:t>Karissa Sullivan</w:t>
      </w:r>
    </w:p>
    <w:p>
      <w:pPr>
        <w:spacing w:after="0" w:line="6"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2"/>
          <w:szCs w:val="12"/>
          <w:color w:val="auto"/>
        </w:rPr>
        <w:t>Phone No.:</w:t>
      </w:r>
      <w:r>
        <w:rPr>
          <w:sz w:val="20"/>
          <w:szCs w:val="20"/>
          <w:color w:val="auto"/>
        </w:rPr>
        <w:tab/>
      </w:r>
      <w:r>
        <w:rPr>
          <w:rFonts w:ascii="Arial" w:cs="Arial" w:eastAsia="Arial" w:hAnsi="Arial"/>
          <w:sz w:val="10"/>
          <w:szCs w:val="10"/>
          <w:color w:val="auto"/>
        </w:rPr>
        <w:t>512-314-2257</w:t>
      </w:r>
    </w:p>
    <w:p>
      <w:pPr>
        <w:spacing w:after="0" w:line="141" w:lineRule="exact"/>
        <w:rPr>
          <w:sz w:val="20"/>
          <w:szCs w:val="20"/>
          <w:color w:val="auto"/>
        </w:rPr>
      </w:pPr>
    </w:p>
    <w:p>
      <w:pPr>
        <w:ind w:left="660" w:hanging="236"/>
        <w:spacing w:after="0"/>
        <w:tabs>
          <w:tab w:leader="none" w:pos="660"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any dispute arising hereunder shall be governed by and construed in accordance with the laws of the State of New York (without reference to choice of law doctrine).</w:t>
      </w:r>
    </w:p>
    <w:p>
      <w:pPr>
        <w:spacing w:after="0" w:line="150" w:lineRule="exact"/>
        <w:rPr>
          <w:rFonts w:ascii="Arial" w:cs="Arial" w:eastAsia="Arial" w:hAnsi="Arial"/>
          <w:sz w:val="12"/>
          <w:szCs w:val="12"/>
          <w:color w:val="auto"/>
        </w:rPr>
      </w:pPr>
    </w:p>
    <w:p>
      <w:pPr>
        <w:ind w:left="720" w:hanging="296"/>
        <w:spacing w:after="0"/>
        <w:tabs>
          <w:tab w:leader="none" w:pos="720"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signed in any number of counterparts, each of which shall be an original, with the same effect as if all of the signatures thereto and hereto were upon the same instrument.</w:t>
      </w:r>
    </w:p>
    <w:p>
      <w:pPr>
        <w:spacing w:after="0" w:line="161" w:lineRule="exact"/>
        <w:rPr>
          <w:rFonts w:ascii="Arial" w:cs="Arial" w:eastAsia="Arial" w:hAnsi="Arial"/>
          <w:sz w:val="11"/>
          <w:szCs w:val="11"/>
          <w:color w:val="auto"/>
        </w:rPr>
      </w:pPr>
    </w:p>
    <w:p>
      <w:pPr>
        <w:ind w:firstLine="424"/>
        <w:spacing w:after="0" w:line="276" w:lineRule="auto"/>
        <w:tabs>
          <w:tab w:leader="none" w:pos="725"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No Reliance, etc</w:t>
      </w:r>
      <w:r>
        <w:rPr>
          <w:rFonts w:ascii="Arial" w:cs="Arial" w:eastAsia="Arial" w:hAnsi="Arial"/>
          <w:sz w:val="12"/>
          <w:szCs w:val="12"/>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14" w:lineRule="exact"/>
        <w:rPr>
          <w:rFonts w:ascii="Arial" w:cs="Arial" w:eastAsia="Arial" w:hAnsi="Arial"/>
          <w:sz w:val="12"/>
          <w:szCs w:val="12"/>
          <w:color w:val="auto"/>
        </w:rPr>
      </w:pPr>
    </w:p>
    <w:p>
      <w:pPr>
        <w:jc w:val="both"/>
        <w:ind w:firstLine="424"/>
        <w:spacing w:after="0" w:line="263" w:lineRule="auto"/>
        <w:tabs>
          <w:tab w:leader="none" w:pos="711"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Designation by Dealer</w:t>
      </w:r>
      <w:r>
        <w:rPr>
          <w:rFonts w:ascii="Arial" w:cs="Arial" w:eastAsia="Arial" w:hAnsi="Arial"/>
          <w:sz w:val="12"/>
          <w:szCs w:val="12"/>
          <w:color w:val="auto"/>
        </w:rPr>
        <w:t>. Notwithstanding any other provision in this Agreement to the contrary requiring or allowing Dealer to purchase, sell, receive or deliver any Shares or other securities to or from Company, Dealer may designate any of its affiliates to purchase, sell, receive or deliver such shares or other securities and otherwise to perform Dealer obligations in respect of the transactions contemplated by this Agreement and any such designee may assume such obligations. Dealer shall be discharged of its obligations to Company to the extent of any such performance.</w:t>
      </w:r>
    </w:p>
    <w:p>
      <w:pPr>
        <w:spacing w:after="0" w:line="122" w:lineRule="exact"/>
        <w:rPr>
          <w:rFonts w:ascii="Arial" w:cs="Arial" w:eastAsia="Arial" w:hAnsi="Arial"/>
          <w:sz w:val="12"/>
          <w:szCs w:val="12"/>
          <w:color w:val="auto"/>
        </w:rPr>
      </w:pPr>
    </w:p>
    <w:p>
      <w:pPr>
        <w:jc w:val="both"/>
        <w:ind w:firstLine="424"/>
        <w:spacing w:after="0" w:line="263" w:lineRule="auto"/>
        <w:tabs>
          <w:tab w:leader="none" w:pos="747"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No Setoff; No Collateral</w:t>
      </w:r>
      <w:r>
        <w:rPr>
          <w:rFonts w:ascii="Arial" w:cs="Arial" w:eastAsia="Arial" w:hAnsi="Arial"/>
          <w:sz w:val="12"/>
          <w:szCs w:val="12"/>
          <w:color w:val="auto"/>
        </w:rPr>
        <w:t>. Notwithstanding any provision of this Agreement or any other agreement between the parties to the contrary, the obligations of Company hereunder are not, and shall not be, secured by any collateral. Each party waives any and all rights it may have to set off obligations arising under this Agreement and the Transaction against other obligations between the parties, whether arising under any other agreement, applicable law or otherwise.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581" w:right="199" w:bottom="1440" w:gutter="0" w:footer="0" w:header="0"/>
        </w:sectPr>
      </w:pPr>
    </w:p>
    <w:bookmarkStart w:id="72" w:name="page73"/>
    <w:bookmarkEnd w:id="72"/>
    <w:p>
      <w:pPr>
        <w:spacing w:after="0"/>
        <w:tabs>
          <w:tab w:leader="none" w:pos="260"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0"/>
          <w:szCs w:val="10"/>
          <w:u w:val="single" w:color="auto"/>
          <w:color w:val="auto"/>
        </w:rPr>
        <w:t>No Other Changes</w:t>
      </w:r>
      <w:r>
        <w:rPr>
          <w:rFonts w:ascii="Arial" w:cs="Arial" w:eastAsia="Arial" w:hAnsi="Arial"/>
          <w:sz w:val="10"/>
          <w:szCs w:val="10"/>
          <w:color w:val="auto"/>
        </w:rPr>
        <w:t>. Except as expressly set forth herein, all of the terms and conditions of the Base Call Option Confirmation shall remain in full force and effect and are hereby confirmed in all respects.</w:t>
      </w:r>
    </w:p>
    <w:p>
      <w:pPr>
        <w:sectPr>
          <w:pgSz w:w="11900" w:h="16838" w:orient="portrait"/>
          <w:cols w:equalWidth="0" w:num="1">
            <w:col w:w="9980"/>
          </w:cols>
          <w:pgMar w:left="640" w:top="581" w:right="1279" w:bottom="1440" w:gutter="0" w:footer="0" w:header="0"/>
        </w:sectPr>
      </w:pPr>
    </w:p>
    <w:p>
      <w:pPr>
        <w:spacing w:after="0" w:line="15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Follows</w:t>
      </w: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980"/>
          </w:cols>
          <w:pgMar w:left="640" w:top="581" w:right="1279" w:bottom="1440" w:gutter="0" w:footer="0" w:header="0"/>
          <w:type w:val="continuous"/>
        </w:sectPr>
      </w:pPr>
    </w:p>
    <w:bookmarkStart w:id="73" w:name="page74"/>
    <w:bookmarkEnd w:id="73"/>
    <w:p>
      <w:pPr>
        <w:ind w:left="420"/>
        <w:spacing w:after="0"/>
        <w:rPr>
          <w:sz w:val="20"/>
          <w:szCs w:val="20"/>
          <w:color w:val="auto"/>
        </w:rPr>
      </w:pPr>
      <w:r>
        <w:rPr>
          <w:rFonts w:ascii="Arial" w:cs="Arial" w:eastAsia="Arial" w:hAnsi="Arial"/>
          <w:sz w:val="12"/>
          <w:szCs w:val="12"/>
          <w:color w:val="auto"/>
        </w:rPr>
        <w:t>IN WITNESS WHEREOF, the parties hereto have caused this Agreement to be duly executed as of the date first written above.</w:t>
      </w:r>
    </w:p>
    <w:p>
      <w:pPr>
        <w:spacing w:after="0" w:line="200" w:lineRule="exact"/>
        <w:rPr>
          <w:sz w:val="20"/>
          <w:szCs w:val="20"/>
          <w:color w:val="auto"/>
        </w:rPr>
      </w:pPr>
    </w:p>
    <w:p>
      <w:pPr>
        <w:spacing w:after="0" w:line="343" w:lineRule="exact"/>
        <w:rPr>
          <w:sz w:val="20"/>
          <w:szCs w:val="20"/>
          <w:color w:val="auto"/>
        </w:rPr>
      </w:pPr>
    </w:p>
    <w:p>
      <w:pPr>
        <w:ind w:left="6300"/>
        <w:spacing w:after="0"/>
        <w:rPr>
          <w:sz w:val="20"/>
          <w:szCs w:val="20"/>
          <w:color w:val="auto"/>
        </w:rPr>
      </w:pPr>
      <w:r>
        <w:rPr>
          <w:rFonts w:ascii="Arial" w:cs="Arial" w:eastAsia="Arial" w:hAnsi="Arial"/>
          <w:sz w:val="12"/>
          <w:szCs w:val="12"/>
          <w:b w:val="1"/>
          <w:bCs w:val="1"/>
          <w:color w:val="auto"/>
        </w:rPr>
        <w:t>Morgan Stanley &amp; Co. International plc</w:t>
      </w:r>
    </w:p>
    <w:p>
      <w:pPr>
        <w:spacing w:after="0" w:line="334" w:lineRule="exact"/>
        <w:rPr>
          <w:sz w:val="20"/>
          <w:szCs w:val="20"/>
          <w:color w:val="auto"/>
        </w:rPr>
      </w:pPr>
    </w:p>
    <w:tbl>
      <w:tblPr>
        <w:tblLayout w:type="fixed"/>
        <w:tblInd w:w="630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14"/>
                <w:szCs w:val="1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Stefan Ploetscher</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Stefan Ploetscher</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Executive Director</w:t>
            </w:r>
          </w:p>
        </w:tc>
      </w:tr>
      <w:tr>
        <w:trPr>
          <w:trHeight w:val="324"/>
        </w:trPr>
        <w:tc>
          <w:tcPr>
            <w:tcW w:w="51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Morgan Stanley &amp; Co. LLC, </w:t>
            </w:r>
            <w:r>
              <w:rPr>
                <w:rFonts w:ascii="Arial" w:cs="Arial" w:eastAsia="Arial" w:hAnsi="Arial"/>
                <w:sz w:val="12"/>
                <w:szCs w:val="12"/>
                <w:color w:val="auto"/>
              </w:rPr>
              <w:t>as Agent</w:t>
            </w:r>
          </w:p>
        </w:tc>
      </w:tr>
      <w:tr>
        <w:trPr>
          <w:trHeight w:val="477"/>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24"/>
                <w:szCs w:val="2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Sebastian Crapanzano</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Sebastian Crapanzano</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Managing Director</w:t>
            </w:r>
          </w:p>
        </w:tc>
      </w:tr>
    </w:tbl>
    <w:p>
      <w:pPr>
        <w:spacing w:after="0" w:line="200" w:lineRule="exact"/>
        <w:rPr>
          <w:sz w:val="20"/>
          <w:szCs w:val="20"/>
          <w:color w:val="auto"/>
        </w:rPr>
      </w:pPr>
    </w:p>
    <w:p>
      <w:pPr>
        <w:spacing w:after="0" w:line="346" w:lineRule="exact"/>
        <w:rPr>
          <w:sz w:val="20"/>
          <w:szCs w:val="20"/>
          <w:color w:val="auto"/>
        </w:rPr>
      </w:pPr>
    </w:p>
    <w:p>
      <w:pPr>
        <w:ind w:left="630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369" w:lineRule="exact"/>
        <w:rPr>
          <w:sz w:val="20"/>
          <w:szCs w:val="20"/>
          <w:color w:val="auto"/>
        </w:rPr>
      </w:pPr>
    </w:p>
    <w:tbl>
      <w:tblPr>
        <w:tblLayout w:type="fixed"/>
        <w:tblInd w:w="6300" w:type="dxa"/>
        <w:tblCellMar>
          <w:top w:w="0" w:type="dxa"/>
          <w:left w:w="0" w:type="dxa"/>
          <w:bottom w:w="0" w:type="dxa"/>
          <w:right w:w="0" w:type="dxa"/>
        </w:tblCellMar>
      </w:tblPr>
      <w:tr>
        <w:trPr>
          <w:trHeight w:val="162"/>
        </w:trPr>
        <w:tc>
          <w:tcPr>
            <w:tcW w:w="720" w:type="dxa"/>
            <w:vAlign w:val="bottom"/>
          </w:tcPr>
          <w:p>
            <w:pPr>
              <w:spacing w:after="0"/>
              <w:rPr>
                <w:sz w:val="20"/>
                <w:szCs w:val="20"/>
                <w:color w:val="auto"/>
              </w:rPr>
            </w:pPr>
            <w:r>
              <w:rPr>
                <w:rFonts w:ascii="Arial" w:cs="Arial" w:eastAsia="Arial" w:hAnsi="Arial"/>
                <w:sz w:val="12"/>
                <w:szCs w:val="12"/>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Thomas H. Welch, Jr.</w:t>
            </w:r>
          </w:p>
        </w:tc>
      </w:tr>
      <w:tr>
        <w:trPr>
          <w:trHeight w:val="151"/>
        </w:trPr>
        <w:tc>
          <w:tcPr>
            <w:tcW w:w="720" w:type="dxa"/>
            <w:vAlign w:val="bottom"/>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Name: Thomas H. Welch, Jr.</w:t>
            </w:r>
          </w:p>
        </w:tc>
      </w:tr>
      <w:tr>
        <w:trPr>
          <w:trHeight w:val="153"/>
        </w:trPr>
        <w:tc>
          <w:tcPr>
            <w:tcW w:w="720" w:type="dxa"/>
            <w:vAlign w:val="bottom"/>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Title: Chief Legal Officer and Secretary</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Schedule 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60" w:type="dxa"/>
            <w:vAlign w:val="bottom"/>
            <w:gridSpan w:val="3"/>
          </w:tcPr>
          <w:p>
            <w:pPr>
              <w:spacing w:after="0"/>
              <w:rPr>
                <w:sz w:val="20"/>
                <w:szCs w:val="20"/>
                <w:color w:val="auto"/>
              </w:rPr>
            </w:pPr>
            <w:r>
              <w:rPr>
                <w:rFonts w:ascii="Arial" w:cs="Arial" w:eastAsia="Arial" w:hAnsi="Arial"/>
                <w:sz w:val="12"/>
                <w:szCs w:val="12"/>
                <w:color w:val="auto"/>
              </w:rPr>
              <w:t>The Cash Settlement Amount shall be determined by Dealer according to the table below.</w:t>
            </w:r>
          </w:p>
        </w:tc>
        <w:tc>
          <w:tcPr>
            <w:tcW w:w="1280" w:type="dxa"/>
            <w:vAlign w:val="bottom"/>
          </w:tcPr>
          <w:p>
            <w:pPr>
              <w:spacing w:after="0"/>
              <w:rPr>
                <w:sz w:val="13"/>
                <w:szCs w:val="13"/>
                <w:color w:val="auto"/>
              </w:rPr>
            </w:pPr>
          </w:p>
        </w:tc>
      </w:tr>
      <w:tr>
        <w:trPr>
          <w:trHeight w:val="369"/>
        </w:trPr>
        <w:tc>
          <w:tcPr>
            <w:tcW w:w="32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Average VWAP</w:t>
            </w:r>
          </w:p>
        </w:tc>
        <w:tc>
          <w:tcPr>
            <w:tcW w:w="1280" w:type="dxa"/>
            <w:vAlign w:val="bottom"/>
          </w:tcPr>
          <w:p>
            <w:pPr>
              <w:spacing w:after="0"/>
              <w:rPr>
                <w:sz w:val="20"/>
                <w:szCs w:val="20"/>
                <w:color w:val="auto"/>
              </w:rPr>
            </w:pPr>
            <w:r>
              <w:rPr>
                <w:rFonts w:ascii="Arial" w:cs="Arial" w:eastAsia="Arial" w:hAnsi="Arial"/>
                <w:sz w:val="12"/>
                <w:szCs w:val="12"/>
                <w:b w:val="1"/>
                <w:bCs w:val="1"/>
                <w:color w:val="auto"/>
                <w:w w:val="88"/>
              </w:rPr>
              <w:t>Cash Settlement Amount</w:t>
            </w:r>
          </w:p>
        </w:tc>
      </w:tr>
      <w:tr>
        <w:trPr>
          <w:trHeight w:val="187"/>
        </w:trPr>
        <w:tc>
          <w:tcPr>
            <w:tcW w:w="3240" w:type="dxa"/>
            <w:vAlign w:val="bottom"/>
          </w:tcPr>
          <w:p>
            <w:pPr>
              <w:spacing w:after="0"/>
              <w:rPr>
                <w:sz w:val="16"/>
                <w:szCs w:val="16"/>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$7.00</w:t>
            </w:r>
          </w:p>
        </w:tc>
        <w:tc>
          <w:tcPr>
            <w:tcW w:w="1320" w:type="dxa"/>
            <w:vAlign w:val="bottom"/>
          </w:tcPr>
          <w:p>
            <w:pPr>
              <w:spacing w:after="0"/>
              <w:rPr>
                <w:sz w:val="16"/>
                <w:szCs w:val="16"/>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$180,407</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$210,792</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$244,435</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$281,508</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$322,085</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$366,387</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$414,291</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$466,088</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$9.00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521,803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Dealer may adjust the table above upon the occurrence of any event or condition that would have allowed Dealer to adjust the terms of the Call Option Transactions under the Call Option Confirmations.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Call Option Termination Agreement</w:t>
      </w:r>
      <w:r>
        <w:rPr>
          <w:rFonts w:ascii="Arial" w:cs="Arial" w:eastAsia="Arial" w:hAnsi="Arial"/>
          <w:sz w:val="12"/>
          <w:szCs w:val="12"/>
          <w:color w:val="auto"/>
        </w:rPr>
        <w:t>]</w:t>
      </w:r>
    </w:p>
    <w:p>
      <w:pPr>
        <w:sectPr>
          <w:pgSz w:w="11900" w:h="16838" w:orient="portrait"/>
          <w:cols w:equalWidth="0" w:num="1">
            <w:col w:w="11480"/>
          </w:cols>
          <w:pgMar w:left="220" w:top="725" w:right="19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WARRANT TERMINATION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dated as of June 29,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Between EZCORP, INC. and MORGAN STANLEY &amp; CO.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2923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72923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THIS WARRANT TERMINATION AGREEMENT (this “</w:t>
      </w:r>
      <w:r>
        <w:rPr>
          <w:rFonts w:ascii="Arial" w:cs="Arial" w:eastAsia="Arial" w:hAnsi="Arial"/>
          <w:sz w:val="12"/>
          <w:szCs w:val="12"/>
          <w:b w:val="1"/>
          <w:bCs w:val="1"/>
          <w:color w:val="auto"/>
        </w:rPr>
        <w:t>Agreement</w:t>
      </w:r>
      <w:r>
        <w:rPr>
          <w:rFonts w:ascii="Arial" w:cs="Arial" w:eastAsia="Arial" w:hAnsi="Arial"/>
          <w:sz w:val="12"/>
          <w:szCs w:val="12"/>
          <w:color w:val="auto"/>
        </w:rPr>
        <w:t>”) with respect to the Warrants Confirmations (as defined below) is made as of June 29, 2017, between EZCORP, Inc. (“</w:t>
      </w:r>
      <w:r>
        <w:rPr>
          <w:rFonts w:ascii="Arial" w:cs="Arial" w:eastAsia="Arial" w:hAnsi="Arial"/>
          <w:sz w:val="12"/>
          <w:szCs w:val="12"/>
          <w:b w:val="1"/>
          <w:bCs w:val="1"/>
          <w:color w:val="auto"/>
        </w:rPr>
        <w:t>Company</w:t>
      </w:r>
      <w:r>
        <w:rPr>
          <w:rFonts w:ascii="Arial" w:cs="Arial" w:eastAsia="Arial" w:hAnsi="Arial"/>
          <w:sz w:val="12"/>
          <w:szCs w:val="12"/>
          <w:color w:val="auto"/>
        </w:rPr>
        <w:t>”) and Morgan Stanley &amp; Co. International plc (“</w:t>
      </w:r>
      <w:r>
        <w:rPr>
          <w:rFonts w:ascii="Arial" w:cs="Arial" w:eastAsia="Arial" w:hAnsi="Arial"/>
          <w:sz w:val="12"/>
          <w:szCs w:val="12"/>
          <w:b w:val="1"/>
          <w:bCs w:val="1"/>
          <w:color w:val="auto"/>
        </w:rPr>
        <w:t>Dealer</w:t>
      </w:r>
      <w:r>
        <w:rPr>
          <w:rFonts w:ascii="Arial" w:cs="Arial" w:eastAsia="Arial" w:hAnsi="Arial"/>
          <w:sz w:val="12"/>
          <w:szCs w:val="12"/>
          <w:color w:val="auto"/>
        </w:rPr>
        <w:t>”).</w:t>
      </w:r>
    </w:p>
    <w:p>
      <w:pPr>
        <w:spacing w:after="0" w:line="8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WHEREAS, Dealer and Company entered into a Base Warrants Transaction (the “</w:t>
      </w:r>
      <w:r>
        <w:rPr>
          <w:rFonts w:ascii="Arial" w:cs="Arial" w:eastAsia="Arial" w:hAnsi="Arial"/>
          <w:sz w:val="12"/>
          <w:szCs w:val="12"/>
          <w:b w:val="1"/>
          <w:bCs w:val="1"/>
          <w:color w:val="auto"/>
        </w:rPr>
        <w:t>Base Warrants Transaction</w:t>
      </w:r>
      <w:r>
        <w:rPr>
          <w:rFonts w:ascii="Arial" w:cs="Arial" w:eastAsia="Arial" w:hAnsi="Arial"/>
          <w:sz w:val="12"/>
          <w:szCs w:val="12"/>
          <w:color w:val="auto"/>
        </w:rPr>
        <w:t>”) pursuant to a letter agreement re: Base Warrants dated as of June 17, 2014 confirming the terms of a warrant transaction whereby Dealer purchased from Company 5,913,475 warrants (as amended by that certain amendment agreement dated as of June 27, 2014 and as may be further amended, modified, terminated or unwound from time to time, the “</w:t>
      </w:r>
      <w:r>
        <w:rPr>
          <w:rFonts w:ascii="Arial" w:cs="Arial" w:eastAsia="Arial" w:hAnsi="Arial"/>
          <w:sz w:val="12"/>
          <w:szCs w:val="12"/>
          <w:b w:val="1"/>
          <w:bCs w:val="1"/>
          <w:color w:val="auto"/>
        </w:rPr>
        <w:t>Base Warrants Confirmation</w:t>
      </w:r>
      <w:r>
        <w:rPr>
          <w:rFonts w:ascii="Arial" w:cs="Arial" w:eastAsia="Arial" w:hAnsi="Arial"/>
          <w:sz w:val="12"/>
          <w:szCs w:val="12"/>
          <w:color w:val="auto"/>
        </w:rPr>
        <w:t>”);</w:t>
      </w:r>
    </w:p>
    <w:p>
      <w:pPr>
        <w:spacing w:after="0" w:line="89" w:lineRule="exact"/>
        <w:rPr>
          <w:sz w:val="20"/>
          <w:szCs w:val="20"/>
          <w:color w:val="auto"/>
        </w:rPr>
      </w:pPr>
    </w:p>
    <w:p>
      <w:pPr>
        <w:jc w:val="both"/>
        <w:ind w:right="60" w:firstLine="432"/>
        <w:spacing w:after="0" w:line="267" w:lineRule="auto"/>
        <w:rPr>
          <w:sz w:val="20"/>
          <w:szCs w:val="20"/>
          <w:color w:val="auto"/>
        </w:rPr>
      </w:pPr>
      <w:r>
        <w:rPr>
          <w:rFonts w:ascii="Arial" w:cs="Arial" w:eastAsia="Arial" w:hAnsi="Arial"/>
          <w:sz w:val="12"/>
          <w:szCs w:val="12"/>
          <w:color w:val="auto"/>
        </w:rPr>
        <w:t>WHEREAS, Dealer and Company entered into an Additional Warrants Transaction (the “</w:t>
      </w:r>
      <w:r>
        <w:rPr>
          <w:rFonts w:ascii="Arial" w:cs="Arial" w:eastAsia="Arial" w:hAnsi="Arial"/>
          <w:sz w:val="12"/>
          <w:szCs w:val="12"/>
          <w:b w:val="1"/>
          <w:bCs w:val="1"/>
          <w:color w:val="auto"/>
        </w:rPr>
        <w:t>Additional Warrants Transaction</w:t>
      </w:r>
      <w:r>
        <w:rPr>
          <w:rFonts w:ascii="Arial" w:cs="Arial" w:eastAsia="Arial" w:hAnsi="Arial"/>
          <w:sz w:val="12"/>
          <w:szCs w:val="12"/>
          <w:color w:val="auto"/>
        </w:rPr>
        <w:t>” and, together with the Base Warrants Transaction, the “</w:t>
      </w:r>
      <w:r>
        <w:rPr>
          <w:rFonts w:ascii="Arial" w:cs="Arial" w:eastAsia="Arial" w:hAnsi="Arial"/>
          <w:sz w:val="12"/>
          <w:szCs w:val="12"/>
          <w:b w:val="1"/>
          <w:bCs w:val="1"/>
          <w:color w:val="auto"/>
        </w:rPr>
        <w:t>Warrants Transactions</w:t>
      </w:r>
      <w:r>
        <w:rPr>
          <w:rFonts w:ascii="Arial" w:cs="Arial" w:eastAsia="Arial" w:hAnsi="Arial"/>
          <w:sz w:val="12"/>
          <w:szCs w:val="12"/>
          <w:color w:val="auto"/>
        </w:rPr>
        <w:t>”) pursuant to a letter agreement re: Additional Warrants dated as of June 27, 2014 confirming the terms of an additional warrant transaction whereby Dealer purchased from Company 887,021 warrants (as amended, modified, terminated or unwound from time to time, the “</w:t>
      </w:r>
      <w:r>
        <w:rPr>
          <w:rFonts w:ascii="Arial" w:cs="Arial" w:eastAsia="Arial" w:hAnsi="Arial"/>
          <w:sz w:val="12"/>
          <w:szCs w:val="12"/>
          <w:b w:val="1"/>
          <w:bCs w:val="1"/>
          <w:color w:val="auto"/>
        </w:rPr>
        <w:t>Additional Warrants Confirmation</w:t>
      </w:r>
      <w:r>
        <w:rPr>
          <w:rFonts w:ascii="Arial" w:cs="Arial" w:eastAsia="Arial" w:hAnsi="Arial"/>
          <w:sz w:val="12"/>
          <w:szCs w:val="12"/>
          <w:color w:val="auto"/>
        </w:rPr>
        <w:t>” and, together with the Base Warrants Confirmation, the “</w:t>
      </w:r>
      <w:r>
        <w:rPr>
          <w:rFonts w:ascii="Arial" w:cs="Arial" w:eastAsia="Arial" w:hAnsi="Arial"/>
          <w:sz w:val="12"/>
          <w:szCs w:val="12"/>
          <w:b w:val="1"/>
          <w:bCs w:val="1"/>
          <w:color w:val="auto"/>
        </w:rPr>
        <w:t>Warrants Confirmations</w:t>
      </w:r>
      <w:r>
        <w:rPr>
          <w:rFonts w:ascii="Arial" w:cs="Arial" w:eastAsia="Arial" w:hAnsi="Arial"/>
          <w:sz w:val="12"/>
          <w:szCs w:val="12"/>
          <w:color w:val="auto"/>
        </w:rPr>
        <w:t>”); and</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Company has requested a full termination of the Additional Warrants Transaction and partial termination of the Base Warrants Transaction;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their mutual covenants herein contained, the parties hereto, intending to be legally bound, hereby mutually covenant and agree as follows:</w:t>
      </w:r>
    </w:p>
    <w:p>
      <w:pPr>
        <w:spacing w:after="0" w:line="123" w:lineRule="exact"/>
        <w:rPr>
          <w:sz w:val="20"/>
          <w:szCs w:val="20"/>
          <w:color w:val="auto"/>
        </w:rPr>
      </w:pPr>
    </w:p>
    <w:p>
      <w:pPr>
        <w:ind w:left="640" w:hanging="216"/>
        <w:spacing w:after="0"/>
        <w:tabs>
          <w:tab w:leader="none" w:pos="640"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Defined Terms</w:t>
      </w:r>
      <w:r>
        <w:rPr>
          <w:rFonts w:ascii="Arial" w:cs="Arial" w:eastAsia="Arial" w:hAnsi="Arial"/>
          <w:sz w:val="12"/>
          <w:szCs w:val="12"/>
          <w:color w:val="auto"/>
        </w:rPr>
        <w:t>. Any capitalized term not otherwise defined herein shall have the meaning set forth for such term in the Warrants Confirmations.</w:t>
      </w:r>
    </w:p>
    <w:p>
      <w:pPr>
        <w:spacing w:after="0" w:line="150" w:lineRule="exact"/>
        <w:rPr>
          <w:rFonts w:ascii="Arial" w:cs="Arial" w:eastAsia="Arial" w:hAnsi="Arial"/>
          <w:sz w:val="12"/>
          <w:szCs w:val="12"/>
          <w:color w:val="auto"/>
        </w:rPr>
      </w:pPr>
    </w:p>
    <w:p>
      <w:pPr>
        <w:jc w:val="both"/>
        <w:ind w:firstLine="424"/>
        <w:spacing w:after="0" w:line="298" w:lineRule="auto"/>
        <w:tabs>
          <w:tab w:leader="none" w:pos="642" w:val="left"/>
        </w:tabs>
        <w:numPr>
          <w:ilvl w:val="0"/>
          <w:numId w:val="57"/>
        </w:numPr>
        <w:rPr>
          <w:rFonts w:ascii="Arial" w:cs="Arial" w:eastAsia="Arial" w:hAnsi="Arial"/>
          <w:sz w:val="11"/>
          <w:szCs w:val="11"/>
          <w:color w:val="auto"/>
        </w:rPr>
      </w:pPr>
      <w:r>
        <w:rPr>
          <w:rFonts w:ascii="Arial" w:cs="Arial" w:eastAsia="Arial" w:hAnsi="Arial"/>
          <w:sz w:val="11"/>
          <w:szCs w:val="11"/>
          <w:u w:val="single" w:color="auto"/>
          <w:color w:val="auto"/>
        </w:rPr>
        <w:t>Termination and Amendment</w:t>
      </w:r>
      <w:r>
        <w:rPr>
          <w:rFonts w:ascii="Arial" w:cs="Arial" w:eastAsia="Arial" w:hAnsi="Arial"/>
          <w:sz w:val="11"/>
          <w:szCs w:val="11"/>
          <w:color w:val="auto"/>
        </w:rPr>
        <w:t>. Notwithstanding anything to the contrary in the Warrants Confirmations, Company and Dealer agree that, effective on the date hereof, (i) the Additional Warrants Transaction shall automatically terminate and all of the respective rights and obligations of the parties under the Additional Warrants Confirmation shall be terminated, cancelled and extinguished and (ii) the Number of Warrants under the Base Warrants Transaction shall be reduced to 5,765,638, and in connection therewith Company shall be required to pay to Dealer the Cash Settlement Amount on the Payment Date pursuant to Sections 3 and 4 below.</w:t>
      </w:r>
    </w:p>
    <w:p>
      <w:pPr>
        <w:spacing w:after="0" w:line="105" w:lineRule="exact"/>
        <w:rPr>
          <w:rFonts w:ascii="Arial" w:cs="Arial" w:eastAsia="Arial" w:hAnsi="Arial"/>
          <w:sz w:val="11"/>
          <w:szCs w:val="11"/>
          <w:color w:val="auto"/>
        </w:rPr>
      </w:pPr>
    </w:p>
    <w:p>
      <w:pPr>
        <w:jc w:val="both"/>
        <w:ind w:firstLine="424"/>
        <w:spacing w:after="0" w:line="257" w:lineRule="auto"/>
        <w:tabs>
          <w:tab w:leader="none" w:pos="669"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Procedures for Hedge Unwind</w:t>
      </w:r>
      <w:r>
        <w:rPr>
          <w:rFonts w:ascii="Arial" w:cs="Arial" w:eastAsia="Arial" w:hAnsi="Arial"/>
          <w:sz w:val="12"/>
          <w:szCs w:val="12"/>
          <w:color w:val="auto"/>
        </w:rPr>
        <w:t>. On each Hedge Unwind Date (as defined below), Dealer (or an affiliate of Dealer), for the account of Dealer, shall unwind a portion of its hedge of the Warrants underlying the Warrants Transactions being terminated hereunder (the period of ten consecutive Scheduled Trading Days beginning on and including the Exchange Business Day following the Effective Date (as defined below, and such Exchange Business Day, the “</w:t>
      </w:r>
      <w:r>
        <w:rPr>
          <w:rFonts w:ascii="Arial" w:cs="Arial" w:eastAsia="Arial" w:hAnsi="Arial"/>
          <w:sz w:val="12"/>
          <w:szCs w:val="12"/>
          <w:b w:val="1"/>
          <w:bCs w:val="1"/>
          <w:color w:val="auto"/>
        </w:rPr>
        <w:t>Start Date</w:t>
      </w:r>
      <w:r>
        <w:rPr>
          <w:rFonts w:ascii="Arial" w:cs="Arial" w:eastAsia="Arial" w:hAnsi="Arial"/>
          <w:sz w:val="12"/>
          <w:szCs w:val="12"/>
          <w:color w:val="auto"/>
        </w:rPr>
        <w:t>”) being collectively referred to as the “</w:t>
      </w:r>
      <w:r>
        <w:rPr>
          <w:rFonts w:ascii="Arial" w:cs="Arial" w:eastAsia="Arial" w:hAnsi="Arial"/>
          <w:sz w:val="12"/>
          <w:szCs w:val="12"/>
          <w:b w:val="1"/>
          <w:bCs w:val="1"/>
          <w:color w:val="auto"/>
        </w:rPr>
        <w:t>Hedge Unwind Period</w:t>
      </w:r>
      <w:r>
        <w:rPr>
          <w:rFonts w:ascii="Arial" w:cs="Arial" w:eastAsia="Arial" w:hAnsi="Arial"/>
          <w:sz w:val="12"/>
          <w:szCs w:val="12"/>
          <w:color w:val="auto"/>
        </w:rPr>
        <w:t>” (subject to extension pursuant to the proviso in the immediately following sentence)). A “</w:t>
      </w:r>
      <w:r>
        <w:rPr>
          <w:rFonts w:ascii="Arial" w:cs="Arial" w:eastAsia="Arial" w:hAnsi="Arial"/>
          <w:sz w:val="12"/>
          <w:szCs w:val="12"/>
          <w:b w:val="1"/>
          <w:bCs w:val="1"/>
          <w:color w:val="auto"/>
        </w:rPr>
        <w:t>Hedge Unwind Date</w:t>
      </w:r>
      <w:r>
        <w:rPr>
          <w:rFonts w:ascii="Arial" w:cs="Arial" w:eastAsia="Arial" w:hAnsi="Arial"/>
          <w:sz w:val="12"/>
          <w:szCs w:val="12"/>
          <w:color w:val="auto"/>
        </w:rPr>
        <w:t xml:space="preserve">” means the Start Date and each Scheduled Trading Day in the Hedge Unwind Period;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any such date is a Disrupted Day in whole, such date shall not constitute a Hedge Unwind Date, and an additional Hedge Unwind Date shall occur on the Scheduled Trading Day after the date that would otherwise be the final Hedge Unwind Date.</w:t>
      </w:r>
    </w:p>
    <w:p>
      <w:pPr>
        <w:spacing w:after="0" w:line="125" w:lineRule="exact"/>
        <w:rPr>
          <w:rFonts w:ascii="Arial" w:cs="Arial" w:eastAsia="Arial" w:hAnsi="Arial"/>
          <w:sz w:val="12"/>
          <w:szCs w:val="12"/>
          <w:color w:val="auto"/>
        </w:rPr>
      </w:pPr>
    </w:p>
    <w:p>
      <w:pPr>
        <w:jc w:val="both"/>
        <w:ind w:firstLine="424"/>
        <w:spacing w:after="0" w:line="255" w:lineRule="auto"/>
        <w:tabs>
          <w:tab w:leader="none" w:pos="687"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Payments and Deliveries</w:t>
      </w:r>
      <w:r>
        <w:rPr>
          <w:rFonts w:ascii="Arial" w:cs="Arial" w:eastAsia="Arial" w:hAnsi="Arial"/>
          <w:sz w:val="12"/>
          <w:szCs w:val="12"/>
          <w:color w:val="auto"/>
        </w:rPr>
        <w:t>. On the third Scheduled Trading Day following the final Hedge Unwind Date or, if such day is not a Clearance System Business Day, on the next Clearance System Business Day immediately following such day (the “</w:t>
      </w:r>
      <w:r>
        <w:rPr>
          <w:rFonts w:ascii="Arial" w:cs="Arial" w:eastAsia="Arial" w:hAnsi="Arial"/>
          <w:sz w:val="12"/>
          <w:szCs w:val="12"/>
          <w:b w:val="1"/>
          <w:bCs w:val="1"/>
          <w:color w:val="auto"/>
        </w:rPr>
        <w:t>Payment Date</w:t>
      </w:r>
      <w:r>
        <w:rPr>
          <w:rFonts w:ascii="Arial" w:cs="Arial" w:eastAsia="Arial" w:hAnsi="Arial"/>
          <w:sz w:val="12"/>
          <w:szCs w:val="12"/>
          <w:color w:val="auto"/>
        </w:rPr>
        <w:t>”), Company shall pay to Dealer in immediately available funds cash in an amount equal to the Cash Settlement Amount. The “</w:t>
      </w:r>
      <w:r>
        <w:rPr>
          <w:rFonts w:ascii="Arial" w:cs="Arial" w:eastAsia="Arial" w:hAnsi="Arial"/>
          <w:sz w:val="12"/>
          <w:szCs w:val="12"/>
          <w:b w:val="1"/>
          <w:bCs w:val="1"/>
          <w:color w:val="auto"/>
        </w:rPr>
        <w:t>Cash Settlement Amount</w:t>
      </w:r>
      <w:r>
        <w:rPr>
          <w:rFonts w:ascii="Arial" w:cs="Arial" w:eastAsia="Arial" w:hAnsi="Arial"/>
          <w:sz w:val="12"/>
          <w:szCs w:val="12"/>
          <w:color w:val="auto"/>
        </w:rPr>
        <w:t>” shall mean an amount in US Dollars determined by Dealer according to the table set forth in Schedule A attached hereto (using linear interpolation or commercially reasonable extrapolation by Dealer, as applicable, to determine the Cash Settlement Amount for any Average VWAP not specifically appearing in Schedule A). “</w:t>
      </w:r>
      <w:r>
        <w:rPr>
          <w:rFonts w:ascii="Arial" w:cs="Arial" w:eastAsia="Arial" w:hAnsi="Arial"/>
          <w:sz w:val="12"/>
          <w:szCs w:val="12"/>
          <w:b w:val="1"/>
          <w:bCs w:val="1"/>
          <w:color w:val="auto"/>
        </w:rPr>
        <w:t>Average VWAP</w:t>
      </w:r>
      <w:r>
        <w:rPr>
          <w:rFonts w:ascii="Arial" w:cs="Arial" w:eastAsia="Arial" w:hAnsi="Arial"/>
          <w:sz w:val="12"/>
          <w:szCs w:val="12"/>
          <w:color w:val="auto"/>
        </w:rPr>
        <w:t>” means the arithmetic average of the VWAP Prices for each Hedge Unwind Date during the Hedge Unwind Period. “</w:t>
      </w:r>
      <w:r>
        <w:rPr>
          <w:rFonts w:ascii="Arial" w:cs="Arial" w:eastAsia="Arial" w:hAnsi="Arial"/>
          <w:sz w:val="12"/>
          <w:szCs w:val="12"/>
          <w:b w:val="1"/>
          <w:bCs w:val="1"/>
          <w:color w:val="auto"/>
        </w:rPr>
        <w:t>VWAP Price</w:t>
      </w:r>
      <w:r>
        <w:rPr>
          <w:rFonts w:ascii="Arial" w:cs="Arial" w:eastAsia="Arial" w:hAnsi="Arial"/>
          <w:sz w:val="12"/>
          <w:szCs w:val="12"/>
          <w:color w:val="auto"/>
        </w:rPr>
        <w:t>” for any Scheduled Trading Day means the per Share volume-weighted average price as displayed under the heading “Bloomberg VWAP” on Bloomberg page EZPW &lt;equity&gt; AQR (or any successor thereto) in respect of the period from 9:30 am to 4:00 pm (New York City time) on such Scheduled Trading Day (or if such volume-weighted average price is</w:t>
      </w:r>
    </w:p>
    <w:p>
      <w:pPr>
        <w:sectPr>
          <w:pgSz w:w="11900" w:h="16838" w:orient="portrait"/>
          <w:cols w:equalWidth="0" w:num="1">
            <w:col w:w="11480"/>
          </w:cols>
          <w:pgMar w:left="220" w:top="680" w:right="199" w:bottom="1440" w:gutter="0" w:footer="0" w:header="0"/>
        </w:sectPr>
      </w:pPr>
    </w:p>
    <w:bookmarkStart w:id="75" w:name="page76"/>
    <w:bookmarkEnd w:id="75"/>
    <w:p>
      <w:pPr>
        <w:jc w:val="both"/>
        <w:spacing w:after="0" w:line="290" w:lineRule="auto"/>
        <w:rPr>
          <w:sz w:val="20"/>
          <w:szCs w:val="20"/>
          <w:color w:val="auto"/>
        </w:rPr>
      </w:pPr>
      <w:r>
        <w:rPr>
          <w:rFonts w:ascii="Arial" w:cs="Arial" w:eastAsia="Arial" w:hAnsi="Arial"/>
          <w:sz w:val="11"/>
          <w:szCs w:val="11"/>
          <w:color w:val="auto"/>
        </w:rPr>
        <w:t>unavailable, the market value of one Share on such Scheduled Trading Day for such time period, as determined by Dealer). Notwithstanding the foregoing, if any Scheduled Trading Day in the Hedge Unwind Period is a Disrupted Day (in whole or in part), then the VWAP Price for such Scheduled Trading Day(s) shall be the volume-weighted average price per Share on such Scheduled Trading Day on the Exchange for such time period, as determined by Dealer based on such sources as it deems appropriate using a volume-weighted methodology, for the portion of such Scheduled Trading Day for which Dealer determines there is no Market Disruption Event with respect to the Shares (if any) and the number of Hedge Unwind Dates and the Cash Settlement Amount shall be adjusted by Dealer in its good faith, commercially reasonable discretion to account for such disruption and/or extension.</w:t>
      </w:r>
    </w:p>
    <w:p>
      <w:pPr>
        <w:spacing w:after="0" w:line="105" w:lineRule="exact"/>
        <w:rPr>
          <w:sz w:val="20"/>
          <w:szCs w:val="20"/>
          <w:color w:val="auto"/>
        </w:rPr>
      </w:pPr>
    </w:p>
    <w:p>
      <w:pPr>
        <w:jc w:val="both"/>
        <w:ind w:firstLine="424"/>
        <w:spacing w:after="0" w:line="292" w:lineRule="auto"/>
        <w:tabs>
          <w:tab w:leader="none" w:pos="669" w:val="left"/>
        </w:tabs>
        <w:numPr>
          <w:ilvl w:val="0"/>
          <w:numId w:val="58"/>
        </w:numPr>
        <w:rPr>
          <w:rFonts w:ascii="Arial" w:cs="Arial" w:eastAsia="Arial" w:hAnsi="Arial"/>
          <w:sz w:val="11"/>
          <w:szCs w:val="11"/>
          <w:color w:val="auto"/>
        </w:rPr>
      </w:pPr>
      <w:r>
        <w:rPr>
          <w:rFonts w:ascii="Arial" w:cs="Arial" w:eastAsia="Arial" w:hAnsi="Arial"/>
          <w:sz w:val="11"/>
          <w:szCs w:val="11"/>
          <w:u w:val="single" w:color="auto"/>
          <w:color w:val="auto"/>
        </w:rPr>
        <w:t>Effectiveness</w:t>
      </w:r>
      <w:r>
        <w:rPr>
          <w:rFonts w:ascii="Arial" w:cs="Arial" w:eastAsia="Arial" w:hAnsi="Arial"/>
          <w:sz w:val="11"/>
          <w:szCs w:val="11"/>
          <w:color w:val="auto"/>
        </w:rPr>
        <w:t>. This Agreement, including the termination and amendment of the Warrant Confirmations as set forth herein, shall be effective upon the date (the “</w:t>
      </w:r>
      <w:r>
        <w:rPr>
          <w:rFonts w:ascii="Arial" w:cs="Arial" w:eastAsia="Arial" w:hAnsi="Arial"/>
          <w:sz w:val="11"/>
          <w:szCs w:val="11"/>
          <w:b w:val="1"/>
          <w:bCs w:val="1"/>
          <w:color w:val="auto"/>
        </w:rPr>
        <w:t>Effective Date</w:t>
      </w:r>
      <w:r>
        <w:rPr>
          <w:rFonts w:ascii="Arial" w:cs="Arial" w:eastAsia="Arial" w:hAnsi="Arial"/>
          <w:sz w:val="11"/>
          <w:szCs w:val="11"/>
          <w:color w:val="auto"/>
        </w:rPr>
        <w:t>”) that each of (i) Company’s offering of its 2.875% Convertible Senior Notes due 2024 and (ii) Company’s repurchase of its 2.125% Cash Convertible Senior Notes due 2019 has been consummated and settled. If, for any reason, the Effective Date has not occurred on or prior to July 5, 2017, (i) this Agreement shall automatically terminate and all of the respective rights and obligations of Company and Dealer hereunder shall be cancelled, terminated and discharged and (ii) each party shall be released and discharged by the other party from, and agrees not to make any claim against the other party with respect to, any obligations or liabilities of the other party arising out of and to be performed in connection with this Agreement.</w:t>
      </w:r>
    </w:p>
    <w:p>
      <w:pPr>
        <w:spacing w:after="0" w:line="109" w:lineRule="exact"/>
        <w:rPr>
          <w:rFonts w:ascii="Arial" w:cs="Arial" w:eastAsia="Arial" w:hAnsi="Arial"/>
          <w:sz w:val="11"/>
          <w:szCs w:val="11"/>
          <w:color w:val="auto"/>
        </w:rPr>
      </w:pPr>
    </w:p>
    <w:p>
      <w:pPr>
        <w:ind w:left="640" w:hanging="216"/>
        <w:spacing w:after="0"/>
        <w:tabs>
          <w:tab w:leader="none" w:pos="640"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Company</w:t>
      </w:r>
      <w:r>
        <w:rPr>
          <w:rFonts w:ascii="Arial" w:cs="Arial" w:eastAsia="Arial" w:hAnsi="Arial"/>
          <w:sz w:val="12"/>
          <w:szCs w:val="12"/>
          <w:color w:val="auto"/>
        </w:rPr>
        <w:t>. Company represents and warrants to Dealer (and agrees with Dealer in the case of Section 6(g)(ii))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58"/>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58"/>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58"/>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1020" w:hanging="163"/>
        <w:spacing w:after="0"/>
        <w:tabs>
          <w:tab w:leader="none" w:pos="1020" w:val="left"/>
        </w:tabs>
        <w:numPr>
          <w:ilvl w:val="1"/>
          <w:numId w:val="58"/>
        </w:numPr>
        <w:rPr>
          <w:rFonts w:ascii="Arial" w:cs="Arial" w:eastAsia="Arial" w:hAnsi="Arial"/>
          <w:sz w:val="12"/>
          <w:szCs w:val="12"/>
          <w:color w:val="auto"/>
        </w:rPr>
      </w:pPr>
      <w:r>
        <w:rPr>
          <w:rFonts w:ascii="Arial" w:cs="Arial" w:eastAsia="Arial" w:hAnsi="Arial"/>
          <w:sz w:val="12"/>
          <w:szCs w:val="12"/>
          <w:color w:val="auto"/>
        </w:rPr>
        <w:t>each of it and its affiliates is not in possession of any material nonpublic information regarding Company or the Shares;</w:t>
      </w:r>
    </w:p>
    <w:p>
      <w:pPr>
        <w:spacing w:after="0" w:line="150" w:lineRule="exact"/>
        <w:rPr>
          <w:rFonts w:ascii="Arial" w:cs="Arial" w:eastAsia="Arial" w:hAnsi="Arial"/>
          <w:sz w:val="12"/>
          <w:szCs w:val="12"/>
          <w:color w:val="auto"/>
        </w:rPr>
      </w:pPr>
    </w:p>
    <w:p>
      <w:pPr>
        <w:jc w:val="both"/>
        <w:ind w:firstLine="857"/>
        <w:spacing w:after="0" w:line="298" w:lineRule="auto"/>
        <w:tabs>
          <w:tab w:leader="none" w:pos="1015" w:val="left"/>
        </w:tabs>
        <w:numPr>
          <w:ilvl w:val="1"/>
          <w:numId w:val="58"/>
        </w:numPr>
        <w:rPr>
          <w:rFonts w:ascii="Arial" w:cs="Arial" w:eastAsia="Arial" w:hAnsi="Arial"/>
          <w:sz w:val="11"/>
          <w:szCs w:val="11"/>
          <w:color w:val="auto"/>
        </w:rPr>
      </w:pPr>
      <w:r>
        <w:rPr>
          <w:rFonts w:ascii="Arial" w:cs="Arial" w:eastAsia="Arial" w:hAnsi="Arial"/>
          <w:sz w:val="11"/>
          <w:szCs w:val="11"/>
          <w:color w:val="auto"/>
        </w:rPr>
        <w:t>it is not entering into this Agreement to create actual or apparent trading activity in the Shares (or any security convertible into or exchangeable for the Shares), to raise or depress or otherwise manipulate the price of the Shares (or any security convertible into or exchangeable for the Shares), for the purpose of inducing the sale of the Shares (or any security convertible into or exchangeable for the Shares) by others or otherwise in violation of the Securities Exchange Act of 1934, as amended (the “</w:t>
      </w:r>
      <w:r>
        <w:rPr>
          <w:rFonts w:ascii="Arial" w:cs="Arial" w:eastAsia="Arial" w:hAnsi="Arial"/>
          <w:sz w:val="11"/>
          <w:szCs w:val="11"/>
          <w:b w:val="1"/>
          <w:bCs w:val="1"/>
          <w:color w:val="auto"/>
        </w:rPr>
        <w:t>Exchange Act</w:t>
      </w:r>
      <w:r>
        <w:rPr>
          <w:rFonts w:ascii="Arial" w:cs="Arial" w:eastAsia="Arial" w:hAnsi="Arial"/>
          <w:sz w:val="11"/>
          <w:szCs w:val="1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makes no representation or warranty with respect to Dealer’s Hedge Position (or any other dealer’s hedge position); and</w:t>
      </w:r>
    </w:p>
    <w:p>
      <w:pPr>
        <w:spacing w:after="0" w:line="101" w:lineRule="exact"/>
        <w:rPr>
          <w:rFonts w:ascii="Arial" w:cs="Arial" w:eastAsia="Arial" w:hAnsi="Arial"/>
          <w:sz w:val="11"/>
          <w:szCs w:val="11"/>
          <w:color w:val="auto"/>
        </w:rPr>
      </w:pPr>
    </w:p>
    <w:p>
      <w:pPr>
        <w:jc w:val="both"/>
        <w:ind w:firstLine="857"/>
        <w:spacing w:after="0" w:line="258" w:lineRule="auto"/>
        <w:tabs>
          <w:tab w:leader="none" w:pos="1035" w:val="left"/>
        </w:tabs>
        <w:numPr>
          <w:ilvl w:val="1"/>
          <w:numId w:val="58"/>
        </w:numPr>
        <w:rPr>
          <w:rFonts w:ascii="Arial" w:cs="Arial" w:eastAsia="Arial" w:hAnsi="Arial"/>
          <w:sz w:val="12"/>
          <w:szCs w:val="12"/>
          <w:color w:val="auto"/>
        </w:rPr>
      </w:pPr>
      <w:r>
        <w:rPr>
          <w:rFonts w:ascii="Arial" w:cs="Arial" w:eastAsia="Arial" w:hAnsi="Arial"/>
          <w:sz w:val="12"/>
          <w:szCs w:val="12"/>
          <w:color w:val="auto"/>
        </w:rPr>
        <w:t>(i) it is not on the date hereof, engaged in a distribution, as such term is used in Regulation M under the Exchange Act (“</w:t>
      </w:r>
      <w:r>
        <w:rPr>
          <w:rFonts w:ascii="Arial" w:cs="Arial" w:eastAsia="Arial" w:hAnsi="Arial"/>
          <w:sz w:val="12"/>
          <w:szCs w:val="12"/>
          <w:b w:val="1"/>
          <w:bCs w:val="1"/>
          <w:color w:val="auto"/>
        </w:rPr>
        <w:t>Regulation M”</w:t>
      </w:r>
      <w:r>
        <w:rPr>
          <w:rFonts w:ascii="Arial" w:cs="Arial" w:eastAsia="Arial" w:hAnsi="Arial"/>
          <w:sz w:val="12"/>
          <w:szCs w:val="12"/>
          <w:color w:val="auto"/>
        </w:rPr>
        <w:t xml:space="preserve">), of the Shares or any securities deemed “reference securities” (as defined in Regulation M) with respect to the Shares and (ii) it shall not engage in any such distribution during the period commencing on the date hereof and ending on the second Exchange Business Day immediately following the last day of the Hedge Unwind Period with respect to the Shares or such reference securities, unless it notifies Dealer, on the day immediately preceding the first day of the “restricted period” (as defined in Regulation M) of any such distribution, and of completion of such restricted period on the date such distribution is concluded;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connection with the notification with respect to the completion of the restricted period, it shall be deemed to repeat the representations contained in paragraphs (e) and (f) of this Section 6.</w:t>
      </w:r>
    </w:p>
    <w:p>
      <w:pPr>
        <w:spacing w:after="0" w:line="126" w:lineRule="exact"/>
        <w:rPr>
          <w:rFonts w:ascii="Arial" w:cs="Arial" w:eastAsia="Arial" w:hAnsi="Arial"/>
          <w:sz w:val="12"/>
          <w:szCs w:val="12"/>
          <w:color w:val="auto"/>
        </w:rPr>
      </w:pPr>
    </w:p>
    <w:p>
      <w:pPr>
        <w:ind w:left="640" w:hanging="216"/>
        <w:spacing w:after="0"/>
        <w:tabs>
          <w:tab w:leader="none" w:pos="640"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Dealer</w:t>
      </w:r>
      <w:r>
        <w:rPr>
          <w:rFonts w:ascii="Arial" w:cs="Arial" w:eastAsia="Arial" w:hAnsi="Arial"/>
          <w:sz w:val="12"/>
          <w:szCs w:val="12"/>
          <w:color w:val="auto"/>
        </w:rPr>
        <w:t>. Dealer represents and warrants to Company on the date hereof that: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581" w:right="199" w:bottom="1440" w:gutter="0" w:footer="0" w:header="0"/>
        </w:sectPr>
      </w:pPr>
    </w:p>
    <w:bookmarkStart w:id="76" w:name="page77"/>
    <w:bookmarkEnd w:id="76"/>
    <w:p>
      <w:pPr>
        <w:ind w:firstLine="857"/>
        <w:spacing w:after="0" w:line="276" w:lineRule="auto"/>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59"/>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59"/>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 and</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59"/>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left="640" w:hanging="216"/>
        <w:spacing w:after="0"/>
        <w:tabs>
          <w:tab w:leader="none" w:pos="640"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Account for Payment to Dealer</w:t>
      </w:r>
      <w:r>
        <w:rPr>
          <w:rFonts w:ascii="Arial" w:cs="Arial" w:eastAsia="Arial" w:hAnsi="Arial"/>
          <w:sz w:val="12"/>
          <w:szCs w:val="12"/>
          <w:color w:val="auto"/>
        </w:rPr>
        <w:t>:</w:t>
      </w:r>
    </w:p>
    <w:p>
      <w:pPr>
        <w:spacing w:after="0" w:line="150"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2"/>
          <w:szCs w:val="12"/>
          <w:color w:val="auto"/>
        </w:rPr>
        <w:t>Bank:</w:t>
      </w:r>
      <w:r>
        <w:rPr>
          <w:sz w:val="20"/>
          <w:szCs w:val="20"/>
          <w:color w:val="auto"/>
        </w:rPr>
        <w:tab/>
      </w:r>
      <w:r>
        <w:rPr>
          <w:rFonts w:ascii="Arial" w:cs="Arial" w:eastAsia="Arial" w:hAnsi="Arial"/>
          <w:sz w:val="11"/>
          <w:szCs w:val="11"/>
          <w:color w:val="auto"/>
        </w:rPr>
        <w:t>Citibank, N.A.</w:t>
      </w:r>
    </w:p>
    <w:p>
      <w:pPr>
        <w:spacing w:after="0" w:line="15"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12"/>
          <w:szCs w:val="12"/>
          <w:color w:val="auto"/>
        </w:rPr>
        <w:t>SWIFT:</w:t>
      </w:r>
      <w:r>
        <w:rPr>
          <w:sz w:val="20"/>
          <w:szCs w:val="20"/>
          <w:color w:val="auto"/>
        </w:rPr>
        <w:tab/>
      </w:r>
      <w:r>
        <w:rPr>
          <w:rFonts w:ascii="Arial" w:cs="Arial" w:eastAsia="Arial" w:hAnsi="Arial"/>
          <w:sz w:val="11"/>
          <w:szCs w:val="11"/>
          <w:color w:val="auto"/>
        </w:rPr>
        <w:t>CITIUS33</w:t>
      </w:r>
    </w:p>
    <w:p>
      <w:pPr>
        <w:spacing w:after="0" w:line="6"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2"/>
          <w:szCs w:val="12"/>
          <w:color w:val="auto"/>
        </w:rPr>
        <w:t>Bank Routing:</w:t>
      </w:r>
      <w:r>
        <w:rPr>
          <w:sz w:val="20"/>
          <w:szCs w:val="20"/>
          <w:color w:val="auto"/>
        </w:rPr>
        <w:tab/>
      </w:r>
      <w:r>
        <w:rPr>
          <w:rFonts w:ascii="Arial" w:cs="Arial" w:eastAsia="Arial" w:hAnsi="Arial"/>
          <w:sz w:val="10"/>
          <w:szCs w:val="10"/>
          <w:color w:val="auto"/>
        </w:rPr>
        <w:t>021-000-089</w:t>
      </w:r>
    </w:p>
    <w:p>
      <w:pPr>
        <w:spacing w:after="0" w:line="6" w:lineRule="exact"/>
        <w:rPr>
          <w:sz w:val="20"/>
          <w:szCs w:val="20"/>
          <w:color w:val="auto"/>
        </w:rPr>
      </w:pPr>
    </w:p>
    <w:p>
      <w:pPr>
        <w:ind w:left="860"/>
        <w:spacing w:after="0"/>
        <w:tabs>
          <w:tab w:leader="none" w:pos="1540" w:val="left"/>
        </w:tabs>
        <w:rPr>
          <w:sz w:val="20"/>
          <w:szCs w:val="20"/>
          <w:color w:val="auto"/>
        </w:rPr>
      </w:pPr>
      <w:r>
        <w:rPr>
          <w:rFonts w:ascii="Arial" w:cs="Arial" w:eastAsia="Arial" w:hAnsi="Arial"/>
          <w:sz w:val="12"/>
          <w:szCs w:val="12"/>
          <w:color w:val="auto"/>
        </w:rPr>
        <w:t>Acct Name:</w:t>
      </w:r>
      <w:r>
        <w:rPr>
          <w:sz w:val="20"/>
          <w:szCs w:val="20"/>
          <w:color w:val="auto"/>
        </w:rPr>
        <w:tab/>
      </w:r>
      <w:r>
        <w:rPr>
          <w:rFonts w:ascii="Arial" w:cs="Arial" w:eastAsia="Arial" w:hAnsi="Arial"/>
          <w:sz w:val="10"/>
          <w:szCs w:val="10"/>
          <w:color w:val="auto"/>
        </w:rPr>
        <w:t>Morgan Stanley and Co.</w:t>
      </w:r>
    </w:p>
    <w:p>
      <w:pPr>
        <w:spacing w:after="0" w:line="6"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2"/>
          <w:szCs w:val="12"/>
          <w:color w:val="auto"/>
        </w:rPr>
        <w:t>Acct No.:</w:t>
      </w:r>
      <w:r>
        <w:rPr>
          <w:sz w:val="20"/>
          <w:szCs w:val="20"/>
          <w:color w:val="auto"/>
        </w:rPr>
        <w:tab/>
      </w:r>
      <w:r>
        <w:rPr>
          <w:rFonts w:ascii="Arial" w:cs="Arial" w:eastAsia="Arial" w:hAnsi="Arial"/>
          <w:sz w:val="10"/>
          <w:szCs w:val="10"/>
          <w:color w:val="auto"/>
        </w:rPr>
        <w:t>30632076</w:t>
      </w:r>
    </w:p>
    <w:p>
      <w:pPr>
        <w:spacing w:after="0" w:line="141" w:lineRule="exact"/>
        <w:rPr>
          <w:sz w:val="20"/>
          <w:szCs w:val="20"/>
          <w:color w:val="auto"/>
        </w:rPr>
      </w:pPr>
    </w:p>
    <w:p>
      <w:pPr>
        <w:ind w:left="660" w:hanging="236"/>
        <w:spacing w:after="0"/>
        <w:tabs>
          <w:tab w:leader="none" w:pos="660"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any dispute arising hereunder shall be governed by and construed in accordance with the laws of the State of New York (without reference to choice of law doctrine).</w:t>
      </w:r>
    </w:p>
    <w:p>
      <w:pPr>
        <w:spacing w:after="0" w:line="150" w:lineRule="exact"/>
        <w:rPr>
          <w:rFonts w:ascii="Arial" w:cs="Arial" w:eastAsia="Arial" w:hAnsi="Arial"/>
          <w:sz w:val="12"/>
          <w:szCs w:val="12"/>
          <w:color w:val="auto"/>
        </w:rPr>
      </w:pPr>
    </w:p>
    <w:p>
      <w:pPr>
        <w:ind w:left="720" w:hanging="296"/>
        <w:spacing w:after="0"/>
        <w:tabs>
          <w:tab w:leader="none" w:pos="720" w:val="left"/>
        </w:tabs>
        <w:numPr>
          <w:ilvl w:val="0"/>
          <w:numId w:val="61"/>
        </w:numPr>
        <w:rPr>
          <w:rFonts w:ascii="Arial" w:cs="Arial" w:eastAsia="Arial" w:hAnsi="Arial"/>
          <w:sz w:val="11"/>
          <w:szCs w:val="11"/>
          <w:color w:val="auto"/>
        </w:rPr>
      </w:pP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signed in any number of counterparts, each of which shall be an original, with the same effect as if all of the signatures thereto and hereto were upon the same instrument.</w:t>
      </w:r>
    </w:p>
    <w:p>
      <w:pPr>
        <w:spacing w:after="0" w:line="161" w:lineRule="exact"/>
        <w:rPr>
          <w:rFonts w:ascii="Arial" w:cs="Arial" w:eastAsia="Arial" w:hAnsi="Arial"/>
          <w:sz w:val="11"/>
          <w:szCs w:val="11"/>
          <w:color w:val="auto"/>
        </w:rPr>
      </w:pPr>
    </w:p>
    <w:p>
      <w:pPr>
        <w:ind w:firstLine="424"/>
        <w:spacing w:after="0" w:line="276" w:lineRule="auto"/>
        <w:tabs>
          <w:tab w:leader="none" w:pos="725"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No Reliance, etc</w:t>
      </w:r>
      <w:r>
        <w:rPr>
          <w:rFonts w:ascii="Arial" w:cs="Arial" w:eastAsia="Arial" w:hAnsi="Arial"/>
          <w:sz w:val="12"/>
          <w:szCs w:val="12"/>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14" w:lineRule="exact"/>
        <w:rPr>
          <w:rFonts w:ascii="Arial" w:cs="Arial" w:eastAsia="Arial" w:hAnsi="Arial"/>
          <w:sz w:val="12"/>
          <w:szCs w:val="12"/>
          <w:color w:val="auto"/>
        </w:rPr>
      </w:pPr>
    </w:p>
    <w:p>
      <w:pPr>
        <w:jc w:val="both"/>
        <w:ind w:firstLine="424"/>
        <w:spacing w:after="0" w:line="263" w:lineRule="auto"/>
        <w:tabs>
          <w:tab w:leader="none" w:pos="711"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Designation by Dealer</w:t>
      </w:r>
      <w:r>
        <w:rPr>
          <w:rFonts w:ascii="Arial" w:cs="Arial" w:eastAsia="Arial" w:hAnsi="Arial"/>
          <w:sz w:val="12"/>
          <w:szCs w:val="12"/>
          <w:color w:val="auto"/>
        </w:rPr>
        <w:t>. Notwithstanding any other provision in this Agreement to the contrary requiring or allowing Dealer to purchase, sell, receive or deliver any Shares or other securities to or from Company, Dealer may designate any of its affiliates to purchase, sell, receive or deliver such shares or other securities and otherwise to perform Dealer obligations in respect of the transactions contemplated by this Agreement and any such designee may assume such obligations. Dealer shall be discharged of its obligations to Company to the extent of any such performance.</w:t>
      </w:r>
    </w:p>
    <w:p>
      <w:pPr>
        <w:spacing w:after="0" w:line="122" w:lineRule="exact"/>
        <w:rPr>
          <w:rFonts w:ascii="Arial" w:cs="Arial" w:eastAsia="Arial" w:hAnsi="Arial"/>
          <w:sz w:val="12"/>
          <w:szCs w:val="12"/>
          <w:color w:val="auto"/>
        </w:rPr>
      </w:pPr>
    </w:p>
    <w:p>
      <w:pPr>
        <w:jc w:val="both"/>
        <w:ind w:firstLine="424"/>
        <w:spacing w:after="0" w:line="263" w:lineRule="auto"/>
        <w:tabs>
          <w:tab w:leader="none" w:pos="747"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No Setoff; No Collateral</w:t>
      </w:r>
      <w:r>
        <w:rPr>
          <w:rFonts w:ascii="Arial" w:cs="Arial" w:eastAsia="Arial" w:hAnsi="Arial"/>
          <w:sz w:val="12"/>
          <w:szCs w:val="12"/>
          <w:color w:val="auto"/>
        </w:rPr>
        <w:t>. Notwithstanding any provision of this Agreement or any other agreement between the parties to the contrary, the obligations of Company hereunder are not, and shall not be, secured by any collateral. Each party waives any and all rights it may have to set off obligations arising under this Agreement and the Transaction against other obligations between the parties, whether arising under any other agreement, applicable law or otherwise.</w:t>
      </w:r>
    </w:p>
    <w:p>
      <w:pPr>
        <w:spacing w:after="0" w:line="122" w:lineRule="exact"/>
        <w:rPr>
          <w:rFonts w:ascii="Arial" w:cs="Arial" w:eastAsia="Arial" w:hAnsi="Arial"/>
          <w:sz w:val="12"/>
          <w:szCs w:val="12"/>
          <w:color w:val="auto"/>
        </w:rPr>
      </w:pPr>
    </w:p>
    <w:p>
      <w:pPr>
        <w:ind w:left="700" w:hanging="276"/>
        <w:spacing w:after="0"/>
        <w:tabs>
          <w:tab w:leader="none" w:pos="700"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No Other Changes</w:t>
      </w:r>
      <w:r>
        <w:rPr>
          <w:rFonts w:ascii="Arial" w:cs="Arial" w:eastAsia="Arial" w:hAnsi="Arial"/>
          <w:sz w:val="12"/>
          <w:szCs w:val="12"/>
          <w:color w:val="auto"/>
        </w:rPr>
        <w:t>. Except as expressly set forth herein, all of the terms and conditions of the Base Warrants Confirmation shall remain in full force and effect and are hereby confirmed in all respects.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Follows</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725" w:right="199" w:bottom="1440" w:gutter="0" w:footer="0" w:header="0"/>
        </w:sectPr>
      </w:pPr>
    </w:p>
    <w:bookmarkStart w:id="77" w:name="page78"/>
    <w:bookmarkEnd w:id="77"/>
    <w:p>
      <w:pPr>
        <w:spacing w:after="0"/>
        <w:rPr>
          <w:sz w:val="20"/>
          <w:szCs w:val="20"/>
          <w:color w:val="auto"/>
        </w:rPr>
      </w:pPr>
      <w:r>
        <w:rPr>
          <w:rFonts w:ascii="Arial" w:cs="Arial" w:eastAsia="Arial" w:hAnsi="Arial"/>
          <w:sz w:val="12"/>
          <w:szCs w:val="12"/>
          <w:color w:val="auto"/>
        </w:rPr>
        <w:t>IN WITNESS WHEREOF, the parties hereto have caused this Agreement to be duly executed as of the date first written above.</w:t>
      </w:r>
    </w:p>
    <w:p>
      <w:pPr>
        <w:spacing w:after="0" w:line="200" w:lineRule="exact"/>
        <w:rPr>
          <w:sz w:val="20"/>
          <w:szCs w:val="20"/>
          <w:color w:val="auto"/>
        </w:rPr>
      </w:pPr>
    </w:p>
    <w:p>
      <w:pPr>
        <w:spacing w:after="0" w:line="343"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Morgan Stanley &amp; Co. International plc</w:t>
      </w:r>
    </w:p>
    <w:p>
      <w:pPr>
        <w:spacing w:after="0" w:line="334" w:lineRule="exact"/>
        <w:rPr>
          <w:sz w:val="20"/>
          <w:szCs w:val="20"/>
          <w:color w:val="auto"/>
        </w:rPr>
      </w:pPr>
    </w:p>
    <w:tbl>
      <w:tblPr>
        <w:tblLayout w:type="fixed"/>
        <w:tblInd w:w="588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14"/>
                <w:szCs w:val="1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Stefan Ploetscher</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Stefan Ploetscher</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Executive Director</w:t>
            </w:r>
          </w:p>
        </w:tc>
      </w:tr>
      <w:tr>
        <w:trPr>
          <w:trHeight w:val="324"/>
        </w:trPr>
        <w:tc>
          <w:tcPr>
            <w:tcW w:w="51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Morgan Stanley &amp; Co. LLC, </w:t>
            </w:r>
            <w:r>
              <w:rPr>
                <w:rFonts w:ascii="Arial" w:cs="Arial" w:eastAsia="Arial" w:hAnsi="Arial"/>
                <w:sz w:val="12"/>
                <w:szCs w:val="12"/>
                <w:color w:val="auto"/>
              </w:rPr>
              <w:t>as Agent</w:t>
            </w:r>
          </w:p>
        </w:tc>
      </w:tr>
      <w:tr>
        <w:trPr>
          <w:trHeight w:val="477"/>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400" w:type="dxa"/>
            <w:vAlign w:val="bottom"/>
          </w:tcPr>
          <w:p>
            <w:pPr>
              <w:spacing w:after="0"/>
              <w:rPr>
                <w:sz w:val="24"/>
                <w:szCs w:val="24"/>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Sebastian Crapanzano</w:t>
            </w:r>
          </w:p>
        </w:tc>
      </w:tr>
      <w:tr>
        <w:trPr>
          <w:trHeight w:val="142"/>
        </w:trPr>
        <w:tc>
          <w:tcPr>
            <w:tcW w:w="320" w:type="dxa"/>
            <w:vAlign w:val="bottom"/>
          </w:tcPr>
          <w:p>
            <w:pPr>
              <w:spacing w:after="0"/>
              <w:rPr>
                <w:sz w:val="12"/>
                <w:szCs w:val="12"/>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Name: Sebastian Crapanzano</w:t>
            </w:r>
          </w:p>
        </w:tc>
      </w:tr>
      <w:tr>
        <w:trPr>
          <w:trHeight w:val="153"/>
        </w:trPr>
        <w:tc>
          <w:tcPr>
            <w:tcW w:w="320" w:type="dxa"/>
            <w:vAlign w:val="bottom"/>
          </w:tcPr>
          <w:p>
            <w:pPr>
              <w:spacing w:after="0"/>
              <w:rPr>
                <w:sz w:val="13"/>
                <w:szCs w:val="13"/>
                <w:color w:val="auto"/>
              </w:rPr>
            </w:pPr>
          </w:p>
        </w:tc>
        <w:tc>
          <w:tcPr>
            <w:tcW w:w="4860" w:type="dxa"/>
            <w:vAlign w:val="bottom"/>
            <w:gridSpan w:val="2"/>
          </w:tcPr>
          <w:p>
            <w:pPr>
              <w:ind w:left="160"/>
              <w:spacing w:after="0"/>
              <w:rPr>
                <w:sz w:val="20"/>
                <w:szCs w:val="20"/>
                <w:color w:val="auto"/>
              </w:rPr>
            </w:pPr>
            <w:r>
              <w:rPr>
                <w:rFonts w:ascii="Arial" w:cs="Arial" w:eastAsia="Arial" w:hAnsi="Arial"/>
                <w:sz w:val="12"/>
                <w:szCs w:val="12"/>
                <w:color w:val="auto"/>
              </w:rPr>
              <w:t>Title: Managing Director</w:t>
            </w:r>
          </w:p>
        </w:tc>
      </w:tr>
    </w:tbl>
    <w:p>
      <w:pPr>
        <w:spacing w:after="0" w:line="200" w:lineRule="exact"/>
        <w:rPr>
          <w:sz w:val="20"/>
          <w:szCs w:val="20"/>
          <w:color w:val="auto"/>
        </w:rPr>
      </w:pPr>
    </w:p>
    <w:p>
      <w:pPr>
        <w:spacing w:after="0" w:line="346"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369" w:lineRule="exact"/>
        <w:rPr>
          <w:sz w:val="20"/>
          <w:szCs w:val="20"/>
          <w:color w:val="auto"/>
        </w:rPr>
      </w:pPr>
    </w:p>
    <w:p>
      <w:pPr>
        <w:ind w:left="58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20955</wp:posOffset>
            </wp:positionV>
            <wp:extent cx="283083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2830830" cy="5715"/>
                    </a:xfrm>
                    <a:prstGeom prst="rect">
                      <a:avLst/>
                    </a:prstGeom>
                    <a:noFill/>
                  </pic:spPr>
                </pic:pic>
              </a:graphicData>
            </a:graphic>
          </wp:anchor>
        </w:drawing>
      </w:r>
    </w:p>
    <w:p>
      <w:pPr>
        <w:spacing w:after="0" w:line="31"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Thomas H. Welch, Jr.</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Title: Chief Legal Officer and Secretary</w:t>
      </w:r>
    </w:p>
    <w:p>
      <w:pPr>
        <w:spacing w:after="0" w:line="200" w:lineRule="exact"/>
        <w:rPr>
          <w:sz w:val="20"/>
          <w:szCs w:val="20"/>
          <w:color w:val="auto"/>
        </w:rPr>
      </w:pPr>
    </w:p>
    <w:p>
      <w:pPr>
        <w:spacing w:after="0" w:line="38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Warrant Termination Agreement</w:t>
      </w:r>
      <w:r>
        <w:rPr>
          <w:rFonts w:ascii="Arial" w:cs="Arial" w:eastAsia="Arial" w:hAnsi="Arial"/>
          <w:sz w:val="12"/>
          <w:szCs w:val="12"/>
          <w:color w:val="auto"/>
        </w:rPr>
        <w:t>]</w:t>
      </w:r>
    </w:p>
    <w:p>
      <w:pPr>
        <w:sectPr>
          <w:pgSz w:w="11900" w:h="16838" w:orient="portrait"/>
          <w:cols w:equalWidth="0" w:num="1">
            <w:col w:w="11060"/>
          </w:cols>
          <w:pgMar w:left="640" w:top="725" w:right="199" w:bottom="1440" w:gutter="0" w:footer="0" w:header="0"/>
        </w:sectPr>
      </w:pPr>
    </w:p>
    <w:bookmarkStart w:id="78" w:name="page79"/>
    <w:bookmarkEnd w:id="78"/>
    <w:p>
      <w:pPr>
        <w:jc w:val="right"/>
        <w:spacing w:after="0"/>
        <w:rPr>
          <w:sz w:val="20"/>
          <w:szCs w:val="20"/>
          <w:color w:val="auto"/>
        </w:rPr>
      </w:pPr>
      <w:r>
        <w:rPr>
          <w:rFonts w:ascii="Arial" w:cs="Arial" w:eastAsia="Arial" w:hAnsi="Arial"/>
          <w:sz w:val="14"/>
          <w:szCs w:val="14"/>
          <w:b w:val="1"/>
          <w:bCs w:val="1"/>
          <w:color w:val="auto"/>
        </w:rPr>
        <w:t>Schedule 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60" w:type="dxa"/>
            <w:vAlign w:val="bottom"/>
            <w:gridSpan w:val="3"/>
          </w:tcPr>
          <w:p>
            <w:pPr>
              <w:spacing w:after="0"/>
              <w:rPr>
                <w:sz w:val="20"/>
                <w:szCs w:val="20"/>
                <w:color w:val="auto"/>
              </w:rPr>
            </w:pPr>
            <w:r>
              <w:rPr>
                <w:rFonts w:ascii="Arial" w:cs="Arial" w:eastAsia="Arial" w:hAnsi="Arial"/>
                <w:sz w:val="12"/>
                <w:szCs w:val="12"/>
                <w:color w:val="auto"/>
              </w:rPr>
              <w:t>The Cash Settlement Amount shall be determined by Dealer according to the table below.</w:t>
            </w:r>
          </w:p>
        </w:tc>
        <w:tc>
          <w:tcPr>
            <w:tcW w:w="1280" w:type="dxa"/>
            <w:vAlign w:val="bottom"/>
          </w:tcPr>
          <w:p>
            <w:pPr>
              <w:spacing w:after="0"/>
              <w:rPr>
                <w:sz w:val="13"/>
                <w:szCs w:val="13"/>
                <w:color w:val="auto"/>
              </w:rPr>
            </w:pPr>
          </w:p>
        </w:tc>
      </w:tr>
      <w:tr>
        <w:trPr>
          <w:trHeight w:val="369"/>
        </w:trPr>
        <w:tc>
          <w:tcPr>
            <w:tcW w:w="32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Average VWAP</w:t>
            </w:r>
          </w:p>
        </w:tc>
        <w:tc>
          <w:tcPr>
            <w:tcW w:w="1280" w:type="dxa"/>
            <w:vAlign w:val="bottom"/>
          </w:tcPr>
          <w:p>
            <w:pPr>
              <w:spacing w:after="0"/>
              <w:rPr>
                <w:sz w:val="20"/>
                <w:szCs w:val="20"/>
                <w:color w:val="auto"/>
              </w:rPr>
            </w:pPr>
            <w:r>
              <w:rPr>
                <w:rFonts w:ascii="Arial" w:cs="Arial" w:eastAsia="Arial" w:hAnsi="Arial"/>
                <w:sz w:val="12"/>
                <w:szCs w:val="12"/>
                <w:b w:val="1"/>
                <w:bCs w:val="1"/>
                <w:color w:val="auto"/>
                <w:w w:val="88"/>
              </w:rPr>
              <w:t>Cash Settlement Amount</w:t>
            </w:r>
          </w:p>
        </w:tc>
      </w:tr>
      <w:tr>
        <w:trPr>
          <w:trHeight w:val="187"/>
        </w:trPr>
        <w:tc>
          <w:tcPr>
            <w:tcW w:w="3240" w:type="dxa"/>
            <w:vAlign w:val="bottom"/>
          </w:tcPr>
          <w:p>
            <w:pPr>
              <w:spacing w:after="0"/>
              <w:rPr>
                <w:sz w:val="16"/>
                <w:szCs w:val="16"/>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$7.00</w:t>
            </w:r>
          </w:p>
        </w:tc>
        <w:tc>
          <w:tcPr>
            <w:tcW w:w="1320" w:type="dxa"/>
            <w:vAlign w:val="bottom"/>
          </w:tcPr>
          <w:p>
            <w:pPr>
              <w:spacing w:after="0"/>
              <w:rPr>
                <w:sz w:val="16"/>
                <w:szCs w:val="16"/>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$168,925</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$193,905</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$221,211</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$7.75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$250,914</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$283,147</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$8.25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$317,978</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$8.50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$355,507</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$8.75</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$395,553</w:t>
            </w:r>
          </w:p>
        </w:tc>
      </w:tr>
      <w:tr>
        <w:trPr>
          <w:trHeight w:val="180"/>
        </w:trPr>
        <w:tc>
          <w:tcPr>
            <w:tcW w:w="4040" w:type="dxa"/>
            <w:vAlign w:val="bottom"/>
            <w:gridSpan w:val="2"/>
          </w:tcPr>
          <w:p>
            <w:pPr>
              <w:ind w:left="3240"/>
              <w:spacing w:after="0"/>
              <w:rPr>
                <w:sz w:val="20"/>
                <w:szCs w:val="20"/>
                <w:color w:val="auto"/>
              </w:rPr>
            </w:pPr>
            <w:r>
              <w:rPr>
                <w:rFonts w:ascii="Arial" w:cs="Arial" w:eastAsia="Arial" w:hAnsi="Arial"/>
                <w:sz w:val="12"/>
                <w:szCs w:val="12"/>
                <w:color w:val="auto"/>
              </w:rPr>
              <w:t>$9.00</w:t>
            </w:r>
          </w:p>
        </w:tc>
        <w:tc>
          <w:tcPr>
            <w:tcW w:w="13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$438,473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Dealer may adjust the table above upon the occurrence of any event or condition that would have allowed Dealer to adjust the terms of the Warrants Transactions under the Warrants Confirmations.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w:t>
      </w:r>
    </w:p>
    <w:p>
      <w:pPr>
        <w:sectPr>
          <w:pgSz w:w="11900" w:h="16838" w:orient="portrait"/>
          <w:cols w:equalWidth="0" w:num="1">
            <w:col w:w="11480"/>
          </w:cols>
          <w:pgMar w:left="220" w:top="580" w:right="199" w:bottom="1440" w:gutter="0" w:footer="0" w:header="0"/>
        </w:sectPr>
      </w:pPr>
    </w:p>
    <w:bookmarkStart w:id="79" w:name="page80"/>
    <w:bookmarkEnd w:id="79"/>
    <w:p>
      <w:pPr>
        <w:jc w:val="right"/>
        <w:spacing w:after="0"/>
        <w:rPr>
          <w:sz w:val="20"/>
          <w:szCs w:val="20"/>
          <w:color w:val="auto"/>
        </w:rPr>
      </w:pPr>
      <w:r>
        <w:rPr>
          <w:rFonts w:ascii="Arial" w:cs="Arial" w:eastAsia="Arial" w:hAnsi="Arial"/>
          <w:sz w:val="12"/>
          <w:szCs w:val="12"/>
          <w:b w:val="1"/>
          <w:bCs w:val="1"/>
          <w:color w:val="auto"/>
        </w:rPr>
        <w:t>Exhibit 31.1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Stuart I. Grimshaw,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Rule 13a-14(a) under the Securities Exchange Act of 1934,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I, Stuart I. Grimshaw, certify that:</w:t>
      </w:r>
    </w:p>
    <w:p>
      <w:pPr>
        <w:spacing w:after="0" w:line="114" w:lineRule="exact"/>
        <w:rPr>
          <w:sz w:val="20"/>
          <w:szCs w:val="20"/>
          <w:color w:val="auto"/>
        </w:rPr>
      </w:pPr>
    </w:p>
    <w:p>
      <w:pPr>
        <w:ind w:left="860" w:hanging="436"/>
        <w:spacing w:after="0"/>
        <w:tabs>
          <w:tab w:leader="none" w:pos="8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EZCORP, Inc.;</w:t>
      </w:r>
    </w:p>
    <w:p>
      <w:pPr>
        <w:spacing w:after="0" w:line="114" w:lineRule="exact"/>
        <w:rPr>
          <w:rFonts w:ascii="Arial" w:cs="Arial" w:eastAsia="Arial" w:hAnsi="Arial"/>
          <w:sz w:val="12"/>
          <w:szCs w:val="12"/>
          <w:color w:val="auto"/>
        </w:rPr>
      </w:pPr>
    </w:p>
    <w:p>
      <w:pPr>
        <w:ind w:left="860" w:right="520" w:hanging="436"/>
        <w:spacing w:after="0" w:line="276" w:lineRule="auto"/>
        <w:tabs>
          <w:tab w:leader="none" w:pos="8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860" w:right="320" w:hanging="436"/>
        <w:spacing w:after="0" w:line="276" w:lineRule="auto"/>
        <w:tabs>
          <w:tab w:leader="none" w:pos="8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1280" w:right="120" w:hanging="423"/>
        <w:spacing w:after="0" w:line="276" w:lineRule="auto"/>
        <w:tabs>
          <w:tab w:leader="none" w:pos="1280"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1280" w:right="180" w:hanging="423"/>
        <w:spacing w:after="0" w:line="276" w:lineRule="auto"/>
        <w:tabs>
          <w:tab w:leader="none" w:pos="1280"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1280" w:right="100" w:hanging="423"/>
        <w:spacing w:after="0" w:line="276" w:lineRule="auto"/>
        <w:tabs>
          <w:tab w:leader="none" w:pos="1280" w:val="left"/>
        </w:tabs>
        <w:numPr>
          <w:ilvl w:val="1"/>
          <w:numId w:val="6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1280" w:right="180" w:hanging="423"/>
        <w:spacing w:after="0" w:line="276" w:lineRule="auto"/>
        <w:tabs>
          <w:tab w:leader="none" w:pos="1280" w:val="left"/>
        </w:tabs>
        <w:numPr>
          <w:ilvl w:val="1"/>
          <w:numId w:val="6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1280" w:right="120" w:hanging="423"/>
        <w:spacing w:after="0" w:line="276" w:lineRule="auto"/>
        <w:tabs>
          <w:tab w:leader="none" w:pos="1280" w:val="left"/>
        </w:tabs>
        <w:numPr>
          <w:ilvl w:val="1"/>
          <w:numId w:val="6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1280" w:hanging="423"/>
        <w:spacing w:after="0"/>
        <w:tabs>
          <w:tab w:leader="none" w:pos="1280" w:val="left"/>
        </w:tabs>
        <w:numPr>
          <w:ilvl w:val="1"/>
          <w:numId w:val="6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2"/>
          <w:szCs w:val="12"/>
          <w:color w:val="auto"/>
        </w:rPr>
        <w:t>Date: July 31, 2017</w:t>
      </w:r>
    </w:p>
    <w:p>
      <w:pPr>
        <w:spacing w:after="0" w:line="132"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20955</wp:posOffset>
            </wp:positionV>
            <wp:extent cx="291147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2911475" cy="5715"/>
                    </a:xfrm>
                    <a:prstGeom prst="rect">
                      <a:avLst/>
                    </a:prstGeom>
                    <a:noFill/>
                  </pic:spPr>
                </pic:pic>
              </a:graphicData>
            </a:graphic>
          </wp:anchor>
        </w:drawing>
      </w:r>
    </w:p>
    <w:p>
      <w:pPr>
        <w:spacing w:after="0" w:line="31"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Stuart I. Grimshaw</w:t>
      </w:r>
    </w:p>
    <w:p>
      <w:pPr>
        <w:spacing w:after="0" w:line="150"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480"/>
          </w:cols>
          <w:pgMar w:left="220" w:top="433" w:right="199" w:bottom="1440" w:gutter="0" w:footer="0" w:header="0"/>
        </w:sectPr>
      </w:pPr>
    </w:p>
    <w:bookmarkStart w:id="80" w:name="page81"/>
    <w:bookmarkEnd w:id="80"/>
    <w:p>
      <w:pPr>
        <w:jc w:val="right"/>
        <w:spacing w:after="0"/>
        <w:rPr>
          <w:sz w:val="20"/>
          <w:szCs w:val="20"/>
          <w:color w:val="auto"/>
        </w:rPr>
      </w:pPr>
      <w:r>
        <w:rPr>
          <w:rFonts w:ascii="Arial" w:cs="Arial" w:eastAsia="Arial" w:hAnsi="Arial"/>
          <w:sz w:val="12"/>
          <w:szCs w:val="12"/>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Daniel M. Chism,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Rule 13a-14(a) under the Securities Exchange Act of 1934,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I, Daniel M. Chism, certify that:</w:t>
      </w:r>
    </w:p>
    <w:p>
      <w:pPr>
        <w:spacing w:after="0" w:line="114" w:lineRule="exact"/>
        <w:rPr>
          <w:sz w:val="20"/>
          <w:szCs w:val="20"/>
          <w:color w:val="auto"/>
        </w:rPr>
      </w:pPr>
    </w:p>
    <w:p>
      <w:pPr>
        <w:ind w:left="860" w:hanging="436"/>
        <w:spacing w:after="0"/>
        <w:tabs>
          <w:tab w:leader="none" w:pos="8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EZCORP, Inc.;</w:t>
      </w:r>
    </w:p>
    <w:p>
      <w:pPr>
        <w:spacing w:after="0" w:line="114" w:lineRule="exact"/>
        <w:rPr>
          <w:rFonts w:ascii="Arial" w:cs="Arial" w:eastAsia="Arial" w:hAnsi="Arial"/>
          <w:sz w:val="12"/>
          <w:szCs w:val="12"/>
          <w:color w:val="auto"/>
        </w:rPr>
      </w:pPr>
    </w:p>
    <w:p>
      <w:pPr>
        <w:ind w:left="860" w:right="520" w:hanging="436"/>
        <w:spacing w:after="0" w:line="276" w:lineRule="auto"/>
        <w:tabs>
          <w:tab w:leader="none" w:pos="8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860" w:right="320" w:hanging="436"/>
        <w:spacing w:after="0" w:line="276" w:lineRule="auto"/>
        <w:tabs>
          <w:tab w:leader="none" w:pos="8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1280" w:right="120" w:hanging="423"/>
        <w:spacing w:after="0" w:line="276" w:lineRule="auto"/>
        <w:tabs>
          <w:tab w:leader="none" w:pos="1280" w:val="left"/>
        </w:tabs>
        <w:numPr>
          <w:ilvl w:val="1"/>
          <w:numId w:val="6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1280" w:right="180" w:hanging="423"/>
        <w:spacing w:after="0" w:line="276" w:lineRule="auto"/>
        <w:tabs>
          <w:tab w:leader="none" w:pos="1280" w:val="left"/>
        </w:tabs>
        <w:numPr>
          <w:ilvl w:val="1"/>
          <w:numId w:val="6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1280" w:right="100" w:hanging="423"/>
        <w:spacing w:after="0" w:line="276" w:lineRule="auto"/>
        <w:tabs>
          <w:tab w:leader="none" w:pos="1280" w:val="left"/>
        </w:tabs>
        <w:numPr>
          <w:ilvl w:val="1"/>
          <w:numId w:val="6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1280" w:right="180" w:hanging="423"/>
        <w:spacing w:after="0" w:line="276" w:lineRule="auto"/>
        <w:tabs>
          <w:tab w:leader="none" w:pos="1280" w:val="left"/>
        </w:tabs>
        <w:numPr>
          <w:ilvl w:val="1"/>
          <w:numId w:val="6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1280" w:right="120" w:hanging="423"/>
        <w:spacing w:after="0" w:line="276" w:lineRule="auto"/>
        <w:tabs>
          <w:tab w:leader="none" w:pos="1280" w:val="left"/>
        </w:tabs>
        <w:numPr>
          <w:ilvl w:val="1"/>
          <w:numId w:val="6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1280" w:hanging="423"/>
        <w:spacing w:after="0"/>
        <w:tabs>
          <w:tab w:leader="none" w:pos="1280" w:val="left"/>
        </w:tabs>
        <w:numPr>
          <w:ilvl w:val="1"/>
          <w:numId w:val="6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Date: July 31, 2017</w:t>
      </w:r>
    </w:p>
    <w:p>
      <w:pPr>
        <w:spacing w:after="0" w:line="132"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20955</wp:posOffset>
            </wp:positionV>
            <wp:extent cx="290004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2900045" cy="5715"/>
                    </a:xfrm>
                    <a:prstGeom prst="rect">
                      <a:avLst/>
                    </a:prstGeom>
                    <a:noFill/>
                  </pic:spPr>
                </pic:pic>
              </a:graphicData>
            </a:graphic>
          </wp:anchor>
        </w:drawing>
      </w:r>
    </w:p>
    <w:p>
      <w:pPr>
        <w:spacing w:after="0" w:line="31"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Daniel M. Chism</w:t>
      </w:r>
    </w:p>
    <w:p>
      <w:pPr>
        <w:spacing w:after="0" w:line="150"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480"/>
          </w:cols>
          <w:pgMar w:left="220" w:top="433" w:right="199" w:bottom="1440" w:gutter="0" w:footer="0" w:header="0"/>
        </w:sectPr>
      </w:pPr>
    </w:p>
    <w:bookmarkStart w:id="81" w:name="page82"/>
    <w:bookmarkEnd w:id="81"/>
    <w:p>
      <w:pPr>
        <w:ind w:left="10860"/>
        <w:spacing w:after="0"/>
        <w:rPr>
          <w:sz w:val="20"/>
          <w:szCs w:val="20"/>
          <w:color w:val="auto"/>
        </w:rPr>
      </w:pPr>
      <w:r>
        <w:rPr>
          <w:rFonts w:ascii="Arial" w:cs="Arial" w:eastAsia="Arial" w:hAnsi="Arial"/>
          <w:sz w:val="11"/>
          <w:szCs w:val="11"/>
          <w:b w:val="1"/>
          <w:bCs w:val="1"/>
          <w:color w:val="auto"/>
        </w:rPr>
        <w:t>Exhibit 32.1</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auto"/>
        </w:rPr>
        <w:t>Certifications of Stuart I. Grimshaw, Chief Executive Officer, and Daniel M. Chism, Chief Financial Officer, pursuant to 18 U.S.C. Section 1350, as adopted pursuant to Section 906 of the Sarbanes-Oxley Act of 2002</w:t>
      </w:r>
    </w:p>
    <w:p>
      <w:pPr>
        <w:spacing w:after="0" w:line="13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The undersigned officers of EZCORP, Inc. hereby certify that (a) EZCORP's Quarterly Report on Form 10-Q for the quarter ended June 30, 2017,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80"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7400" w:type="dxa"/>
            <w:vAlign w:val="bottom"/>
          </w:tcPr>
          <w:p>
            <w:pPr>
              <w:spacing w:after="0"/>
              <w:rPr>
                <w:sz w:val="20"/>
                <w:szCs w:val="20"/>
                <w:color w:val="auto"/>
              </w:rPr>
            </w:pPr>
            <w:r>
              <w:rPr>
                <w:rFonts w:ascii="Arial" w:cs="Arial" w:eastAsia="Arial" w:hAnsi="Arial"/>
                <w:sz w:val="12"/>
                <w:szCs w:val="12"/>
                <w:color w:val="auto"/>
              </w:rPr>
              <w:t>Date: July 31, 2017</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Stuart I. Grimshaw</w:t>
            </w:r>
          </w:p>
        </w:tc>
      </w:tr>
      <w:tr>
        <w:trPr>
          <w:trHeight w:val="160"/>
        </w:trPr>
        <w:tc>
          <w:tcPr>
            <w:tcW w:w="7400" w:type="dxa"/>
            <w:vAlign w:val="bottom"/>
          </w:tcPr>
          <w:p>
            <w:pPr>
              <w:spacing w:after="0"/>
              <w:rPr>
                <w:sz w:val="13"/>
                <w:szCs w:val="13"/>
                <w:color w:val="auto"/>
              </w:rPr>
            </w:pPr>
          </w:p>
        </w:tc>
        <w:tc>
          <w:tcPr>
            <w:tcW w:w="3680" w:type="dxa"/>
            <w:vAlign w:val="bottom"/>
          </w:tcPr>
          <w:p>
            <w:pPr>
              <w:ind w:left="20"/>
              <w:spacing w:after="0"/>
              <w:rPr>
                <w:sz w:val="20"/>
                <w:szCs w:val="20"/>
                <w:color w:val="auto"/>
              </w:rPr>
            </w:pPr>
            <w:r>
              <w:rPr>
                <w:rFonts w:ascii="Arial" w:cs="Arial" w:eastAsia="Arial" w:hAnsi="Arial"/>
                <w:sz w:val="12"/>
                <w:szCs w:val="12"/>
                <w:color w:val="auto"/>
              </w:rPr>
              <w:t>Stuart I. Grimshaw</w:t>
            </w:r>
          </w:p>
        </w:tc>
      </w:tr>
      <w:tr>
        <w:trPr>
          <w:trHeight w:val="180"/>
        </w:trPr>
        <w:tc>
          <w:tcPr>
            <w:tcW w:w="740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Arial" w:cs="Arial" w:eastAsia="Arial" w:hAnsi="Arial"/>
                <w:sz w:val="12"/>
                <w:szCs w:val="12"/>
                <w:color w:val="auto"/>
              </w:rPr>
              <w:t>Chief Executive Officer</w:t>
            </w:r>
          </w:p>
        </w:tc>
      </w:tr>
      <w:tr>
        <w:trPr>
          <w:trHeight w:val="405"/>
        </w:trPr>
        <w:tc>
          <w:tcPr>
            <w:tcW w:w="7400" w:type="dxa"/>
            <w:vAlign w:val="bottom"/>
          </w:tcPr>
          <w:p>
            <w:pPr>
              <w:spacing w:after="0"/>
              <w:rPr>
                <w:sz w:val="20"/>
                <w:szCs w:val="20"/>
                <w:color w:val="auto"/>
              </w:rPr>
            </w:pPr>
            <w:r>
              <w:rPr>
                <w:rFonts w:ascii="Arial" w:cs="Arial" w:eastAsia="Arial" w:hAnsi="Arial"/>
                <w:sz w:val="12"/>
                <w:szCs w:val="12"/>
                <w:color w:val="auto"/>
              </w:rPr>
              <w:t>Date: July 31, 2017</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Daniel M. Chism</w:t>
            </w:r>
          </w:p>
        </w:tc>
      </w:tr>
      <w:tr>
        <w:trPr>
          <w:trHeight w:val="160"/>
        </w:trPr>
        <w:tc>
          <w:tcPr>
            <w:tcW w:w="7400" w:type="dxa"/>
            <w:vAlign w:val="bottom"/>
          </w:tcPr>
          <w:p>
            <w:pPr>
              <w:spacing w:after="0"/>
              <w:rPr>
                <w:sz w:val="13"/>
                <w:szCs w:val="13"/>
                <w:color w:val="auto"/>
              </w:rPr>
            </w:pPr>
          </w:p>
        </w:tc>
        <w:tc>
          <w:tcPr>
            <w:tcW w:w="3680" w:type="dxa"/>
            <w:vAlign w:val="bottom"/>
          </w:tcPr>
          <w:p>
            <w:pPr>
              <w:ind w:left="20"/>
              <w:spacing w:after="0"/>
              <w:rPr>
                <w:sz w:val="20"/>
                <w:szCs w:val="20"/>
                <w:color w:val="auto"/>
              </w:rPr>
            </w:pPr>
            <w:r>
              <w:rPr>
                <w:rFonts w:ascii="Arial" w:cs="Arial" w:eastAsia="Arial" w:hAnsi="Arial"/>
                <w:sz w:val="12"/>
                <w:szCs w:val="12"/>
                <w:color w:val="auto"/>
              </w:rPr>
              <w:t>Daniel M. Chism</w:t>
            </w:r>
          </w:p>
        </w:tc>
      </w:tr>
      <w:tr>
        <w:trPr>
          <w:trHeight w:val="288"/>
        </w:trPr>
        <w:tc>
          <w:tcPr>
            <w:tcW w:w="740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2"/>
                <w:szCs w:val="12"/>
                <w:color w:val="auto"/>
              </w:rPr>
              <w:t>Chief Financial Officer</w:t>
            </w:r>
          </w:p>
        </w:tc>
      </w:tr>
    </w:tbl>
    <w:p>
      <w:pPr>
        <w:spacing w:after="0" w:line="1" w:lineRule="exact"/>
        <w:rPr>
          <w:sz w:val="20"/>
          <w:szCs w:val="20"/>
          <w:color w:val="auto"/>
        </w:rPr>
      </w:pPr>
    </w:p>
    <w:sectPr>
      <w:pgSz w:w="11900" w:h="16838" w:orient="portrait"/>
      <w:cols w:equalWidth="0" w:num="1">
        <w:col w:w="11480"/>
      </w:cols>
      <w:pgMar w:left="220" w:top="4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x"/>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lvl w:ilvl="1">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lowerLetter"/>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1)"/>
      <w:numFmt w:val="lowerLetter"/>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4"/>
    </w:lvl>
    <w:lvl w:ilvl="1">
      <w:lvlJc w:val="left"/>
      <w:lvlText w:val="(%2)"/>
      <w:numFmt w:val="lowerLetter"/>
      <w:start w:val="1"/>
    </w:lvl>
  </w:abstractNum>
  <w:abstractNum w:abstractNumId="36">
    <w:nsid w:val="749ABB43"/>
    <w:multiLevelType w:val="hybridMultilevel"/>
    <w:lvl w:ilvl="0">
      <w:lvlJc w:val="left"/>
      <w:lvlText w:val="%1."/>
      <w:numFmt w:val="decimal"/>
      <w:start w:val="7"/>
    </w:lvl>
    <w:lvl w:ilvl="1">
      <w:lvlJc w:val="left"/>
      <w:lvlText w:val="(%2)"/>
      <w:numFmt w:val="lowerLetter"/>
      <w:start w:val="1"/>
    </w:lvl>
  </w:abstractNum>
  <w:abstractNum w:abstractNumId="37">
    <w:nsid w:val="3DC240FB"/>
    <w:multiLevelType w:val="hybridMultilevel"/>
    <w:lvl w:ilvl="0">
      <w:lvlJc w:val="left"/>
      <w:lvlText w:val="%1."/>
      <w:numFmt w:val="decimal"/>
      <w:start w:val="9"/>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5"/>
    </w:lvl>
    <w:lvl w:ilvl="1">
      <w:lvlJc w:val="left"/>
      <w:lvlText w:val="(%2)"/>
      <w:numFmt w:val="lowerLetter"/>
      <w:start w:val="1"/>
    </w:lvl>
  </w:abstractNum>
  <w:abstractNum w:abstractNumId="40">
    <w:nsid w:val="75C6C33A"/>
    <w:multiLevelType w:val="hybridMultilevel"/>
    <w:lvl w:ilvl="0">
      <w:lvlJc w:val="left"/>
      <w:lvlText w:val="%1"/>
      <w:numFmt w:val="decimal"/>
      <w:start w:val="1"/>
    </w:lvl>
    <w:lvl w:ilvl="1">
      <w:lvlJc w:val="left"/>
      <w:lvlText w:val="(%2)"/>
      <w:numFmt w:val="lowerLetter"/>
      <w:start w:val="1"/>
    </w:lvl>
  </w:abstractNum>
  <w:abstractNum w:abstractNumId="41">
    <w:nsid w:val="12E685FB"/>
    <w:multiLevelType w:val="hybridMultilevel"/>
    <w:lvl w:ilvl="0">
      <w:lvlJc w:val="left"/>
      <w:lvlText w:val="%1."/>
      <w:numFmt w:val="decimal"/>
      <w:start w:val="8"/>
    </w:lvl>
    <w:lvl w:ilvl="1">
      <w:lvlJc w:val="left"/>
      <w:lvlText w:val="%2"/>
      <w:numFmt w:val="lowerLetter"/>
      <w:start w:val="1"/>
    </w:lvl>
  </w:abstractNum>
  <w:abstractNum w:abstractNumId="42">
    <w:nsid w:val="70C6A529"/>
    <w:multiLevelType w:val="hybridMultilevel"/>
    <w:lvl w:ilvl="0">
      <w:lvlJc w:val="left"/>
      <w:lvlText w:val="%1."/>
      <w:numFmt w:val="decimal"/>
      <w:start w:val="9"/>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4"/>
    </w:lvl>
    <w:lvl w:ilvl="1">
      <w:lvlJc w:val="left"/>
      <w:lvlText w:val="(%2)"/>
      <w:numFmt w:val="lowerLetter"/>
      <w:start w:val="1"/>
    </w:lvl>
  </w:abstractNum>
  <w:abstractNum w:abstractNumId="45">
    <w:nsid w:val="4F4EF005"/>
    <w:multiLevelType w:val="hybridMultilevel"/>
    <w:lvl w:ilvl="0">
      <w:lvlJc w:val="left"/>
      <w:lvlText w:val="%1."/>
      <w:numFmt w:val="decimal"/>
      <w:start w:val="7"/>
    </w:lvl>
    <w:lvl w:ilvl="1">
      <w:lvlJc w:val="left"/>
      <w:lvlText w:val="(%2)"/>
      <w:numFmt w:val="lowerLetter"/>
      <w:start w:val="1"/>
    </w:lvl>
  </w:abstractNum>
  <w:abstractNum w:abstractNumId="46">
    <w:nsid w:val="23F9C13C"/>
    <w:multiLevelType w:val="hybridMultilevel"/>
    <w:lvl w:ilvl="0">
      <w:lvlJc w:val="left"/>
      <w:lvlText w:val="%1."/>
      <w:numFmt w:val="decimal"/>
      <w:start w:val="9"/>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5"/>
    </w:lvl>
    <w:lvl w:ilvl="1">
      <w:lvlJc w:val="left"/>
      <w:lvlText w:val="(%2)"/>
      <w:numFmt w:val="lowerLetter"/>
      <w:start w:val="1"/>
    </w:lvl>
  </w:abstractNum>
  <w:abstractNum w:abstractNumId="49">
    <w:nsid w:val="39386575"/>
    <w:multiLevelType w:val="hybridMultilevel"/>
    <w:lvl w:ilvl="0">
      <w:lvlJc w:val="left"/>
      <w:lvlText w:val="%1"/>
      <w:numFmt w:val="decimal"/>
      <w:start w:val="1"/>
    </w:lvl>
    <w:lvl w:ilvl="1">
      <w:lvlJc w:val="left"/>
      <w:lvlText w:val="(%2)"/>
      <w:numFmt w:val="lowerLetter"/>
      <w:start w:val="1"/>
    </w:lvl>
  </w:abstractNum>
  <w:abstractNum w:abstractNumId="50">
    <w:nsid w:val="1CF10FD8"/>
    <w:multiLevelType w:val="hybridMultilevel"/>
    <w:lvl w:ilvl="0">
      <w:lvlJc w:val="left"/>
      <w:lvlText w:val="%1."/>
      <w:numFmt w:val="decimal"/>
      <w:start w:val="8"/>
    </w:lvl>
    <w:lvl w:ilvl="1">
      <w:lvlJc w:val="left"/>
      <w:lvlText w:val="%2"/>
      <w:numFmt w:val="lowerLetter"/>
      <w:start w:val="1"/>
    </w:lvl>
  </w:abstractNum>
  <w:abstractNum w:abstractNumId="51">
    <w:nsid w:val="180115BE"/>
    <w:multiLevelType w:val="hybridMultilevel"/>
    <w:lvl w:ilvl="0">
      <w:lvlJc w:val="left"/>
      <w:lvlText w:val="%1."/>
      <w:numFmt w:val="decimal"/>
      <w:start w:val="9"/>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4"/>
    </w:lvl>
    <w:lvl w:ilvl="1">
      <w:lvlJc w:val="left"/>
      <w:lvlText w:val="(%2)"/>
      <w:numFmt w:val="lowerLetter"/>
      <w:start w:val="1"/>
    </w:lvl>
  </w:abstractNum>
  <w:abstractNum w:abstractNumId="54">
    <w:nsid w:val="354FE9F9"/>
    <w:multiLevelType w:val="hybridMultilevel"/>
    <w:lvl w:ilvl="0">
      <w:lvlJc w:val="left"/>
      <w:lvlText w:val="%1."/>
      <w:numFmt w:val="decimal"/>
      <w:start w:val="7"/>
    </w:lvl>
    <w:lvl w:ilvl="1">
      <w:lvlJc w:val="left"/>
      <w:lvlText w:val="(%2)"/>
      <w:numFmt w:val="lowerLetter"/>
      <w:start w:val="1"/>
    </w:lvl>
  </w:abstractNum>
  <w:abstractNum w:abstractNumId="55">
    <w:nsid w:val="15B5AF5C"/>
    <w:multiLevelType w:val="hybridMultilevel"/>
    <w:lvl w:ilvl="0">
      <w:lvlJc w:val="left"/>
      <w:lvlText w:val="%1."/>
      <w:numFmt w:val="decimal"/>
      <w:start w:val="9"/>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5"/>
    </w:lvl>
    <w:lvl w:ilvl="1">
      <w:lvlJc w:val="left"/>
      <w:lvlText w:val="(%2)"/>
      <w:numFmt w:val="lowerLetter"/>
      <w:start w:val="1"/>
    </w:lvl>
  </w:abstractNum>
  <w:abstractNum w:abstractNumId="58">
    <w:nsid w:val="10233C99"/>
    <w:multiLevelType w:val="hybridMultilevel"/>
    <w:lvl w:ilvl="0">
      <w:lvlJc w:val="left"/>
      <w:lvlText w:val="%1"/>
      <w:numFmt w:val="decimal"/>
      <w:start w:val="1"/>
    </w:lvl>
    <w:lvl w:ilvl="1">
      <w:lvlJc w:val="left"/>
      <w:lvlText w:val="(%2)"/>
      <w:numFmt w:val="lowerLetter"/>
      <w:start w:val="1"/>
    </w:lvl>
  </w:abstractNum>
  <w:abstractNum w:abstractNumId="59">
    <w:nsid w:val="3F6AB60F"/>
    <w:multiLevelType w:val="hybridMultilevel"/>
    <w:lvl w:ilvl="0">
      <w:lvlJc w:val="left"/>
      <w:lvlText w:val="%1."/>
      <w:numFmt w:val="decimal"/>
      <w:start w:val="8"/>
    </w:lvl>
    <w:lvl w:ilvl="1">
      <w:lvlJc w:val="left"/>
      <w:lvlText w:val="%2"/>
      <w:numFmt w:val="lowerLetter"/>
      <w:start w:val="1"/>
    </w:lvl>
  </w:abstractNum>
  <w:abstractNum w:abstractNumId="60">
    <w:nsid w:val="61574095"/>
    <w:multiLevelType w:val="hybridMultilevel"/>
    <w:lvl w:ilvl="0">
      <w:lvlJc w:val="left"/>
      <w:lvlText w:val="%1."/>
      <w:numFmt w:val="decimal"/>
      <w:start w:val="9"/>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16" Type="http://schemas.openxmlformats.org/officeDocument/2006/relationships/hyperlink" Target="http://www.sec.gov/Archives/edgar/data/876523/000087652317000082/a2017-q4projecteaglexinden.htm" TargetMode="External"/><Relationship Id="rId17" Type="http://schemas.openxmlformats.org/officeDocument/2006/relationships/hyperlink" Target="http://www.sec.gov/Archives/edgar/data/876523/000087652317000082/a2017-q4ezpwpurchaseagreem.htm" TargetMode="External"/><Relationship Id="rId18" Type="http://schemas.openxmlformats.org/officeDocument/2006/relationships/hyperlink" Target="http://www.sec.gov/Archives/edgar/data/876523/000087652317000062/a2017-q3cfodepartu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2020-01-17T21:39:19Z</dcterms:created>
  <dcterms:modified xsi:type="dcterms:W3CDTF">2020-01-17T21:39:19Z</dcterms:modified>
</cp:coreProperties>
</file>