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23,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ectPr>
          <w:pgSz w:w="11900" w:h="16838" w:orient="portrait"/>
          <w:cols w:equalWidth="0" w:num="1">
            <w:col w:w="11300"/>
          </w:cols>
          <w:pgMar w:left="240" w:top="1071" w:right="359" w:bottom="1440" w:gutter="0" w:footer="0" w:header="0"/>
        </w:sectPr>
      </w:pPr>
    </w:p>
    <w:p>
      <w:pPr>
        <w:spacing w:after="0" w:line="167"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0-19424</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74-2540145</w:t>
      </w:r>
    </w:p>
    <w:p>
      <w:pPr>
        <w:spacing w:after="0" w:line="85" w:lineRule="exact"/>
        <w:rPr>
          <w:sz w:val="24"/>
          <w:szCs w:val="24"/>
          <w:color w:val="auto"/>
        </w:rPr>
      </w:pPr>
    </w:p>
    <w:p>
      <w:pPr>
        <w:sectPr>
          <w:pgSz w:w="11900" w:h="16838" w:orient="portrait"/>
          <w:cols w:equalWidth="0" w:num="3">
            <w:col w:w="4660" w:space="720"/>
            <w:col w:w="3000" w:space="720"/>
            <w:col w:w="2200"/>
          </w:cols>
          <w:pgMar w:left="240" w:top="1071" w:right="359" w:bottom="1440" w:gutter="0" w:footer="0" w:header="0"/>
          <w:type w:val="continuous"/>
        </w:sectPr>
      </w:pPr>
    </w:p>
    <w:p>
      <w:pPr>
        <w:spacing w:after="0" w:line="1" w:lineRule="exact"/>
        <w:rPr>
          <w:sz w:val="24"/>
          <w:szCs w:val="24"/>
          <w:color w:val="auto"/>
        </w:rPr>
      </w:pPr>
    </w:p>
    <w:p>
      <w:pPr>
        <w:jc w:val="center"/>
        <w:ind w:right="880"/>
        <w:spacing w:after="0"/>
        <w:rPr>
          <w:sz w:val="20"/>
          <w:szCs w:val="20"/>
          <w:color w:val="auto"/>
        </w:rPr>
      </w:pPr>
      <w:r>
        <w:rPr>
          <w:rFonts w:ascii="Arial" w:cs="Arial" w:eastAsia="Arial" w:hAnsi="Arial"/>
          <w:sz w:val="13"/>
          <w:szCs w:val="13"/>
          <w:color w:val="auto"/>
        </w:rPr>
        <w:t>(State or other jurisdiction</w:t>
      </w:r>
    </w:p>
    <w:p>
      <w:pPr>
        <w:spacing w:after="0" w:line="11" w:lineRule="exact"/>
        <w:rPr>
          <w:sz w:val="24"/>
          <w:szCs w:val="24"/>
          <w:color w:val="auto"/>
        </w:rPr>
      </w:pPr>
    </w:p>
    <w:p>
      <w:pPr>
        <w:jc w:val="center"/>
        <w:ind w:right="88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color w:val="auto"/>
        </w:rPr>
        <w:t>(IRS Employer</w:t>
      </w:r>
    </w:p>
    <w:p>
      <w:pPr>
        <w:jc w:val="center"/>
        <w:ind w:right="1220"/>
        <w:spacing w:after="0"/>
        <w:rPr>
          <w:sz w:val="20"/>
          <w:szCs w:val="20"/>
          <w:color w:val="auto"/>
        </w:rPr>
      </w:pPr>
      <w:r>
        <w:rPr>
          <w:rFonts w:ascii="Arial" w:cs="Arial" w:eastAsia="Arial" w:hAnsi="Arial"/>
          <w:sz w:val="13"/>
          <w:szCs w:val="13"/>
          <w:color w:val="auto"/>
        </w:rPr>
        <w:t>Identification No.)</w:t>
      </w:r>
    </w:p>
    <w:p>
      <w:pPr>
        <w:spacing w:after="0" w:line="176" w:lineRule="exact"/>
        <w:rPr>
          <w:sz w:val="24"/>
          <w:szCs w:val="24"/>
          <w:color w:val="auto"/>
        </w:rPr>
      </w:pPr>
    </w:p>
    <w:p>
      <w:pPr>
        <w:sectPr>
          <w:pgSz w:w="11900" w:h="16838" w:orient="portrait"/>
          <w:cols w:equalWidth="0" w:num="3">
            <w:col w:w="4560" w:space="720"/>
            <w:col w:w="3000" w:space="720"/>
            <w:col w:w="2300"/>
          </w:cols>
          <w:pgMar w:left="240" w:top="1071" w:right="359" w:bottom="1440" w:gutter="0" w:footer="0" w:header="0"/>
          <w:type w:val="continuous"/>
        </w:sectPr>
      </w:pPr>
    </w:p>
    <w:p>
      <w:pPr>
        <w:ind w:left="2740"/>
        <w:spacing w:after="0"/>
        <w:rPr>
          <w:sz w:val="20"/>
          <w:szCs w:val="20"/>
          <w:color w:val="auto"/>
        </w:rPr>
      </w:pPr>
      <w:r>
        <w:rPr>
          <w:rFonts w:ascii="Arial" w:cs="Arial" w:eastAsia="Arial" w:hAnsi="Arial"/>
          <w:sz w:val="16"/>
          <w:szCs w:val="16"/>
          <w:b w:val="1"/>
          <w:bCs w:val="1"/>
          <w:color w:val="auto"/>
        </w:rPr>
        <w:t>1901 Capital Parkway,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78746</w:t>
      </w:r>
    </w:p>
    <w:p>
      <w:pPr>
        <w:spacing w:after="0" w:line="97" w:lineRule="exact"/>
        <w:rPr>
          <w:sz w:val="24"/>
          <w:szCs w:val="24"/>
          <w:color w:val="auto"/>
        </w:rPr>
      </w:pPr>
    </w:p>
    <w:p>
      <w:pPr>
        <w:sectPr>
          <w:pgSz w:w="11900" w:h="16838" w:orient="portrait"/>
          <w:cols w:equalWidth="0" w:num="2">
            <w:col w:w="6320" w:space="720"/>
            <w:col w:w="4260"/>
          </w:cols>
          <w:pgMar w:left="240" w:top="1071" w:right="359" w:bottom="1440" w:gutter="0" w:footer="0" w:header="0"/>
          <w:type w:val="continuous"/>
        </w:sectPr>
      </w:pPr>
    </w:p>
    <w:p>
      <w:pPr>
        <w:ind w:left="30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6260" w:space="720"/>
            <w:col w:w="4320"/>
          </w:cols>
          <w:pgMar w:left="240" w:top="1071" w:right="359" w:bottom="1440" w:gutter="0" w:footer="0" w:header="0"/>
          <w:type w:val="continuous"/>
        </w:sectPr>
      </w:pPr>
    </w:p>
    <w:p>
      <w:pPr>
        <w:spacing w:after="0" w:line="5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(512) 314-3400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62"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 Departure of Directors and Certain Officers; Election of Directors; Appointment of Certain Officers; Compensatory Arrangements of Certain Officers</w:t>
      </w:r>
    </w:p>
    <w:p>
      <w:pPr>
        <w:spacing w:after="0" w:line="166" w:lineRule="exact"/>
        <w:rPr>
          <w:sz w:val="20"/>
          <w:szCs w:val="20"/>
          <w:color w:val="auto"/>
        </w:rPr>
      </w:pPr>
    </w:p>
    <w:p>
      <w:pPr>
        <w:ind w:left="66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23, 2014, the Board of Directors appointed Mark Kuchenrither to serve as a director until the next annual meeting of the Company's stockholders or, if earlier, until his resignation or removal. Mr. Kuchenrither was recently named Interim President and Chief Executive Officer of the company, and also serves as Chief Financial Officer. Mr. Kuchenrither will not receive any additional compensation for serving on the Board of Directors.</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8"/>
          <w:szCs w:val="18"/>
          <w:color w:val="auto"/>
        </w:rPr>
        <w:t>Date: July 24, 2014</w:t>
      </w:r>
      <w:r>
        <w:rPr>
          <w:sz w:val="20"/>
          <w:szCs w:val="20"/>
          <w:color w:val="auto"/>
        </w:rPr>
        <w:tab/>
      </w:r>
      <w:r>
        <w:rPr>
          <w:rFonts w:ascii="Arial" w:cs="Arial" w:eastAsia="Arial" w:hAnsi="Arial"/>
          <w:sz w:val="16"/>
          <w:szCs w:val="16"/>
          <w:color w:val="auto"/>
        </w:rPr>
        <w:t>By: /s/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31750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280"/>
      </w:cols>
      <w:pgMar w:left="24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2020-01-27T23:52:50Z</dcterms:created>
  <dcterms:modified xsi:type="dcterms:W3CDTF">2020-01-27T23:52:50Z</dcterms:modified>
</cp:coreProperties>
</file>