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EZCORP, Inc.</w:t>
      </w:r>
    </w:p>
    <w:p>
      <w:pPr>
        <w:spacing w:after="0" w:line="201"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FIILNG OF THIS STATEMENT: December 31, 2008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302301106</w:t>
      </w:r>
    </w:p>
    <w:p>
      <w:pPr>
        <w:spacing w:after="0" w:line="207"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ind w:left="640"/>
        <w:spacing w:after="0"/>
        <w:tabs>
          <w:tab w:leader="none" w:pos="5780" w:val="left"/>
        </w:tabs>
        <w:rPr>
          <w:sz w:val="20"/>
          <w:szCs w:val="20"/>
          <w:color w:val="auto"/>
        </w:rPr>
      </w:pPr>
      <w:r>
        <w:rPr>
          <w:rFonts w:ascii="Courier New" w:cs="Courier New" w:eastAsia="Courier New" w:hAnsi="Courier New"/>
          <w:sz w:val="18"/>
          <w:szCs w:val="18"/>
          <w:color w:val="auto"/>
        </w:rPr>
        <w:t>IRS Identification Nos. Of Above Person</w:t>
      </w:r>
      <w:r>
        <w:rPr>
          <w:sz w:val="20"/>
          <w:szCs w:val="20"/>
          <w:color w:val="auto"/>
        </w:rPr>
        <w:tab/>
      </w:r>
      <w:r>
        <w:rPr>
          <w:rFonts w:ascii="Courier New" w:cs="Courier New" w:eastAsia="Courier New" w:hAnsi="Courier New"/>
          <w:sz w:val="16"/>
          <w:szCs w:val="16"/>
          <w:color w:val="auto"/>
        </w:rPr>
        <w:t>IRS No. 13-2614959</w:t>
      </w:r>
    </w:p>
    <w:p>
      <w:pPr>
        <w:spacing w:after="0" w:line="207"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4"/>
          <w:szCs w:val="24"/>
          <w:color w:val="auto"/>
        </w:rPr>
      </w:pPr>
    </w:p>
    <w:p>
      <w:pPr>
        <w:ind w:left="1160"/>
        <w:spacing w:after="0"/>
        <w:tabs>
          <w:tab w:leader="none" w:pos="1780" w:val="left"/>
          <w:tab w:leader="none" w:pos="2300" w:val="left"/>
          <w:tab w:leader="none" w:pos="3040" w:val="left"/>
          <w:tab w:leader="none" w:pos="35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(b)</w:t>
        <w:tab/>
        <w:t>(</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spacing w:after="0"/>
              <w:rPr>
                <w:sz w:val="20"/>
                <w:szCs w:val="20"/>
                <w:color w:val="auto"/>
              </w:rPr>
            </w:pPr>
            <w:r>
              <w:rPr>
                <w:rFonts w:ascii="Courier New" w:cs="Courier New" w:eastAsia="Courier New" w:hAnsi="Courier New"/>
                <w:sz w:val="18"/>
                <w:szCs w:val="18"/>
                <w:color w:val="auto"/>
              </w:rPr>
              <w:t>(4)   Citizenship or Place of Organization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2,269,299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2,397,324</w:t>
            </w:r>
          </w:p>
        </w:tc>
      </w:tr>
      <w:tr>
        <w:trPr>
          <w:trHeight w:val="405"/>
        </w:trPr>
        <w:tc>
          <w:tcPr>
            <w:tcW w:w="23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10,100</w:t>
            </w:r>
          </w:p>
        </w:tc>
      </w:tr>
    </w:tbl>
    <w:p>
      <w:pPr>
        <w:spacing w:after="0" w:line="201"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640" w:type="dxa"/>
        <w:tblCellMar>
          <w:top w:w="0" w:type="dxa"/>
          <w:left w:w="0" w:type="dxa"/>
          <w:bottom w:w="0" w:type="dxa"/>
          <w:right w:w="0" w:type="dxa"/>
        </w:tblCellMar>
      </w:tblP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 Person</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2,407,424</w:t>
            </w:r>
          </w:p>
        </w:tc>
      </w:tr>
    </w:tbl>
    <w:p>
      <w:pPr>
        <w:spacing w:after="0" w:line="201" w:lineRule="exact"/>
        <w:rPr>
          <w:sz w:val="24"/>
          <w:szCs w:val="24"/>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5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(11)</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Percent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of Class Represented by Amount in Row (9)</w:t>
            </w: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5.98%</w:t>
            </w:r>
          </w:p>
        </w:tc>
      </w:tr>
      <w:tr>
        <w:trPr>
          <w:trHeight w:val="405"/>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(12)</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Type of</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 (See Instructions)</w:t>
            </w: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EZCORP, Inc.</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2960"/>
        <w:spacing w:after="0" w:line="238" w:lineRule="auto"/>
        <w:rPr>
          <w:sz w:val="20"/>
          <w:szCs w:val="20"/>
          <w:color w:val="auto"/>
        </w:rPr>
      </w:pPr>
      <w:r>
        <w:rPr>
          <w:rFonts w:ascii="Courier New" w:cs="Courier New" w:eastAsia="Courier New" w:hAnsi="Courier New"/>
          <w:sz w:val="18"/>
          <w:szCs w:val="18"/>
          <w:color w:val="auto"/>
        </w:rPr>
        <w:t>1901 Capital Pkwy</w:t>
      </w: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Austin, TX</w:t>
      </w:r>
      <w:r>
        <w:rPr>
          <w:sz w:val="20"/>
          <w:szCs w:val="20"/>
          <w:color w:val="auto"/>
        </w:rPr>
        <w:tab/>
      </w:r>
      <w:r>
        <w:rPr>
          <w:rFonts w:ascii="Courier New" w:cs="Courier New" w:eastAsia="Courier New" w:hAnsi="Courier New"/>
          <w:sz w:val="16"/>
          <w:szCs w:val="16"/>
          <w:color w:val="auto"/>
        </w:rPr>
        <w:t>78746</w:t>
      </w:r>
    </w:p>
    <w:p>
      <w:pPr>
        <w:spacing w:after="0" w:line="200" w:lineRule="exact"/>
        <w:rPr>
          <w:sz w:val="24"/>
          <w:szCs w:val="24"/>
          <w:color w:val="auto"/>
        </w:rPr>
      </w:pPr>
    </w:p>
    <w:p>
      <w:pPr>
        <w:spacing w:after="0"/>
        <w:tabs>
          <w:tab w:leader="none" w:pos="1140" w:val="left"/>
          <w:tab w:leader="none" w:pos="3680" w:val="left"/>
        </w:tabs>
        <w:rPr>
          <w:sz w:val="20"/>
          <w:szCs w:val="20"/>
          <w:color w:val="auto"/>
        </w:rPr>
      </w:pPr>
      <w:r>
        <w:rPr>
          <w:rFonts w:ascii="Courier New" w:cs="Courier New" w:eastAsia="Courier New" w:hAnsi="Courier New"/>
          <w:sz w:val="18"/>
          <w:szCs w:val="18"/>
          <w:color w:val="auto"/>
        </w:rPr>
        <w:t>Item 2(a)</w:t>
        <w:tab/>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370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3700"/>
        <w:spacing w:after="0"/>
        <w:rPr>
          <w:sz w:val="20"/>
          <w:szCs w:val="20"/>
          <w:color w:val="auto"/>
        </w:rPr>
      </w:pPr>
      <w:r>
        <w:rPr>
          <w:rFonts w:ascii="Courier New" w:cs="Courier New" w:eastAsia="Courier New" w:hAnsi="Courier New"/>
          <w:sz w:val="18"/>
          <w:szCs w:val="18"/>
          <w:color w:val="auto"/>
        </w:rPr>
        <w:t>identified on the second part of the</w:t>
      </w:r>
    </w:p>
    <w:p>
      <w:pPr>
        <w:ind w:left="370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244" w:right="1440" w:bottom="0" w:gutter="0" w:footer="0" w:header="0"/>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One Wall Street, 31st Floor</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96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200"/>
            <w:col w:w="9059"/>
          </w:cols>
          <w:pgMar w:left="240" w:top="339"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jc w:val="center"/>
        <w:ind w:right="2419"/>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200"/>
            <w:col w:w="2860" w:space="720"/>
            <w:col w:w="547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0"/>
          <w:szCs w:val="20"/>
          <w:color w:val="auto"/>
        </w:rPr>
      </w:pPr>
    </w:p>
    <w:p>
      <w:pPr>
        <w:sectPr>
          <w:pgSz w:w="11900" w:h="16838" w:orient="portrait"/>
          <w:cols w:equalWidth="0" w:num="3">
            <w:col w:w="960" w:space="200"/>
            <w:col w:w="3060" w:space="520"/>
            <w:col w:w="547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302301106</w:t>
      </w:r>
    </w:p>
    <w:p>
      <w:pPr>
        <w:spacing w:after="0" w:line="200" w:lineRule="exact"/>
        <w:rPr>
          <w:sz w:val="20"/>
          <w:szCs w:val="20"/>
          <w:color w:val="auto"/>
        </w:rPr>
      </w:pPr>
    </w:p>
    <w:p>
      <w:pPr>
        <w:sectPr>
          <w:pgSz w:w="11900" w:h="16838" w:orient="portrait"/>
          <w:cols w:equalWidth="0" w:num="3">
            <w:col w:w="960" w:space="200"/>
            <w:col w:w="1380" w:space="200"/>
            <w:col w:w="7479"/>
          </w:cols>
          <w:pgMar w:left="240" w:top="339" w:right="1440" w:bottom="0" w:gutter="0" w:footer="0" w:header="0"/>
          <w:type w:val="continuous"/>
        </w:sectPr>
      </w:pPr>
    </w:p>
    <w:p>
      <w:pPr>
        <w:spacing w:after="0" w:line="24" w:lineRule="exact"/>
        <w:rPr>
          <w:sz w:val="20"/>
          <w:szCs w:val="20"/>
          <w:color w:val="auto"/>
        </w:rPr>
      </w:pPr>
    </w:p>
    <w:p>
      <w:pPr>
        <w:ind w:left="1160" w:right="39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See Item 12 of cover page(s) ("Type of Reporting Person") for each reporting person.</w:t>
      </w:r>
    </w:p>
    <w:p>
      <w:pPr>
        <w:spacing w:after="0" w:line="203"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Symbol</w:t>
      </w:r>
      <w:r>
        <w:rPr>
          <w:sz w:val="20"/>
          <w:szCs w:val="20"/>
          <w:color w:val="auto"/>
        </w:rPr>
        <w:tab/>
      </w:r>
      <w:r>
        <w:rPr>
          <w:rFonts w:ascii="Courier New" w:cs="Courier New" w:eastAsia="Courier New" w:hAnsi="Courier New"/>
          <w:sz w:val="18"/>
          <w:szCs w:val="18"/>
          <w:color w:val="auto"/>
        </w:rPr>
        <w:t>Category</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240.13-d(1)(b)(1)(ii)(F)</w:t>
      </w:r>
    </w:p>
    <w:p>
      <w:pPr>
        <w:spacing w:after="0" w:line="182"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w:t>
      </w:r>
    </w:p>
    <w:p>
      <w:pPr>
        <w:spacing w:after="0" w:line="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that The Bank of New York Mellon Corporation, or its direct or indirect subsidiaries, including The Bank of New York and Mellon Bank, N.A., are for the purposes of Section 13(d) or 13(g) of the Act, the beneficial owners of any securities covered by this Schedule 13G.</w:t>
      </w:r>
    </w:p>
    <w:p>
      <w:pPr>
        <w:spacing w:after="0" w:line="202"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The following information applies if checked: (</w:t>
      </w:r>
      <w:r>
        <w:rPr>
          <w:sz w:val="20"/>
          <w:szCs w:val="20"/>
          <w:color w:val="auto"/>
        </w:rPr>
        <w:tab/>
      </w:r>
      <w:r>
        <w:rPr>
          <w:rFonts w:ascii="Courier New" w:cs="Courier New" w:eastAsia="Courier New" w:hAnsi="Courier New"/>
          <w:sz w:val="16"/>
          <w:szCs w:val="16"/>
          <w:color w:val="auto"/>
        </w:rPr>
        <w:t>) Mellon Bank, N.A. and/or</w:t>
      </w:r>
    </w:p>
    <w:p>
      <w:pPr>
        <w:spacing w:after="0" w:line="4" w:lineRule="exact"/>
        <w:rPr>
          <w:sz w:val="20"/>
          <w:szCs w:val="20"/>
          <w:color w:val="auto"/>
        </w:rPr>
      </w:pPr>
    </w:p>
    <w:p>
      <w:pPr>
        <w:ind w:right="209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Trust Company is/are the trustee of the issuer's employee benefit plan (the "Plan"),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Item 5  Ownership of</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Five</w:t>
            </w:r>
          </w:p>
        </w:tc>
        <w:tc>
          <w:tcPr>
            <w:tcW w:w="45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Percent or Less of a Class:</w:t>
            </w:r>
          </w:p>
        </w:tc>
        <w:tc>
          <w:tcPr>
            <w:tcW w:w="6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If this statement is</w:t>
            </w:r>
          </w:p>
        </w:tc>
        <w:tc>
          <w:tcPr>
            <w:tcW w:w="328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being filed to report the fact</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that as of the date</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w:t>
            </w:r>
          </w:p>
        </w:tc>
        <w:tc>
          <w:tcPr>
            <w:tcW w:w="4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has ceased to be the beneficial owner of</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than five percent of</w:t>
            </w:r>
          </w:p>
        </w:tc>
        <w:tc>
          <w:tcPr>
            <w:tcW w:w="3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 class of securities, check</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Item 6  Ownership of</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More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than Five Percent on Behalf of Another Person:</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w w:val="99"/>
              </w:rPr>
              <w:t>All of the securities are</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beneficially owned by The</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Bank of New York</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Mellon</w:t>
            </w:r>
          </w:p>
        </w:tc>
      </w:tr>
      <w:tr>
        <w:trPr>
          <w:trHeight w:val="203"/>
        </w:trPr>
        <w:tc>
          <w:tcPr>
            <w:tcW w:w="5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Corporation and its direct or indirect subsidiaries</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 their various</w:t>
            </w:r>
          </w:p>
        </w:tc>
        <w:tc>
          <w:tcPr>
            <w:tcW w:w="68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fiduciary capacities.  As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4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result, another entity in every instance</w:t>
            </w:r>
          </w:p>
        </w:tc>
        <w:tc>
          <w:tcPr>
            <w:tcW w:w="6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is entitled to dividends or</w:t>
            </w:r>
          </w:p>
        </w:tc>
        <w:tc>
          <w:tcPr>
            <w:tcW w:w="4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proceeds of sale.  The number of</w:t>
            </w:r>
          </w:p>
        </w:tc>
        <w:tc>
          <w:tcPr>
            <w:tcW w:w="6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individual accounts holding</w:t>
            </w:r>
          </w:p>
        </w:tc>
        <w:tc>
          <w:tcPr>
            <w:tcW w:w="4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 interest of 5% or more is (   )</w:t>
            </w:r>
          </w:p>
        </w:tc>
        <w:tc>
          <w:tcPr>
            <w:tcW w:w="680" w:type="dxa"/>
            <w:vAlign w:val="bottom"/>
          </w:tcPr>
          <w:p>
            <w:pPr>
              <w:spacing w:after="0"/>
              <w:rPr>
                <w:sz w:val="17"/>
                <w:szCs w:val="17"/>
                <w:color w:val="auto"/>
              </w:rPr>
            </w:pPr>
          </w:p>
        </w:tc>
      </w:tr>
    </w:tbl>
    <w:p>
      <w:pPr>
        <w:spacing w:after="0" w:line="201" w:lineRule="exact"/>
        <w:rPr>
          <w:sz w:val="20"/>
          <w:szCs w:val="20"/>
          <w:color w:val="auto"/>
        </w:rPr>
      </w:pPr>
    </w:p>
    <w:p>
      <w:pPr>
        <w:jc w:val="center"/>
        <w:ind w:right="2419"/>
        <w:spacing w:after="0"/>
        <w:tabs>
          <w:tab w:leader="none" w:pos="2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jc w:val="center"/>
        <w:ind w:right="2399"/>
        <w:spacing w:after="0" w:line="238" w:lineRule="auto"/>
        <w:rPr>
          <w:sz w:val="20"/>
          <w:szCs w:val="20"/>
          <w:color w:val="auto"/>
        </w:rPr>
      </w:pPr>
      <w:r>
        <w:rPr>
          <w:rFonts w:ascii="Courier New" w:cs="Courier New" w:eastAsia="Courier New" w:hAnsi="Courier New"/>
          <w:sz w:val="18"/>
          <w:szCs w:val="18"/>
          <w:color w:val="auto"/>
        </w:rPr>
        <w:t>the Security Being Reported by the Parent Holding Company:</w:t>
      </w:r>
    </w:p>
    <w:p>
      <w:pPr>
        <w:sectPr>
          <w:pgSz w:w="11900" w:h="16838" w:orient="portrait"/>
          <w:cols w:equalWidth="0" w:num="1">
            <w:col w:w="10219"/>
          </w:cols>
          <w:pgMar w:left="240" w:top="33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See Exhibit I.</w:t>
            </w: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17, 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DAVID BELSTERLING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David Belsterling</w:t>
      </w:r>
    </w:p>
    <w:p>
      <w:pPr>
        <w:ind w:left="640"/>
        <w:spacing w:after="0" w:line="237" w:lineRule="auto"/>
        <w:rPr>
          <w:sz w:val="20"/>
          <w:szCs w:val="20"/>
          <w:color w:val="auto"/>
        </w:rPr>
      </w:pPr>
      <w:r>
        <w:rPr>
          <w:rFonts w:ascii="Courier New" w:cs="Courier New" w:eastAsia="Courier New" w:hAnsi="Courier New"/>
          <w:sz w:val="18"/>
          <w:szCs w:val="18"/>
          <w:color w:val="auto"/>
        </w:rPr>
        <w:t>First Vice President</w:t>
      </w:r>
    </w:p>
    <w:p>
      <w:pPr>
        <w:ind w:left="640"/>
        <w:spacing w:after="0" w:line="238" w:lineRule="auto"/>
        <w:rPr>
          <w:sz w:val="20"/>
          <w:szCs w:val="20"/>
          <w:color w:val="auto"/>
        </w:rPr>
      </w:pPr>
      <w:r>
        <w:rPr>
          <w:rFonts w:ascii="Courier New" w:cs="Courier New" w:eastAsia="Courier New" w:hAnsi="Courier New"/>
          <w:sz w:val="18"/>
          <w:szCs w:val="18"/>
          <w:color w:val="auto"/>
        </w:rPr>
        <w:t>Attorney-In-Fact for</w:t>
      </w:r>
    </w:p>
    <w:p>
      <w:pPr>
        <w:ind w:left="640"/>
        <w:spacing w:after="0"/>
        <w:rPr>
          <w:sz w:val="20"/>
          <w:szCs w:val="20"/>
          <w:color w:val="auto"/>
        </w:rPr>
      </w:pPr>
      <w:r>
        <w:rPr>
          <w:rFonts w:ascii="Courier New" w:cs="Courier New" w:eastAsia="Courier New" w:hAnsi="Courier New"/>
          <w:sz w:val="18"/>
          <w:szCs w:val="18"/>
          <w:color w:val="auto"/>
        </w:rPr>
        <w:t>The Bank of New York Mellon Corporation</w:t>
      </w:r>
    </w:p>
    <w:p>
      <w:pPr>
        <w:sectPr>
          <w:pgSz w:w="11900" w:h="16838" w:orient="portrait"/>
          <w:cols w:equalWidth="0" w:num="1">
            <w:col w:w="10219"/>
          </w:cols>
          <w:pgMar w:left="240" w:top="136"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860" w:right="1679" w:hanging="852"/>
        <w:spacing w:after="0" w:line="290" w:lineRule="auto"/>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3(b) Bank as defined in Section 3(a)(6) of the Act (15 U.S.C. 78c)"</w:t>
      </w:r>
    </w:p>
    <w:p>
      <w:pPr>
        <w:spacing w:after="0" w:line="164" w:lineRule="exact"/>
        <w:rPr>
          <w:sz w:val="20"/>
          <w:szCs w:val="20"/>
          <w:color w:val="auto"/>
        </w:rPr>
      </w:pPr>
    </w:p>
    <w:p>
      <w:pPr>
        <w:ind w:left="1380" w:hanging="529"/>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w:t>
      </w:r>
    </w:p>
    <w:p>
      <w:pPr>
        <w:ind w:left="1060" w:hanging="209"/>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Trust Company, National Association</w:t>
      </w:r>
    </w:p>
    <w:p>
      <w:pPr>
        <w:ind w:left="1380" w:hanging="529"/>
        <w:spacing w:after="0" w:line="238" w:lineRule="auto"/>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209"/>
        <w:spacing w:after="0"/>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of Delaware</w:t>
      </w:r>
    </w:p>
    <w:p>
      <w:pPr>
        <w:spacing w:after="0" w:line="205" w:lineRule="exact"/>
        <w:rPr>
          <w:rFonts w:ascii="Courier New" w:cs="Courier New" w:eastAsia="Courier New" w:hAnsi="Courier New"/>
          <w:sz w:val="18"/>
          <w:szCs w:val="18"/>
          <w:color w:val="auto"/>
        </w:rPr>
      </w:pPr>
    </w:p>
    <w:p>
      <w:pPr>
        <w:jc w:val="both"/>
        <w:ind w:left="860" w:right="2099" w:hanging="852"/>
        <w:spacing w:after="0" w:line="236"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Boston Company Asset Management LLC</w:t>
      </w:r>
    </w:p>
    <w:p>
      <w:pPr>
        <w:ind w:left="1380" w:hanging="529"/>
        <w:spacing w:after="0" w:line="238"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Dreyfus Corporation (parent holding company of MBSC Securities</w:t>
      </w:r>
    </w:p>
    <w:p>
      <w:pPr>
        <w:spacing w:after="0" w:line="202" w:lineRule="exact"/>
        <w:rPr>
          <w:sz w:val="20"/>
          <w:szCs w:val="20"/>
          <w:color w:val="auto"/>
        </w:rPr>
      </w:pPr>
    </w:p>
    <w:p>
      <w:pPr>
        <w:ind w:left="1380" w:hanging="529"/>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Founders Asset Management LLC</w:t>
      </w:r>
    </w:p>
    <w:p>
      <w:pPr>
        <w:spacing w:after="0" w:line="4" w:lineRule="exact"/>
        <w:rPr>
          <w:sz w:val="20"/>
          <w:szCs w:val="20"/>
          <w:color w:val="auto"/>
        </w:rPr>
      </w:pPr>
    </w:p>
    <w:p>
      <w:pPr>
        <w:ind w:left="860" w:right="5359" w:hanging="9"/>
        <w:spacing w:after="0" w:line="235" w:lineRule="auto"/>
        <w:tabs>
          <w:tab w:leader="none" w:pos="138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Portfolio Associates LLC ( ) Lockwood Advisors, Inc.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Lockwood Capital Management, Inc.</w:t>
      </w:r>
    </w:p>
    <w:p>
      <w:pPr>
        <w:spacing w:after="0" w:line="4" w:lineRule="exact"/>
        <w:rPr>
          <w:rFonts w:ascii="Courier New" w:cs="Courier New" w:eastAsia="Courier New" w:hAnsi="Courier New"/>
          <w:sz w:val="18"/>
          <w:szCs w:val="18"/>
          <w:color w:val="auto"/>
        </w:rPr>
      </w:pPr>
    </w:p>
    <w:p>
      <w:pPr>
        <w:ind w:left="1380" w:right="2199" w:hanging="529"/>
        <w:spacing w:after="0" w:line="235"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MBSC Securities Corporation (parent holding company of Founders Asset Management LLC)</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Capital Management Corporation</w:t>
      </w:r>
    </w:p>
    <w:p>
      <w:pPr>
        <w:ind w:left="1060" w:hanging="209"/>
        <w:spacing w:after="0"/>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Investments Limited</w:t>
      </w:r>
    </w:p>
    <w:p>
      <w:pPr>
        <w:ind w:left="1060" w:hanging="209"/>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Capital Management Limited</w:t>
      </w:r>
    </w:p>
    <w:p>
      <w:pPr>
        <w:ind w:left="1060" w:hanging="209"/>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1060" w:hanging="209"/>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Standish Mellon Asset Management Company LLC</w:t>
      </w:r>
    </w:p>
    <w:p>
      <w:pPr>
        <w:ind w:left="1060" w:hanging="209"/>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Urdang Securities Management, Inc.</w:t>
      </w:r>
    </w:p>
    <w:p>
      <w:pPr>
        <w:ind w:left="1060" w:hanging="209"/>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spacing w:after="0" w:line="207" w:lineRule="exact"/>
        <w:rPr>
          <w:rFonts w:ascii="Courier New" w:cs="Courier New" w:eastAsia="Courier New" w:hAnsi="Courier New"/>
          <w:sz w:val="18"/>
          <w:szCs w:val="18"/>
          <w:color w:val="auto"/>
        </w:rPr>
      </w:pPr>
    </w:p>
    <w:p>
      <w:pPr>
        <w:ind w:left="860" w:right="1779" w:hanging="852"/>
        <w:spacing w:after="0" w:line="23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Section 240.13d-1(b)(1)(ii)(G)"</w:t>
      </w:r>
    </w:p>
    <w:p>
      <w:pPr>
        <w:spacing w:after="0" w:line="203" w:lineRule="exact"/>
        <w:rPr>
          <w:sz w:val="20"/>
          <w:szCs w:val="20"/>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380" w:right="1999" w:hanging="526"/>
        <w:spacing w:after="0" w:line="235" w:lineRule="auto"/>
        <w:tabs>
          <w:tab w:leader="none" w:pos="1360" w:val="left"/>
        </w:tabs>
        <w:rPr>
          <w:sz w:val="20"/>
          <w:szCs w:val="20"/>
          <w:color w:val="auto"/>
        </w:rPr>
      </w:pPr>
      <w:r>
        <w:rPr>
          <w:rFonts w:ascii="Courier New" w:cs="Courier New" w:eastAsia="Courier New" w:hAnsi="Courier New"/>
          <w:sz w:val="18"/>
          <w:szCs w:val="18"/>
          <w:color w:val="auto"/>
        </w:rPr>
        <w:t>( )</w:t>
        <w:tab/>
        <w:t>B.N.Y. Holdings (Delaware) Corporation (parent holding company of BNY Mellon Trust of Delaware)</w:t>
      </w:r>
    </w:p>
    <w:p>
      <w:pPr>
        <w:ind w:left="1060" w:hanging="209"/>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Separate Account Services, Inc. (parent holding company of</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 Lockwood Capital Management, Inc.)</w:t>
      </w:r>
    </w:p>
    <w:p>
      <w:pPr>
        <w:spacing w:after="0" w:line="4" w:lineRule="exact"/>
        <w:rPr>
          <w:rFonts w:ascii="Courier New" w:cs="Courier New" w:eastAsia="Courier New" w:hAnsi="Courier New"/>
          <w:sz w:val="18"/>
          <w:szCs w:val="18"/>
          <w:color w:val="auto"/>
        </w:rPr>
      </w:pPr>
    </w:p>
    <w:p>
      <w:pPr>
        <w:ind w:left="1380" w:right="1679" w:hanging="529"/>
        <w:spacing w:after="0" w:line="290" w:lineRule="auto"/>
        <w:tabs>
          <w:tab w:leader="none" w:pos="13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MAM (MA) Holding Trust (parent holding company of Franklin Portfolio Associates LLC; Standish Mellon Asset Management Company LLC; The</w:t>
      </w:r>
    </w:p>
    <w:p>
      <w:pPr>
        <w:spacing w:after="0" w:line="164" w:lineRule="exact"/>
        <w:rPr>
          <w:sz w:val="20"/>
          <w:szCs w:val="20"/>
          <w:color w:val="auto"/>
        </w:rPr>
      </w:pPr>
    </w:p>
    <w:p>
      <w:pPr>
        <w:ind w:left="1380" w:hanging="529"/>
        <w:spacing w:after="0"/>
        <w:tabs>
          <w:tab w:leader="none" w:pos="1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w:t>
      </w:r>
    </w:p>
    <w:p>
      <w:pPr>
        <w:spacing w:after="0" w:line="207" w:lineRule="exact"/>
        <w:rPr>
          <w:sz w:val="20"/>
          <w:szCs w:val="20"/>
          <w:color w:val="auto"/>
        </w:rPr>
      </w:pPr>
    </w:p>
    <w:p>
      <w:pPr>
        <w:ind w:left="1380" w:right="2319" w:hanging="529"/>
        <w:spacing w:after="0" w:line="235" w:lineRule="auto"/>
        <w:tabs>
          <w:tab w:leader="none" w:pos="10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International Holding S.AR.L (parent holding company of Mellon International Limited)</w:t>
      </w:r>
    </w:p>
    <w:p>
      <w:pPr>
        <w:spacing w:after="0" w:line="6" w:lineRule="exact"/>
        <w:rPr>
          <w:sz w:val="20"/>
          <w:szCs w:val="20"/>
          <w:color w:val="auto"/>
        </w:rPr>
      </w:pPr>
    </w:p>
    <w:p>
      <w:pPr>
        <w:ind w:left="1380" w:right="1159" w:hanging="529"/>
        <w:spacing w:after="0" w:line="235" w:lineRule="auto"/>
        <w:tabs>
          <w:tab w:leader="none" w:pos="106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International Limited (parent holding company of Newton Management Limited; Walter Scott &amp; Partners Limited)</w:t>
      </w:r>
    </w:p>
    <w:p>
      <w:pPr>
        <w:spacing w:after="0" w:line="6" w:lineRule="exact"/>
        <w:rPr>
          <w:sz w:val="20"/>
          <w:szCs w:val="20"/>
          <w:color w:val="auto"/>
        </w:rPr>
      </w:pPr>
    </w:p>
    <w:p>
      <w:pPr>
        <w:ind w:left="1380" w:right="1779" w:hanging="529"/>
        <w:spacing w:after="0" w:line="235" w:lineRule="auto"/>
        <w:tabs>
          <w:tab w:leader="none" w:pos="10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Neptune LLC (parent holding company of Mellon International Holding S.AR.L)</w:t>
      </w:r>
    </w:p>
    <w:p>
      <w:pPr>
        <w:spacing w:after="0" w:line="6" w:lineRule="exact"/>
        <w:rPr>
          <w:sz w:val="20"/>
          <w:szCs w:val="20"/>
          <w:color w:val="auto"/>
        </w:rPr>
      </w:pPr>
    </w:p>
    <w:p>
      <w:pPr>
        <w:ind w:left="1380" w:right="1779" w:hanging="525"/>
        <w:spacing w:after="0" w:line="235" w:lineRule="auto"/>
        <w:tabs>
          <w:tab w:leader="none" w:pos="1360" w:val="left"/>
        </w:tabs>
        <w:rPr>
          <w:sz w:val="20"/>
          <w:szCs w:val="20"/>
          <w:color w:val="auto"/>
        </w:rPr>
      </w:pPr>
      <w:r>
        <w:rPr>
          <w:rFonts w:ascii="Courier New" w:cs="Courier New" w:eastAsia="Courier New" w:hAnsi="Courier New"/>
          <w:sz w:val="18"/>
          <w:szCs w:val="18"/>
          <w:color w:val="auto"/>
        </w:rPr>
        <w:t>( )</w:t>
        <w:tab/>
        <w:t>Newton Management Limited (parent holding company of Newton Capital Management Limited; Newton Investment Management Limited)</w:t>
      </w:r>
    </w:p>
    <w:p>
      <w:pPr>
        <w:spacing w:after="0" w:line="6" w:lineRule="exact"/>
        <w:rPr>
          <w:sz w:val="20"/>
          <w:szCs w:val="20"/>
          <w:color w:val="auto"/>
        </w:rPr>
      </w:pPr>
    </w:p>
    <w:p>
      <w:pPr>
        <w:ind w:left="1380" w:right="1879" w:hanging="529"/>
        <w:spacing w:after="0" w:line="235" w:lineRule="auto"/>
        <w:tabs>
          <w:tab w:leader="none" w:pos="106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Group LLC (parent holding company of BNY Separate Account Services, Inc.)</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ALL OF THE LEGAL ENTITIES LISTED UNDER (A) AND (B)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ectPr>
          <w:pgSz w:w="11900" w:h="16838" w:orient="portrait"/>
          <w:cols w:equalWidth="0" w:num="1">
            <w:col w:w="10219"/>
          </w:cols>
          <w:pgMar w:left="240" w:top="717"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KNOW ALL PERSONS BY THESE PRESENTS that each of the undersigned (each a 'Company') does hereby make, constitute and appoint each of David M. Belsterling and Andrew M. Kresl (and any other employee of The Bank of New York Mellon Corporation,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'Exchange Act'), with respect to securities which may be deemed to be beneficially owned by the Company or under the Company's investment discretion under the Exchange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a Company or until such time as the person or persons to whom power of attorney has been hereby granted cease(s) to be an employee of The Bank of New York Mellon Corporation or one of its affiliates.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THIS POWER OF ATTORNEY may be executed in any number of counterparts all of which taken together shall constitute one and the same instrument.</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Power of Attorney effective as of the date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THE BANK OF NEW YORK</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Bruce W. Van Saun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Bruce W. Van Saun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Vice Chairman &amp; Chief Financial</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John Dowd</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John Dowd</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TRUST</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BNY SEPARATE ACCOUNT SERVICES, INC.</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w:t>
            </w: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Michael K. Klugman</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Lisa Detwiler</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Michael K. Klugman</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Lisa Detwiler</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6"/>
              </w:rPr>
              <w:t>Managing Counsel / Asst. Secretary</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27,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Thomas J. Mastro</w:t>
            </w: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Thomas J. Mastro</w:t>
            </w: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THE BOSTON COMPANY ASSET</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THE BOSTON COMPANY HOLDING LLC</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LLC</w:t>
            </w: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Corey A. Griffin</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James P. Palermo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Corey A. Griffin</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James P. Palermo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&amp; Chief Executive Officer</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19, 2007</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THE DREYFUS CORPORATION</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FOUNDERS ASSET MANAGEMENT LLC</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J. David Officer</w:t>
            </w:r>
          </w:p>
        </w:tc>
        <w:tc>
          <w:tcPr>
            <w:tcW w:w="4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David L. Ray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 David Officer</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David L. Ray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 &amp; Chief Operating Officer</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Senior Vice President &amp;</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18, 2007</w:t>
            </w:r>
          </w:p>
        </w:tc>
      </w:tr>
    </w:tbl>
    <w:p>
      <w:pPr>
        <w:sectPr>
          <w:pgSz w:w="11900" w:h="16838" w:orient="portrait"/>
          <w:cols w:equalWidth="0" w:num="1">
            <w:col w:w="10219"/>
          </w:cols>
          <w:pgMar w:left="240" w:top="717"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FRANKLIN PORTFOLIO ASSOCIATES LLC</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LOCKWOOD ADVISORS, INC.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John S. Cone</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Lisa Detwiler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S. Cone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Lisa Detwiler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President &amp; Chief Executive Officer</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Managing Counsel / Asst. Secretary</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7, 2008</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LOCKWOOD CAPITAL MANAGEMENT, INC.</w:t>
            </w: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Lisa Detwiler</w:t>
            </w: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Lisa Detwiler</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Counsel / Asst. Secretary</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27, 2007</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MAM (DE) TRUST</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MAM (MA) HOLDING TRUST</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Michael A. Bryson</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Michael A. Bryson</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Michael A. Bryson, Trustee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Michael A. Bryson, Trustee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Ronald P. O'Hanley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 Trustee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Ronald P. O'Hanley, Trustee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Scott E. Wennerholm</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Scott E. Wennerholm</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Scott E. Wennerholm, Trustee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Scott E. Wennerholm, Trustee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December 20,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20,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Mellon Trust of Delaware,</w:t>
            </w: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N.A., Trustee</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5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Courier New" w:cs="Courier New" w:eastAsia="Courier New" w:hAnsi="Courier New"/>
                <w:sz w:val="18"/>
                <w:szCs w:val="18"/>
                <w:color w:val="auto"/>
              </w:rPr>
              <w:t>By: /s/ David B. Kutch</w:t>
            </w: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MBC INVESTMENTS CORPORATION</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MBSC SECURITIES CORPORATION</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Robert A. Repetto</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J. David Officer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Robert A. Repetto</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J. David Officer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President and Director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BANK, N.A.</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MELLON CAPITAL MANAGEMENT</w:t>
            </w:r>
          </w:p>
        </w:tc>
      </w:tr>
      <w:tr>
        <w:trPr>
          <w:trHeight w:val="203"/>
        </w:trPr>
        <w:tc>
          <w:tcPr>
            <w:tcW w:w="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Gabriela Parcella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Gabriela Parcella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Executive Vice President &amp;</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GLOBAL INVESTMENTS LIMITED</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MELLON INTERNATIONAL HOLDING S.AR.L.</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Robert A. Repetto</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Jonathan M. Little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Robert A. Repetto</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Manager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INTERNATIONAL LIMITED</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MELLON PRIVATE TRUST COMPANY, N.A.</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Helena L. Morrissey</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Lawrence Hughes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Helena L. Morrissey</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Lawrence Hughes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President &amp; Chief Executive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April 15, 2008</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TRUST OF CALIFORNIA</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MELLON TRUST OF DELAWARE, N.A.</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David R. Holst</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David B. Kutch</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David R. Holst</w:t>
            </w:r>
          </w:p>
        </w:tc>
        <w:tc>
          <w:tcPr>
            <w:tcW w:w="35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David B. Kutch</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President &amp; Chief Executive</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TRUST OF NEW ENGLAND, N.A.</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MELLON TRUST OF NEW YORK, LLC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Palermo</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Lawrence Hughes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Palermo</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Lawrence Hughes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TRUST OF WASHINGTON</w:t>
            </w: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David R. Holst</w:t>
            </w: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R. Holst</w:t>
            </w:r>
          </w:p>
        </w:tc>
        <w:tc>
          <w:tcPr>
            <w:tcW w:w="7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&amp; Chief Executive Officer</w:t>
            </w:r>
          </w:p>
        </w:tc>
        <w:tc>
          <w:tcPr>
            <w:tcW w:w="7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NEPTUNE LLC</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NEWTON CAPITAL MANAGEMENT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Helena L. Morrissey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Helena L. Morrissey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President &amp; Chief Executive Officer</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Director &amp; Chief Executive</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15, 2008</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NEWTON MANAGEMENT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Helena L. Morrissey</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Helena L. Morrissey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Helena L. Morrissey</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Helena L. Morrissey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15, 2008</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Date:  April 15, 2008</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PERSHING GROUP LLC</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STANDISH MELLON ASSET MANAGEMENT</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LLC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/s/Dennis Wallestad</w:t>
            </w:r>
          </w:p>
        </w:tc>
        <w:tc>
          <w:tcPr>
            <w:tcW w:w="35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By: /s/ James D. MacIntyre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Dennis Wallestad</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James D. MacIntyre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President &amp; Chief Operating</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11, 2008</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URDANG SECURITIES MANAGEMENT, INC.</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Richard J. Ferst</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Kenneth J. Lyall</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Richard J. Ferst</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Kenneth J. Lyall</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President &amp; Chief Operating Officer</w:t>
            </w:r>
          </w:p>
        </w:tc>
        <w:tc>
          <w:tcPr>
            <w:tcW w:w="3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Chairman</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24, 2007</w:t>
            </w:r>
          </w:p>
        </w:tc>
      </w:tr>
    </w:tbl>
    <w:p>
      <w:pPr>
        <w:sectPr>
          <w:pgSz w:w="11900" w:h="16838" w:orient="portrait"/>
          <w:cols w:equalWidth="0" w:num="1">
            <w:col w:w="10219"/>
          </w:cols>
          <w:pgMar w:left="240" w:top="136"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21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BANK OF NEW YORK</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Bruce W. Van Saun</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Bruce W. Van Saun</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Vice Chairman &amp; Chief Financial</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TRUST</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BNY SEPARATE ACCOUNT SERVICES, INC.</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Michael K. Klugman</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Lisa Detwiler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Michael K. Klugman</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Lisa Detwiler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Managing Counsel / Asst. Secretary</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27,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THE BOSTON COMPANY ASSET</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BOSTON COMPANY HOLDING LLC</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LLC</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Corey A. Griffin</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James P. Palermo</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Corey A. Griffin</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James P. Palermo</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&amp; Chief Executive Officer</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19,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THE DREYFUS CORPORATION</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FOUNDERS ASSET MANAGEMENT LLC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J. David Officer</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David L. Ray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 David Officer</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David L. Ray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 &amp; Chief Operating Officer</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Vice President &amp;</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18,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FRANKLIN PORTFOLIO ASSOCIATES LLC</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LOCKWOOD ADVISORS, INC.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John S. Cone</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Lisa Detwiler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S. Cone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Lisa Detwiler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President &amp; Chief Executive Officer</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Managing Counsel / Asst. Secretary</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7, 2008</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LOCKWOOD CAPITAL MANAGEMENT, INC.</w:t>
            </w: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Lisa Detwiler</w:t>
            </w: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Lisa Detwiler</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Counsel / Asst. Secretary</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27, 2007</w:t>
            </w:r>
          </w:p>
        </w:tc>
        <w:tc>
          <w:tcPr>
            <w:tcW w:w="7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MAM (DE) TRUST</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MAM (MA) HOLDING TRUST</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Michael A. Bryson</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Michael A. Bryson</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Michael A. Bryson, Trustee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Michael A. Bryson, Trustee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Ronald P. O'Hanley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 Trustee</w:t>
            </w:r>
          </w:p>
        </w:tc>
        <w:tc>
          <w:tcPr>
            <w:tcW w:w="4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Ronald P. O'Hanley, Trustee</w:t>
            </w:r>
          </w:p>
        </w:tc>
      </w:tr>
    </w:tbl>
    <w:p>
      <w:pPr>
        <w:sectPr>
          <w:pgSz w:w="11900" w:h="16838" w:orient="portrait"/>
          <w:cols w:equalWidth="0" w:num="1">
            <w:col w:w="10219"/>
          </w:cols>
          <w:pgMar w:left="240" w:top="717"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August 1, 2007</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Scott E. Wennerholm</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Scott E. Wennerholm</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Scott E. Wennerholm, Trustee</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Scott E. Wennerholm, Trustee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December 20, 2007</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20,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Mellon Trust of Delaware,</w:t>
            </w: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N.A., Trustee</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54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By: /s/ David B. Kutch</w:t>
            </w: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MBC INVESTMENTS CORPORATION</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MBSC SECURITIES 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Robert A. Repetto</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J. David Officer</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Robert A. Repetto</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J. David Officer</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President and Director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BANK, N.A.</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MELLON CAPITAL MANAGEMENT</w:t>
            </w:r>
          </w:p>
        </w:tc>
      </w:tr>
      <w:tr>
        <w:trPr>
          <w:trHeight w:val="203"/>
        </w:trPr>
        <w:tc>
          <w:tcPr>
            <w:tcW w:w="5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Gabriela Parcella</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Gabriela Parcella</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Executive Vice President &amp;</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5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GLOBAL INVESTMENTS LIMITED</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MELLON INTERNATIONAL HOLDING S.AR.L.</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Robert A. Repetto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Jonathan M. Little</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Robert A. Repetto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Manager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INTERNATIONAL LIMITED</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MELLON PRIVATE TRUST COMPANY, N.A.</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Helena L. Morrissey</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Lawrence Hughes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Helena L. Morrissey</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Lawrence Hughes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President &amp; Chief Executive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April 15, 2008</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5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TRUST OF CALIFORNIA</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MELLON TRUST OF DELAWARE, N.A.</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David R. Holst</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David B. Kutch</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R. Holst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David B. Kutch</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President &amp; Chief Executive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5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TRUST OF NEW ENGLAND, N.A.</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MELLON TRUST OF NEW YORK, LLC</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Palermo</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Lawrence Hughes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Palermo</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Lawrence Hughes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TRUST OF WASHINGTON</w:t>
            </w: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David R. Holst</w:t>
            </w: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R. Holst</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&amp; Chief Executive Officer</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 2007</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NEPTUNE LLC</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CAPITAL MANAGEMENT 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3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By: /s/ Helena L.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Helena L. Morrissey</w:t>
            </w:r>
          </w:p>
        </w:tc>
      </w:tr>
    </w:tbl>
    <w:p>
      <w:pPr>
        <w:sectPr>
          <w:pgSz w:w="11900" w:h="16838" w:orient="portrait"/>
          <w:cols w:equalWidth="0" w:num="1">
            <w:col w:w="10219"/>
          </w:cols>
          <w:pgMar w:left="24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President &amp; Chief Executive Officer</w:t>
            </w:r>
          </w:p>
        </w:tc>
        <w:tc>
          <w:tcPr>
            <w:tcW w:w="34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Director &amp; Chief Executive</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15, 2008</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NEWTON MANAGEMENT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Helena L. Morrissey</w:t>
            </w: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Helena L. Morrissey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Helena L. Morrissey</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Helena L. Morrissey</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15, 2008</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15, 2008</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PERSHING GROUP LLC</w:t>
            </w: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STANDISH MELLON ASSET MANAGEMENT</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LLC</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Dennis Wallestad</w:t>
            </w:r>
          </w:p>
        </w:tc>
        <w:tc>
          <w:tcPr>
            <w:tcW w:w="34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By: /s/ James D. MacIntyre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Dennis Wallestad</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James D. MacIntyre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President &amp; Chief Operating</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11, 2008</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URDANG SECURITIES MANAGEMENT, INC.</w:t>
            </w: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Richard J. Ferst</w:t>
            </w: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By: /s/ Kenneth J. Lyall</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Richard J. Ferst</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Kenneth J. Lyall</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President &amp; Chief Operating Officer</w:t>
            </w:r>
          </w:p>
        </w:tc>
        <w:tc>
          <w:tcPr>
            <w:tcW w:w="34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Chairman</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 2007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24, 2007</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9"/>
    </w:lvl>
  </w:abstractNum>
  <w:abstractNum w:abstractNumId="5">
    <w:nsid w:val="1BEFD79F"/>
    <w:multiLevelType w:val="hybridMultilevel"/>
    <w:lvl w:ilvl="0">
      <w:lvlJc w:val="left"/>
      <w:lvlText w:val="(%1)"/>
      <w:numFmt w:val="decimal"/>
      <w:start w:val="10"/>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upperLetter"/>
      <w:start w:val="1"/>
    </w:lvl>
  </w:abstractNum>
  <w:abstractNum w:abstractNumId="8">
    <w:nsid w:val="4E6AFB66"/>
    <w:multiLevelType w:val="hybridMultilevel"/>
    <w:lvl w:ilvl="0">
      <w:lvlJc w:val="left"/>
      <w:lvlText w:val="(%1)"/>
      <w:numFmt w:val="upperLetter"/>
      <w:start w:val="24"/>
    </w:lvl>
  </w:abstractNum>
  <w:abstractNum w:abstractNumId="9">
    <w:nsid w:val="25E45D32"/>
    <w:multiLevelType w:val="hybridMultilevel"/>
    <w:lvl w:ilvl="0">
      <w:lvlJc w:val="left"/>
      <w:lvlText w:val="("/>
      <w:numFmt w:val="bullet"/>
      <w:start w:val="1"/>
    </w:lvl>
    <w:lvl w:ilvl="1">
      <w:lvlJc w:val="left"/>
      <w:lvlText w:val="(%2)"/>
      <w:numFmt w:val="upperLetter"/>
      <w:start w:val="24"/>
    </w:lvl>
  </w:abstractNum>
  <w:abstractNum w:abstractNumId="10">
    <w:nsid w:val="519B500D"/>
    <w:multiLevelType w:val="hybridMultilevel"/>
    <w:lvl w:ilvl="0">
      <w:lvlJc w:val="left"/>
      <w:lvlText w:val="(%1)"/>
      <w:numFmt w:val="upperLetter"/>
      <w:start w:val="1"/>
    </w:lvl>
    <w:lvl w:ilvl="1">
      <w:lvlJc w:val="left"/>
      <w:lvlText w:val="("/>
      <w:numFmt w:val="bullet"/>
      <w:start w:val="1"/>
    </w:lvl>
    <w:lvl w:ilvl="2">
      <w:lvlJc w:val="left"/>
      <w:lvlText w:val="(%3)"/>
      <w:numFmt w:val="upperLetter"/>
      <w:start w:val="24"/>
    </w:lvl>
  </w:abstractNum>
  <w:abstractNum w:abstractNumId="11">
    <w:nsid w:val="431BD7B7"/>
    <w:multiLevelType w:val="hybridMultilevel"/>
    <w:lvl w:ilvl="0">
      <w:lvlJc w:val="left"/>
      <w:lvlText w:val="(%1)"/>
      <w:numFmt w:val="upperLetter"/>
      <w:start w:val="24"/>
    </w:lvl>
  </w:abstractNum>
  <w:abstractNum w:abstractNumId="12">
    <w:nsid w:val="3F2DBA31"/>
    <w:multiLevelType w:val="hybridMultilevel"/>
    <w:lvl w:ilvl="0">
      <w:lvlJc w:val="left"/>
      <w:lvlText w:val="(%1)"/>
      <w:numFmt w:val="upperLetter"/>
      <w:start w:val="24"/>
    </w:lvl>
  </w:abstractNum>
  <w:abstractNum w:abstractNumId="13">
    <w:nsid w:val="7C83E458"/>
    <w:multiLevelType w:val="hybridMultilevel"/>
    <w:lvl w:ilvl="0">
      <w:lvlJc w:val="left"/>
      <w:lvlText w:val="(%1)"/>
      <w:numFmt w:val="upperLetter"/>
      <w:start w:val="24"/>
    </w:lvl>
    <w:lvl w:ilvl="1">
      <w:lvlJc w:val="left"/>
      <w:lvlText w:val="%2"/>
      <w:numFmt w:val="upperLetter"/>
      <w:start w:val="1"/>
    </w:lvl>
  </w:abstractNum>
  <w:abstractNum w:abstractNumId="14">
    <w:nsid w:val="257130A3"/>
    <w:multiLevelType w:val="hybridMultilevel"/>
    <w:lvl w:ilvl="0">
      <w:lvlJc w:val="left"/>
      <w:lvlText w:val="(%1)"/>
      <w:numFmt w:val="upperLetter"/>
      <w:start w:val="24"/>
    </w:lvl>
    <w:lvl w:ilvl="1">
      <w:lvlJc w:val="left"/>
      <w:lvlText w:val="%2"/>
      <w:numFmt w:val="upperLetter"/>
      <w:start w:val="1"/>
    </w:lvl>
  </w:abstractNum>
  <w:abstractNum w:abstractNumId="15">
    <w:nsid w:val="62BBD95A"/>
    <w:multiLevelType w:val="hybridMultilevel"/>
    <w:lvl w:ilvl="0">
      <w:lvlJc w:val="left"/>
      <w:lvlText w:val="(%1)"/>
      <w:numFmt w:val="upperLetter"/>
      <w:start w:val="24"/>
    </w:lvl>
    <w:lvl w:ilvl="1">
      <w:lvlJc w:val="left"/>
      <w:lvlText w:val="%2"/>
      <w:numFmt w:val="upperLetter"/>
      <w:start w:val="1"/>
    </w:lvl>
  </w:abstractNum>
  <w:abstractNum w:abstractNumId="16">
    <w:nsid w:val="436C6125"/>
    <w:multiLevelType w:val="hybridMultilevel"/>
    <w:lvl w:ilvl="0">
      <w:lvlJc w:val="left"/>
      <w:lvlText w:val="(%1)"/>
      <w:numFmt w:val="upperLetter"/>
      <w:start w:val="2"/>
    </w:lvl>
    <w:lvl w:ilvl="1">
      <w:lvlJc w:val="left"/>
      <w:lvlText w:val="("/>
      <w:numFmt w:val="bullet"/>
      <w:start w:val="1"/>
    </w:lvl>
  </w:abstractNum>
  <w:abstractNum w:abstractNumId="17">
    <w:nsid w:val="628C895D"/>
    <w:multiLevelType w:val="hybridMultilevel"/>
    <w:lvl w:ilvl="0">
      <w:lvlJc w:val="left"/>
      <w:lvlText w:val="(%1)"/>
      <w:numFmt w:val="upperLetter"/>
      <w:start w:val="24"/>
    </w:lvl>
  </w:abstractNum>
  <w:abstractNum w:abstractNumId="18">
    <w:nsid w:val="333AB105"/>
    <w:multiLevelType w:val="hybridMultilevel"/>
    <w:lvl w:ilvl="0">
      <w:lvlJc w:val="left"/>
      <w:lvlText w:val="("/>
      <w:numFmt w:val="bullet"/>
      <w:start w:val="1"/>
    </w:lvl>
    <w:lvl w:ilvl="1">
      <w:lvlJc w:val="left"/>
      <w:lvlText w:val="(%2)"/>
      <w:numFmt w:val="upperLetter"/>
      <w:start w:val="24"/>
    </w:lvl>
  </w:abstractNum>
  <w:abstractNum w:abstractNumId="19">
    <w:nsid w:val="721DA317"/>
    <w:multiLevelType w:val="hybridMultilevel"/>
    <w:lvl w:ilvl="0">
      <w:lvlJc w:val="left"/>
      <w:lvlText w:val="(%1)"/>
      <w:numFmt w:val="upperLetter"/>
      <w:start w:val="24"/>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2019-12-16T20:44:26Z</dcterms:created>
  <dcterms:modified xsi:type="dcterms:W3CDTF">2019-12-16T20:44:26Z</dcterms:modified>
</cp:coreProperties>
</file>