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-598805</wp:posOffset>
            </wp:positionV>
            <wp:extent cx="8255" cy="599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-607060</wp:posOffset>
            </wp:positionV>
            <wp:extent cx="825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-582930</wp:posOffset>
            </wp:positionV>
            <wp:extent cx="1264285" cy="559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5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27305</wp:posOffset>
            </wp:positionV>
            <wp:extent cx="6969760" cy="1596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Swies Nicole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Revenue, Operations Off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4" w:lineRule="auto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148590</wp:posOffset>
            </wp:positionV>
            <wp:extent cx="6969760" cy="12884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28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12/15/2020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11,843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4.98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18,051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12/15/2020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2,884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4.98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15,167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11,843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11,843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4.98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4.98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16,386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4.98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14,018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-2390775</wp:posOffset>
            </wp:positionV>
            <wp:extent cx="7034530" cy="25285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52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units were forfeited on December 14, 2020 due to failure to achieve performance goals.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Carrie Putnam, attorney-in-fact  12/17/2020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-12700</wp:posOffset>
            </wp:positionV>
            <wp:extent cx="1873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24292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2020-12-17T11:16:30Z</dcterms:created>
  <dcterms:modified xsi:type="dcterms:W3CDTF">2020-12-17T11:16:30Z</dcterms:modified>
</cp:coreProperties>
</file>