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February 3, 2017</w:t>
      </w:r>
    </w:p>
    <w:p>
      <w:pPr>
        <w:spacing w:after="0" w:line="19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333-202626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Pre-Effective Amendment No. 1 to</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S-3</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374"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EZCORP, INC.</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900" w:orient="portrait"/>
          <w:cols w:equalWidth="0" w:num="1">
            <w:col w:w="11420"/>
          </w:cols>
          <w:pgMar w:left="240" w:top="395" w:right="239" w:bottom="0" w:gutter="0" w:footer="0" w:header="0"/>
        </w:sectPr>
      </w:pPr>
    </w:p>
    <w:p>
      <w:pPr>
        <w:spacing w:after="0" w:line="200" w:lineRule="exact"/>
        <w:rPr>
          <w:sz w:val="24"/>
          <w:szCs w:val="24"/>
          <w:color w:val="auto"/>
        </w:rPr>
      </w:pPr>
    </w:p>
    <w:p>
      <w:pPr>
        <w:spacing w:after="0" w:line="206" w:lineRule="exact"/>
        <w:rPr>
          <w:sz w:val="24"/>
          <w:szCs w:val="24"/>
          <w:color w:val="auto"/>
        </w:rPr>
      </w:pPr>
    </w:p>
    <w:p>
      <w:pPr>
        <w:ind w:left="162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74-2540145</w:t>
      </w:r>
    </w:p>
    <w:p>
      <w:pPr>
        <w:spacing w:after="0" w:line="102" w:lineRule="exact"/>
        <w:rPr>
          <w:sz w:val="24"/>
          <w:szCs w:val="24"/>
          <w:color w:val="auto"/>
        </w:rPr>
      </w:pPr>
    </w:p>
    <w:p>
      <w:pPr>
        <w:sectPr>
          <w:pgSz w:w="11900" w:h="16900" w:orient="portrait"/>
          <w:cols w:equalWidth="0" w:num="2">
            <w:col w:w="8220" w:space="720"/>
            <w:col w:w="2480"/>
          </w:cols>
          <w:pgMar w:left="240" w:top="395" w:right="239" w:bottom="0" w:gutter="0" w:footer="0" w:header="0"/>
          <w:type w:val="continuous"/>
        </w:sectPr>
      </w:pPr>
    </w:p>
    <w:p>
      <w:pPr>
        <w:ind w:left="1100"/>
        <w:spacing w:after="0"/>
        <w:rPr>
          <w:sz w:val="20"/>
          <w:szCs w:val="20"/>
          <w:color w:val="auto"/>
        </w:rPr>
      </w:pPr>
      <w:r>
        <w:rPr>
          <w:rFonts w:ascii="Arial" w:cs="Arial" w:eastAsia="Arial" w:hAnsi="Arial"/>
          <w:sz w:val="14"/>
          <w:szCs w:val="14"/>
          <w:color w:val="auto"/>
        </w:rPr>
        <w:t>(State or other jurisdiction of</w:t>
      </w:r>
    </w:p>
    <w:p>
      <w:pPr>
        <w:spacing w:after="0" w:line="1" w:lineRule="exact"/>
        <w:rPr>
          <w:sz w:val="24"/>
          <w:szCs w:val="24"/>
          <w:color w:val="auto"/>
        </w:rPr>
      </w:pPr>
    </w:p>
    <w:p>
      <w:pPr>
        <w:ind w:left="108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362" w:lineRule="exact"/>
        <w:rPr>
          <w:sz w:val="24"/>
          <w:szCs w:val="24"/>
          <w:color w:val="auto"/>
        </w:rPr>
      </w:pPr>
    </w:p>
    <w:p>
      <w:pPr>
        <w:sectPr>
          <w:pgSz w:w="11900" w:h="16900" w:orient="portrait"/>
          <w:cols w:equalWidth="0" w:num="2">
            <w:col w:w="7600" w:space="720"/>
            <w:col w:w="3100"/>
          </w:cols>
          <w:pgMar w:left="240" w:top="395" w:right="239" w:bottom="0" w:gutter="0" w:footer="0" w:header="0"/>
          <w:type w:val="continuous"/>
        </w:sectPr>
      </w:pP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2500 Bee Cave Road, Building One, Suite 200, Rollingwood, Texas 78746</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(512) 314-3400</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including zip code, and telephone number, including area code,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of registrant’s principal executive offices)</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Thomas H. Welch, Jr.</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EZCORP,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2500 Bee Cave Road, Building One, Suite 200, Rollingwood, Texas 78746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(512) 314-3409</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Copies to:</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Robert L. Kimball</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Christopher G. Schmitt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Vinson &amp; Elkins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2001 Ross Avenue, 3700 Trammel Crow Center, Dallas, Texas 75201-2975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(214) 220-7700</w:t>
      </w:r>
    </w:p>
    <w:p>
      <w:pPr>
        <w:spacing w:after="0" w:line="282" w:lineRule="exact"/>
        <w:rPr>
          <w:sz w:val="24"/>
          <w:szCs w:val="24"/>
          <w:color w:val="auto"/>
        </w:rPr>
      </w:pPr>
    </w:p>
    <w:p>
      <w:pPr>
        <w:spacing w:after="0"/>
        <w:rPr>
          <w:sz w:val="20"/>
          <w:szCs w:val="20"/>
          <w:color w:val="auto"/>
        </w:rPr>
      </w:pPr>
      <w:r>
        <w:rPr>
          <w:rFonts w:ascii="Arial" w:cs="Arial" w:eastAsia="Arial" w:hAnsi="Arial"/>
          <w:sz w:val="16"/>
          <w:szCs w:val="16"/>
          <w:color w:val="auto"/>
        </w:rPr>
        <w:t>Approximate date of commencement of proposed sale of the securities to the public: From time to time after the effective date of this registration statement.</w:t>
      </w:r>
    </w:p>
    <w:p>
      <w:pPr>
        <w:spacing w:after="0" w:line="1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36" w:lineRule="exact"/>
        <w:rPr>
          <w:sz w:val="24"/>
          <w:szCs w:val="24"/>
          <w:color w:val="auto"/>
        </w:rPr>
      </w:pPr>
    </w:p>
    <w:p>
      <w:pPr>
        <w:ind w:right="100"/>
        <w:spacing w:after="0" w:line="308" w:lineRule="auto"/>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Arial" w:cs="Arial" w:eastAsia="Arial" w:hAnsi="Arial"/>
          <w:sz w:val="21"/>
          <w:szCs w:val="21"/>
          <w:color w:val="auto"/>
        </w:rPr>
        <w:t>x</w:t>
      </w:r>
    </w:p>
    <w:p>
      <w:pPr>
        <w:spacing w:after="0" w:line="129" w:lineRule="exact"/>
        <w:rPr>
          <w:sz w:val="24"/>
          <w:szCs w:val="24"/>
          <w:color w:val="auto"/>
        </w:rPr>
      </w:pPr>
    </w:p>
    <w:p>
      <w:pPr>
        <w:ind w:right="200"/>
        <w:spacing w:after="0" w:line="201"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39" w:lineRule="exact"/>
        <w:rPr>
          <w:sz w:val="24"/>
          <w:szCs w:val="24"/>
          <w:color w:val="auto"/>
        </w:rPr>
      </w:pPr>
    </w:p>
    <w:p>
      <w:pPr>
        <w:ind w:right="80"/>
        <w:spacing w:after="0" w:line="201"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39"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139" w:lineRule="exact"/>
        <w:rPr>
          <w:sz w:val="24"/>
          <w:szCs w:val="24"/>
          <w:color w:val="auto"/>
        </w:rPr>
      </w:pPr>
    </w:p>
    <w:p>
      <w:pPr>
        <w:ind w:right="60"/>
        <w:spacing w:after="0" w:line="201" w:lineRule="exact"/>
        <w:rPr>
          <w:sz w:val="20"/>
          <w:szCs w:val="20"/>
          <w:color w:val="auto"/>
        </w:rPr>
      </w:pPr>
      <w:r>
        <w:rPr>
          <w:rFonts w:ascii="Arial" w:cs="Arial" w:eastAsia="Arial" w:hAnsi="Arial"/>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139" w:lineRule="exact"/>
        <w:rPr>
          <w:sz w:val="24"/>
          <w:szCs w:val="24"/>
          <w:color w:val="auto"/>
        </w:rPr>
      </w:pPr>
    </w:p>
    <w:p>
      <w:pPr>
        <w:ind w:right="20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55" w:lineRule="exact"/>
        <w:rPr>
          <w:sz w:val="24"/>
          <w:szCs w:val="24"/>
          <w:color w:val="auto"/>
        </w:rPr>
      </w:pPr>
    </w:p>
    <w:tbl>
      <w:tblPr>
        <w:tblLayout w:type="fixed"/>
        <w:tblInd w:w="90" w:type="dxa"/>
        <w:tblCellMar>
          <w:top w:w="0" w:type="dxa"/>
          <w:left w:w="0" w:type="dxa"/>
          <w:bottom w:w="0" w:type="dxa"/>
          <w:right w:w="0" w:type="dxa"/>
        </w:tblCellMar>
      </w:tblPr>
      <w:tr>
        <w:trPr>
          <w:trHeight w:val="283"/>
        </w:trPr>
        <w:tc>
          <w:tcPr>
            <w:tcW w:w="2700" w:type="dxa"/>
            <w:vAlign w:val="bottom"/>
          </w:tcPr>
          <w:p>
            <w:pPr>
              <w:ind w:left="28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6"/>
                <w:szCs w:val="16"/>
                <w:color w:val="auto"/>
              </w:rPr>
              <w:t>☐</w:t>
            </w:r>
          </w:p>
        </w:tc>
        <w:tc>
          <w:tcPr>
            <w:tcW w:w="252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3480" w:type="dxa"/>
            <w:vAlign w:val="bottom"/>
            <w:gridSpan w:val="3"/>
          </w:tcPr>
          <w:p>
            <w:pPr>
              <w:jc w:val="center"/>
              <w:ind w:right="1088"/>
              <w:spacing w:after="0" w:line="207" w:lineRule="exact"/>
              <w:rPr>
                <w:sz w:val="20"/>
                <w:szCs w:val="20"/>
                <w:color w:val="auto"/>
              </w:rPr>
            </w:pPr>
            <w:r>
              <w:rPr>
                <w:rFonts w:ascii="Arial" w:cs="Arial" w:eastAsia="Arial" w:hAnsi="Arial"/>
                <w:sz w:val="18"/>
                <w:szCs w:val="18"/>
                <w:color w:val="auto"/>
                <w:w w:val="91"/>
              </w:rPr>
              <w:t xml:space="preserve">Non-accelerated filer </w:t>
            </w:r>
            <w:r>
              <w:rPr>
                <w:rFonts w:ascii="MS PGothic" w:cs="MS PGothic" w:eastAsia="MS PGothic" w:hAnsi="MS PGothic"/>
                <w:sz w:val="16"/>
                <w:szCs w:val="16"/>
                <w:color w:val="auto"/>
                <w:w w:val="91"/>
              </w:rPr>
              <w:t>☐</w:t>
            </w:r>
          </w:p>
        </w:tc>
        <w:tc>
          <w:tcPr>
            <w:tcW w:w="26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6"/>
                <w:szCs w:val="16"/>
                <w:color w:val="auto"/>
              </w:rPr>
              <w:t>☐</w:t>
            </w:r>
          </w:p>
        </w:tc>
      </w:tr>
      <w:tr>
        <w:trPr>
          <w:trHeight w:val="231"/>
        </w:trPr>
        <w:tc>
          <w:tcPr>
            <w:tcW w:w="2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180" w:type="dxa"/>
            <w:vAlign w:val="bottom"/>
            <w:gridSpan w:val="4"/>
          </w:tcPr>
          <w:p>
            <w:pPr>
              <w:jc w:val="center"/>
              <w:ind w:left="463"/>
              <w:spacing w:after="0"/>
              <w:rPr>
                <w:sz w:val="20"/>
                <w:szCs w:val="20"/>
                <w:color w:val="auto"/>
              </w:rPr>
            </w:pPr>
            <w:r>
              <w:rPr>
                <w:rFonts w:ascii="Arial" w:cs="Arial" w:eastAsia="Arial" w:hAnsi="Arial"/>
                <w:sz w:val="16"/>
                <w:szCs w:val="16"/>
                <w:color w:val="auto"/>
              </w:rPr>
              <w:t>(Do not check if a smaller reporting company)</w:t>
            </w:r>
          </w:p>
        </w:tc>
        <w:tc>
          <w:tcPr>
            <w:tcW w:w="2600" w:type="dxa"/>
            <w:vAlign w:val="bottom"/>
          </w:tcPr>
          <w:p>
            <w:pPr>
              <w:spacing w:after="0"/>
              <w:rPr>
                <w:sz w:val="20"/>
                <w:szCs w:val="20"/>
                <w:color w:val="auto"/>
              </w:rPr>
            </w:pPr>
          </w:p>
        </w:tc>
      </w:tr>
      <w:tr>
        <w:trPr>
          <w:trHeight w:val="419"/>
        </w:trPr>
        <w:tc>
          <w:tcPr>
            <w:tcW w:w="2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60" w:type="dxa"/>
            <w:vAlign w:val="bottom"/>
            <w:gridSpan w:val="3"/>
          </w:tcPr>
          <w:p>
            <w:pPr>
              <w:ind w:left="600"/>
              <w:spacing w:after="0"/>
              <w:rPr>
                <w:sz w:val="20"/>
                <w:szCs w:val="20"/>
                <w:color w:val="auto"/>
              </w:rPr>
            </w:pPr>
            <w:r>
              <w:rPr>
                <w:rFonts w:ascii="Arial" w:cs="Arial" w:eastAsia="Arial" w:hAnsi="Arial"/>
                <w:sz w:val="16"/>
                <w:szCs w:val="16"/>
                <w:b w:val="1"/>
                <w:bCs w:val="1"/>
                <w:color w:val="auto"/>
              </w:rPr>
              <w:t>CALCULATION OF REGISTRATION FEE</w:t>
            </w:r>
          </w:p>
        </w:tc>
        <w:tc>
          <w:tcPr>
            <w:tcW w:w="15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181"/>
        </w:trPr>
        <w:tc>
          <w:tcPr>
            <w:tcW w:w="27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tcPr>
          <w:p>
            <w:pPr>
              <w:spacing w:after="0"/>
              <w:rPr>
                <w:sz w:val="15"/>
                <w:szCs w:val="15"/>
                <w:color w:val="auto"/>
              </w:rPr>
            </w:pPr>
          </w:p>
        </w:tc>
      </w:tr>
      <w:tr>
        <w:trPr>
          <w:trHeight w:val="156"/>
        </w:trPr>
        <w:tc>
          <w:tcPr>
            <w:tcW w:w="2700" w:type="dxa"/>
            <w:vAlign w:val="bottom"/>
            <w:tcBorders>
              <w:lef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1680" w:type="dxa"/>
            <w:vAlign w:val="bottom"/>
            <w:tcBorders>
              <w:right w:val="single" w:sz="8" w:color="auto"/>
            </w:tcBorders>
          </w:tcPr>
          <w:p>
            <w:pPr>
              <w:jc w:val="center"/>
              <w:ind w:left="44"/>
              <w:spacing w:after="0" w:line="157" w:lineRule="exact"/>
              <w:rPr>
                <w:sz w:val="20"/>
                <w:szCs w:val="20"/>
                <w:color w:val="auto"/>
              </w:rPr>
            </w:pPr>
            <w:r>
              <w:rPr>
                <w:rFonts w:ascii="Arial" w:cs="Arial" w:eastAsia="Arial" w:hAnsi="Arial"/>
                <w:sz w:val="14"/>
                <w:szCs w:val="14"/>
                <w:b w:val="1"/>
                <w:bCs w:val="1"/>
                <w:color w:val="auto"/>
              </w:rPr>
              <w:t>Proposed maximum</w:t>
            </w:r>
          </w:p>
        </w:tc>
        <w:tc>
          <w:tcPr>
            <w:tcW w:w="280" w:type="dxa"/>
            <w:vAlign w:val="bottom"/>
          </w:tcPr>
          <w:p>
            <w:pPr>
              <w:spacing w:after="0"/>
              <w:rPr>
                <w:sz w:val="13"/>
                <w:szCs w:val="13"/>
                <w:color w:val="auto"/>
              </w:rPr>
            </w:pPr>
          </w:p>
        </w:tc>
        <w:tc>
          <w:tcPr>
            <w:tcW w:w="1520" w:type="dxa"/>
            <w:vAlign w:val="bottom"/>
            <w:tcBorders>
              <w:right w:val="single" w:sz="8" w:color="auto"/>
            </w:tcBorders>
          </w:tcPr>
          <w:p>
            <w:pPr>
              <w:jc w:val="center"/>
              <w:ind w:right="28"/>
              <w:spacing w:after="0" w:line="157" w:lineRule="exact"/>
              <w:rPr>
                <w:sz w:val="20"/>
                <w:szCs w:val="20"/>
                <w:color w:val="auto"/>
              </w:rPr>
            </w:pPr>
            <w:r>
              <w:rPr>
                <w:rFonts w:ascii="Arial" w:cs="Arial" w:eastAsia="Arial" w:hAnsi="Arial"/>
                <w:sz w:val="14"/>
                <w:szCs w:val="14"/>
                <w:b w:val="1"/>
                <w:bCs w:val="1"/>
                <w:color w:val="auto"/>
              </w:rPr>
              <w:t>Proposed maximum</w:t>
            </w:r>
          </w:p>
        </w:tc>
        <w:tc>
          <w:tcPr>
            <w:tcW w:w="2600" w:type="dxa"/>
            <w:vAlign w:val="bottom"/>
            <w:tcBorders>
              <w:right w:val="single" w:sz="8" w:color="auto"/>
            </w:tcBorders>
          </w:tcPr>
          <w:p>
            <w:pPr>
              <w:spacing w:after="0"/>
              <w:rPr>
                <w:sz w:val="13"/>
                <w:szCs w:val="13"/>
                <w:color w:val="auto"/>
              </w:rPr>
            </w:pPr>
          </w:p>
        </w:tc>
      </w:tr>
      <w:tr>
        <w:trPr>
          <w:trHeight w:val="162"/>
        </w:trPr>
        <w:tc>
          <w:tcPr>
            <w:tcW w:w="2700" w:type="dxa"/>
            <w:vAlign w:val="bottom"/>
            <w:tcBorders>
              <w:left w:val="single" w:sz="8" w:color="auto"/>
            </w:tcBorders>
          </w:tcPr>
          <w:p>
            <w:pPr>
              <w:jc w:val="center"/>
              <w:ind w:left="724"/>
              <w:spacing w:after="0"/>
              <w:rPr>
                <w:sz w:val="20"/>
                <w:szCs w:val="20"/>
                <w:color w:val="auto"/>
              </w:rPr>
            </w:pPr>
            <w:r>
              <w:rPr>
                <w:rFonts w:ascii="Arial" w:cs="Arial" w:eastAsia="Arial" w:hAnsi="Arial"/>
                <w:sz w:val="14"/>
                <w:szCs w:val="14"/>
                <w:b w:val="1"/>
                <w:bCs w:val="1"/>
                <w:color w:val="auto"/>
              </w:rPr>
              <w:t>Title of Each Class of</w:t>
            </w:r>
          </w:p>
        </w:tc>
        <w:tc>
          <w:tcPr>
            <w:tcW w:w="82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ind w:left="440"/>
              <w:spacing w:after="0"/>
              <w:rPr>
                <w:sz w:val="20"/>
                <w:szCs w:val="20"/>
                <w:color w:val="auto"/>
              </w:rPr>
            </w:pPr>
            <w:r>
              <w:rPr>
                <w:rFonts w:ascii="Arial" w:cs="Arial" w:eastAsia="Arial" w:hAnsi="Arial"/>
                <w:sz w:val="14"/>
                <w:szCs w:val="14"/>
                <w:b w:val="1"/>
                <w:bCs w:val="1"/>
                <w:color w:val="auto"/>
              </w:rPr>
              <w:t>Amount to be</w:t>
            </w:r>
          </w:p>
        </w:tc>
        <w:tc>
          <w:tcPr>
            <w:tcW w:w="1680" w:type="dxa"/>
            <w:vAlign w:val="bottom"/>
            <w:tcBorders>
              <w:right w:val="single" w:sz="8" w:color="auto"/>
            </w:tcBorders>
          </w:tcPr>
          <w:p>
            <w:pPr>
              <w:jc w:val="center"/>
              <w:ind w:left="44"/>
              <w:spacing w:after="0"/>
              <w:rPr>
                <w:sz w:val="20"/>
                <w:szCs w:val="20"/>
                <w:color w:val="auto"/>
              </w:rPr>
            </w:pPr>
            <w:r>
              <w:rPr>
                <w:rFonts w:ascii="Arial" w:cs="Arial" w:eastAsia="Arial" w:hAnsi="Arial"/>
                <w:sz w:val="14"/>
                <w:szCs w:val="14"/>
                <w:b w:val="1"/>
                <w:bCs w:val="1"/>
                <w:color w:val="auto"/>
              </w:rPr>
              <w:t>offering price</w:t>
            </w:r>
          </w:p>
        </w:tc>
        <w:tc>
          <w:tcPr>
            <w:tcW w:w="280" w:type="dxa"/>
            <w:vAlign w:val="bottom"/>
          </w:tcPr>
          <w:p>
            <w:pPr>
              <w:spacing w:after="0"/>
              <w:rPr>
                <w:sz w:val="14"/>
                <w:szCs w:val="14"/>
                <w:color w:val="auto"/>
              </w:rPr>
            </w:pPr>
          </w:p>
        </w:tc>
        <w:tc>
          <w:tcPr>
            <w:tcW w:w="1520" w:type="dxa"/>
            <w:vAlign w:val="bottom"/>
            <w:tcBorders>
              <w:right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aggregate offering</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Amount of</w:t>
            </w:r>
          </w:p>
        </w:tc>
      </w:tr>
      <w:tr>
        <w:trPr>
          <w:trHeight w:val="196"/>
        </w:trPr>
        <w:tc>
          <w:tcPr>
            <w:tcW w:w="2700" w:type="dxa"/>
            <w:vAlign w:val="bottom"/>
            <w:tcBorders>
              <w:left w:val="single" w:sz="8" w:color="auto"/>
              <w:bottom w:val="single" w:sz="8" w:color="auto"/>
            </w:tcBorders>
          </w:tcPr>
          <w:p>
            <w:pPr>
              <w:jc w:val="center"/>
              <w:ind w:left="764"/>
              <w:spacing w:after="0"/>
              <w:rPr>
                <w:sz w:val="20"/>
                <w:szCs w:val="20"/>
                <w:color w:val="auto"/>
              </w:rPr>
            </w:pPr>
            <w:r>
              <w:rPr>
                <w:rFonts w:ascii="Arial" w:cs="Arial" w:eastAsia="Arial" w:hAnsi="Arial"/>
                <w:sz w:val="14"/>
                <w:szCs w:val="14"/>
                <w:b w:val="1"/>
                <w:bCs w:val="1"/>
                <w:color w:val="auto"/>
              </w:rPr>
              <w:t>Securities to be Registered</w:t>
            </w:r>
          </w:p>
        </w:tc>
        <w:tc>
          <w:tcPr>
            <w:tcW w:w="82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4"/>
                <w:szCs w:val="14"/>
                <w:b w:val="1"/>
                <w:bCs w:val="1"/>
                <w:color w:val="auto"/>
              </w:rPr>
              <w:t>Registered (1)</w:t>
            </w:r>
          </w:p>
        </w:tc>
        <w:tc>
          <w:tcPr>
            <w:tcW w:w="1680" w:type="dxa"/>
            <w:vAlign w:val="bottom"/>
            <w:tcBorders>
              <w:bottom w:val="single" w:sz="8" w:color="auto"/>
              <w:right w:val="single" w:sz="8" w:color="auto"/>
            </w:tcBorders>
          </w:tcPr>
          <w:p>
            <w:pPr>
              <w:jc w:val="center"/>
              <w:ind w:left="84"/>
              <w:spacing w:after="0"/>
              <w:rPr>
                <w:sz w:val="20"/>
                <w:szCs w:val="20"/>
                <w:color w:val="auto"/>
              </w:rPr>
            </w:pPr>
            <w:r>
              <w:rPr>
                <w:rFonts w:ascii="Arial" w:cs="Arial" w:eastAsia="Arial" w:hAnsi="Arial"/>
                <w:sz w:val="14"/>
                <w:szCs w:val="14"/>
                <w:b w:val="1"/>
                <w:bCs w:val="1"/>
                <w:color w:val="auto"/>
              </w:rPr>
              <w:t>per unit (2)</w:t>
            </w: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price</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Registration fee</w:t>
            </w:r>
          </w:p>
        </w:tc>
      </w:tr>
      <w:tr>
        <w:trPr>
          <w:trHeight w:val="231"/>
        </w:trPr>
        <w:tc>
          <w:tcPr>
            <w:tcW w:w="2700" w:type="dxa"/>
            <w:vAlign w:val="bottom"/>
            <w:tcBorders>
              <w:left w:val="single" w:sz="8" w:color="auto"/>
            </w:tcBorders>
          </w:tcPr>
          <w:p>
            <w:pPr>
              <w:ind w:left="140"/>
              <w:spacing w:after="0"/>
              <w:rPr>
                <w:sz w:val="20"/>
                <w:szCs w:val="20"/>
                <w:color w:val="auto"/>
              </w:rPr>
            </w:pPr>
            <w:r>
              <w:rPr>
                <w:rFonts w:ascii="Arial" w:cs="Arial" w:eastAsia="Arial" w:hAnsi="Arial"/>
                <w:sz w:val="14"/>
                <w:szCs w:val="14"/>
                <w:color w:val="auto"/>
              </w:rPr>
              <w:t>Debt securities (3)</w:t>
            </w:r>
          </w:p>
        </w:tc>
        <w:tc>
          <w:tcPr>
            <w:tcW w:w="82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r>
      <w:tr>
        <w:trPr>
          <w:trHeight w:val="39"/>
        </w:trPr>
        <w:tc>
          <w:tcPr>
            <w:tcW w:w="2700" w:type="dxa"/>
            <w:vAlign w:val="bottom"/>
            <w:tcBorders>
              <w:left w:val="single" w:sz="8" w:color="auto"/>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r>
      <w:tr>
        <w:trPr>
          <w:trHeight w:val="64"/>
        </w:trPr>
        <w:tc>
          <w:tcPr>
            <w:tcW w:w="2700" w:type="dxa"/>
            <w:vAlign w:val="bottom"/>
            <w:tcBorders>
              <w:left w:val="single" w:sz="8" w:color="auto"/>
            </w:tcBorders>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1700" w:type="dxa"/>
            <w:vAlign w:val="bottom"/>
            <w:tcBorders>
              <w:right w:val="single" w:sz="8" w:color="auto"/>
            </w:tcBorders>
          </w:tcPr>
          <w:p>
            <w:pPr>
              <w:spacing w:after="0"/>
              <w:rPr>
                <w:sz w:val="5"/>
                <w:szCs w:val="5"/>
                <w:color w:val="auto"/>
              </w:rPr>
            </w:pPr>
          </w:p>
        </w:tc>
        <w:tc>
          <w:tcPr>
            <w:tcW w:w="168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r>
    </w:tbl>
    <w:p>
      <w:pPr>
        <w:sectPr>
          <w:pgSz w:w="11900" w:h="16900" w:orient="portrait"/>
          <w:cols w:equalWidth="0" w:num="1">
            <w:col w:w="11420"/>
          </w:cols>
          <w:pgMar w:left="240" w:top="395" w:right="239" w:bottom="0" w:gutter="0" w:footer="0" w:header="0"/>
          <w:type w:val="continuous"/>
        </w:sectPr>
      </w:pPr>
    </w:p>
    <w:bookmarkStart w:id="1" w:name="page2"/>
    <w:bookmarkEnd w:id="1"/>
    <w:p>
      <w:pPr>
        <w:ind w:left="2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169150" cy="9690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969010"/>
                    </a:xfrm>
                    <a:prstGeom prst="rect">
                      <a:avLst/>
                    </a:prstGeom>
                    <a:noFill/>
                  </pic:spPr>
                </pic:pic>
              </a:graphicData>
            </a:graphic>
          </wp:anchor>
        </w:drawing>
        <w:t>Class A Non-voting Common Stock, par value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$0.01 per share</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Warrants</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Stock purchase contracts</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Stock purchase contracts</w:t>
      </w:r>
    </w:p>
    <w:p>
      <w:pPr>
        <w:spacing w:after="0" w:line="57" w:lineRule="exact"/>
        <w:rPr>
          <w:sz w:val="20"/>
          <w:szCs w:val="20"/>
          <w:color w:val="auto"/>
        </w:rPr>
      </w:pPr>
    </w:p>
    <w:tbl>
      <w:tblPr>
        <w:tblLayout w:type="fixed"/>
        <w:tblInd w:w="80" w:type="dxa"/>
        <w:tblCellMar>
          <w:top w:w="0" w:type="dxa"/>
          <w:left w:w="0" w:type="dxa"/>
          <w:bottom w:w="0" w:type="dxa"/>
          <w:right w:w="0" w:type="dxa"/>
        </w:tblCellMar>
      </w:tblPr>
      <w:tr>
        <w:trPr>
          <w:trHeight w:val="245"/>
        </w:trPr>
        <w:tc>
          <w:tcPr>
            <w:tcW w:w="352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1700" w:type="dxa"/>
            <w:vAlign w:val="bottom"/>
            <w:tcBorders>
              <w:top w:val="single" w:sz="8" w:color="auto"/>
              <w:right w:val="single" w:sz="8" w:color="auto"/>
            </w:tcBorders>
          </w:tcPr>
          <w:p>
            <w:pPr>
              <w:spacing w:after="0"/>
              <w:rPr>
                <w:sz w:val="21"/>
                <w:szCs w:val="21"/>
                <w:color w:val="auto"/>
              </w:rPr>
            </w:pPr>
          </w:p>
        </w:tc>
        <w:tc>
          <w:tcPr>
            <w:tcW w:w="1680" w:type="dxa"/>
            <w:vAlign w:val="bottom"/>
            <w:tcBorders>
              <w:top w:val="single" w:sz="8" w:color="auto"/>
              <w:right w:val="single" w:sz="8" w:color="auto"/>
            </w:tcBorders>
          </w:tcPr>
          <w:p>
            <w:pPr>
              <w:spacing w:after="0"/>
              <w:rPr>
                <w:sz w:val="21"/>
                <w:szCs w:val="21"/>
                <w:color w:val="auto"/>
              </w:rPr>
            </w:pPr>
          </w:p>
        </w:tc>
        <w:tc>
          <w:tcPr>
            <w:tcW w:w="1800" w:type="dxa"/>
            <w:vAlign w:val="bottom"/>
            <w:tcBorders>
              <w:top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$500,000,000 (4)</w:t>
            </w:r>
          </w:p>
        </w:tc>
        <w:tc>
          <w:tcPr>
            <w:tcW w:w="2580" w:type="dxa"/>
            <w:vAlign w:val="bottom"/>
            <w:tcBorders>
              <w:top w:val="single" w:sz="8" w:color="auto"/>
            </w:tcBorders>
          </w:tcPr>
          <w:p>
            <w:pPr>
              <w:jc w:val="right"/>
              <w:ind w:right="768"/>
              <w:spacing w:after="0"/>
              <w:rPr>
                <w:sz w:val="20"/>
                <w:szCs w:val="20"/>
                <w:color w:val="auto"/>
              </w:rPr>
            </w:pPr>
            <w:r>
              <w:rPr>
                <w:rFonts w:ascii="Arial" w:cs="Arial" w:eastAsia="Arial" w:hAnsi="Arial"/>
                <w:sz w:val="14"/>
                <w:szCs w:val="14"/>
                <w:color w:val="auto"/>
              </w:rPr>
              <w:t>$57,950 (5)</w:t>
            </w:r>
          </w:p>
        </w:tc>
      </w:tr>
      <w:tr>
        <w:trPr>
          <w:trHeight w:val="39"/>
        </w:trPr>
        <w:tc>
          <w:tcPr>
            <w:tcW w:w="35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500" w:right="20" w:hanging="492"/>
        <w:spacing w:after="0" w:line="244" w:lineRule="auto"/>
        <w:tabs>
          <w:tab w:leader="none" w:pos="50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This Registration Statement covers an indeterminate aggregate principal amount of debt securities, an indeterminate number of shares of Class A Non-Voting Common Stock and an indeterminate number of warrants, stock purchase contracts or stock purchase units. The securities registered under this Registration Statement may be sold separately or as units with other securities registered under this Registration Statement. Pursuant to Rule 416 under the Securities Act of 1933 (the “Securities Act”), the shares being registered hereunder include such indeterminate number of shares of Class A Non-Voting Common Stock as may be issuable with respect to the shares being registered hereunder as a result of stock splits, stock dividends or similar transactions. This Registration Statement also covers an indeterminate amount of securities as may be issued in exchange for, or upon conversion or exercise of, as the case may be, the securities issued hereunder.</w:t>
      </w:r>
    </w:p>
    <w:p>
      <w:pPr>
        <w:spacing w:after="0" w:line="57" w:lineRule="exact"/>
        <w:rPr>
          <w:rFonts w:ascii="Arial" w:cs="Arial" w:eastAsia="Arial" w:hAnsi="Arial"/>
          <w:sz w:val="14"/>
          <w:szCs w:val="14"/>
          <w:color w:val="auto"/>
        </w:rPr>
      </w:pPr>
    </w:p>
    <w:p>
      <w:pPr>
        <w:ind w:left="500" w:hanging="478"/>
        <w:spacing w:after="0" w:line="258" w:lineRule="auto"/>
        <w:tabs>
          <w:tab w:leader="none" w:pos="500" w:val="left"/>
        </w:tabs>
        <w:numPr>
          <w:ilvl w:val="1"/>
          <w:numId w:val="1"/>
        </w:numPr>
        <w:rPr>
          <w:rFonts w:ascii="Arial" w:cs="Arial" w:eastAsia="Arial" w:hAnsi="Arial"/>
          <w:sz w:val="14"/>
          <w:szCs w:val="14"/>
          <w:color w:val="auto"/>
        </w:rPr>
      </w:pPr>
      <w:r>
        <w:rPr>
          <w:rFonts w:ascii="Arial" w:cs="Arial" w:eastAsia="Arial" w:hAnsi="Arial"/>
          <w:sz w:val="14"/>
          <w:szCs w:val="14"/>
          <w:color w:val="auto"/>
        </w:rPr>
        <w:t>The proposed maximum aggregate offering price for each class of securities will be determined from time to time by the registrant in connection with the issuance of the securities registered hereunder and is not specified pursuant to General Instruction II.D. of Form S-3.</w:t>
      </w:r>
    </w:p>
    <w:p>
      <w:pPr>
        <w:spacing w:after="0" w:line="45" w:lineRule="exact"/>
        <w:rPr>
          <w:rFonts w:ascii="Arial" w:cs="Arial" w:eastAsia="Arial" w:hAnsi="Arial"/>
          <w:sz w:val="14"/>
          <w:szCs w:val="14"/>
          <w:color w:val="auto"/>
        </w:rPr>
      </w:pPr>
    </w:p>
    <w:p>
      <w:pPr>
        <w:ind w:left="500" w:hanging="478"/>
        <w:spacing w:after="0" w:line="258" w:lineRule="auto"/>
        <w:tabs>
          <w:tab w:leader="none" w:pos="500" w:val="left"/>
        </w:tabs>
        <w:numPr>
          <w:ilvl w:val="1"/>
          <w:numId w:val="1"/>
        </w:numPr>
        <w:rPr>
          <w:rFonts w:ascii="Arial" w:cs="Arial" w:eastAsia="Arial" w:hAnsi="Arial"/>
          <w:sz w:val="14"/>
          <w:szCs w:val="14"/>
          <w:color w:val="auto"/>
        </w:rPr>
      </w:pPr>
      <w:r>
        <w:rPr>
          <w:rFonts w:ascii="Arial" w:cs="Arial" w:eastAsia="Arial" w:hAnsi="Arial"/>
          <w:sz w:val="14"/>
          <w:szCs w:val="14"/>
          <w:color w:val="auto"/>
        </w:rPr>
        <w:t>If any debt securities are issued at an original issue discount, then the offering price of such debt securities shall be in such amount as shall result in an aggregate initial offering price not to exceed $500,000,000, less the dollar amount of any registered securities previously issued.</w:t>
      </w:r>
    </w:p>
    <w:p>
      <w:pPr>
        <w:spacing w:after="0" w:line="45" w:lineRule="exact"/>
        <w:rPr>
          <w:rFonts w:ascii="Arial" w:cs="Arial" w:eastAsia="Arial" w:hAnsi="Arial"/>
          <w:sz w:val="14"/>
          <w:szCs w:val="14"/>
          <w:color w:val="auto"/>
        </w:rPr>
      </w:pPr>
    </w:p>
    <w:p>
      <w:pPr>
        <w:ind w:left="500" w:hanging="478"/>
        <w:spacing w:after="0"/>
        <w:tabs>
          <w:tab w:leader="none" w:pos="500" w:val="left"/>
        </w:tabs>
        <w:numPr>
          <w:ilvl w:val="1"/>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w:t>
      </w:r>
    </w:p>
    <w:p>
      <w:pPr>
        <w:spacing w:after="0" w:line="68" w:lineRule="exact"/>
        <w:rPr>
          <w:rFonts w:ascii="Arial" w:cs="Arial" w:eastAsia="Arial" w:hAnsi="Arial"/>
          <w:sz w:val="14"/>
          <w:szCs w:val="14"/>
          <w:color w:val="auto"/>
        </w:rPr>
      </w:pPr>
    </w:p>
    <w:p>
      <w:pPr>
        <w:ind w:left="500" w:hanging="478"/>
        <w:spacing w:after="0"/>
        <w:tabs>
          <w:tab w:leader="none" w:pos="500" w:val="left"/>
        </w:tabs>
        <w:numPr>
          <w:ilvl w:val="1"/>
          <w:numId w:val="1"/>
        </w:numPr>
        <w:rPr>
          <w:rFonts w:ascii="Arial" w:cs="Arial" w:eastAsia="Arial" w:hAnsi="Arial"/>
          <w:sz w:val="14"/>
          <w:szCs w:val="14"/>
          <w:color w:val="auto"/>
        </w:rPr>
      </w:pPr>
      <w:r>
        <w:rPr>
          <w:rFonts w:ascii="Arial" w:cs="Arial" w:eastAsia="Arial" w:hAnsi="Arial"/>
          <w:sz w:val="14"/>
          <w:szCs w:val="14"/>
          <w:color w:val="auto"/>
        </w:rPr>
        <w:t>Of this amount, $29,050 was paid at the time of the original filing on March 9, 2015.</w:t>
      </w:r>
    </w:p>
    <w:p>
      <w:pPr>
        <w:spacing w:after="0" w:line="207"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___________________________</w:t>
      </w:r>
    </w:p>
    <w:p>
      <w:pPr>
        <w:spacing w:after="0" w:line="113"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ectPr>
          <w:pgSz w:w="11900" w:h="16838" w:orient="portrait"/>
          <w:cols w:equalWidth="0" w:num="1">
            <w:col w:w="11420"/>
          </w:cols>
          <w:pgMar w:left="240" w:top="144"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255270</wp:posOffset>
            </wp:positionV>
            <wp:extent cx="7272020" cy="5829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8293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0" w:right="300"/>
        <w:spacing w:after="0" w:line="253" w:lineRule="auto"/>
        <w:rPr>
          <w:sz w:val="20"/>
          <w:szCs w:val="20"/>
          <w:color w:val="auto"/>
        </w:rPr>
      </w:pPr>
      <w:r>
        <w:rPr>
          <w:rFonts w:ascii="Arial" w:cs="Arial" w:eastAsia="Arial" w:hAnsi="Arial"/>
          <w:sz w:val="18"/>
          <w:szCs w:val="18"/>
          <w:b w:val="1"/>
          <w:bCs w:val="1"/>
          <w:color w:val="FF0000"/>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Subject to Completion, dated February 3,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43"/>
          <w:szCs w:val="43"/>
          <w:b w:val="1"/>
          <w:bCs w:val="1"/>
          <w:i w:val="1"/>
          <w:iCs w:val="1"/>
          <w:color w:val="0033CC"/>
        </w:rPr>
        <w:t>EZCORP</w:t>
      </w:r>
      <w:r>
        <w:rPr>
          <w:rFonts w:ascii="Arial" w:cs="Arial" w:eastAsia="Arial" w:hAnsi="Arial"/>
          <w:sz w:val="28"/>
          <w:szCs w:val="28"/>
          <w:b w:val="1"/>
          <w:bCs w:val="1"/>
          <w:i w:val="1"/>
          <w:iCs w:val="1"/>
          <w:color w:val="0033CC"/>
          <w:vertAlign w:val="superscript"/>
        </w:rPr>
        <w:t>®</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EZCORP, Inc.</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Debt Securities</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Class A Non-Voting Common Stock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 Purchase Contracts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 Purchase Units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may offer and sell the securities listed above from time to time in one or more classes or series and in amounts, at prices and on terms that we will determine at the time of the offering.</w:t>
      </w:r>
    </w:p>
    <w:p>
      <w:pPr>
        <w:spacing w:after="0" w:line="15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We will provide specific terms of the securities to be sold by us and the methods by which we will sell them in one or more supplements to this prospectus. A prospectus supplement may also add, update or change information contained in this prospectus. You should read this prospectus and any supplement carefully before you invest. This prospectus may not be used to offer or sell securities without a prospectus supplement describing the methods and terms of the offering. We may sell the securities directly or we may distribute them through underwriters or dealers. In addition, the underwriters may overallot a portion of the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Our Class A Non-Voting Common Stock is traded on The NASDAQ Global Select Market under the symbol “EZPW.”</w:t>
      </w:r>
    </w:p>
    <w:p>
      <w:pPr>
        <w:spacing w:after="0" w:line="163" w:lineRule="exact"/>
        <w:rPr>
          <w:sz w:val="20"/>
          <w:szCs w:val="20"/>
          <w:color w:val="auto"/>
        </w:rPr>
      </w:pPr>
    </w:p>
    <w:p>
      <w:pPr>
        <w:ind w:right="560"/>
        <w:spacing w:after="0" w:line="269" w:lineRule="auto"/>
        <w:rPr>
          <w:sz w:val="20"/>
          <w:szCs w:val="20"/>
          <w:color w:val="auto"/>
        </w:rPr>
      </w:pPr>
      <w:r>
        <w:rPr>
          <w:rFonts w:ascii="Arial" w:cs="Arial" w:eastAsia="Arial" w:hAnsi="Arial"/>
          <w:sz w:val="18"/>
          <w:szCs w:val="18"/>
          <w:b w:val="1"/>
          <w:bCs w:val="1"/>
          <w:color w:val="auto"/>
        </w:rPr>
        <w:t>Investing in these securities involves risk. You should carefully consider the risks described in any accompanying prospectus supplement, as well as the risk factors that are incorporated by reference into this prospectus from our filings made with the Securities and Exchange Commission. See “Risk Factors” on page 1.</w:t>
      </w:r>
    </w:p>
    <w:p>
      <w:pPr>
        <w:spacing w:after="0" w:line="128"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accurate or complete. Any representation to the contrary is a criminal offense.</w:t>
      </w: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is February , 2017.</w:t>
      </w:r>
    </w:p>
    <w:p>
      <w:pPr>
        <w:sectPr>
          <w:pgSz w:w="11900" w:h="16838" w:orient="portrait"/>
          <w:cols w:equalWidth="0" w:num="1">
            <w:col w:w="11360"/>
          </w:cols>
          <w:pgMar w:left="240" w:top="287"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82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42"/>
        </w:trPr>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60" w:type="dxa"/>
            <w:vAlign w:val="bottom"/>
            <w:gridSpan w:val="2"/>
          </w:tcPr>
          <w:p>
            <w:pPr>
              <w:ind w:left="1400"/>
              <w:spacing w:after="0"/>
              <w:rPr>
                <w:sz w:val="20"/>
                <w:szCs w:val="20"/>
                <w:color w:val="auto"/>
              </w:rPr>
            </w:pPr>
            <w:r>
              <w:rPr>
                <w:rFonts w:ascii="Arial" w:cs="Arial" w:eastAsia="Arial" w:hAnsi="Arial"/>
                <w:sz w:val="18"/>
                <w:szCs w:val="18"/>
                <w:b w:val="1"/>
                <w:bCs w:val="1"/>
                <w:color w:val="auto"/>
              </w:rPr>
              <w:t>TABLE OF CONTENTS</w:t>
            </w:r>
          </w:p>
        </w:tc>
        <w:tc>
          <w:tcPr>
            <w:tcW w:w="2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89"/>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580" w:type="dxa"/>
            <w:vAlign w:val="bottom"/>
            <w:gridSpan w:val="5"/>
          </w:tcPr>
          <w:p>
            <w:pPr>
              <w:jc w:val="right"/>
              <w:spacing w:after="0"/>
              <w:rPr>
                <w:sz w:val="20"/>
                <w:szCs w:val="20"/>
                <w:color w:val="auto"/>
              </w:rPr>
            </w:pPr>
            <w:r>
              <w:rPr>
                <w:rFonts w:ascii="Arial" w:cs="Arial" w:eastAsia="Arial" w:hAnsi="Arial"/>
                <w:sz w:val="18"/>
                <w:szCs w:val="18"/>
                <w:b w:val="1"/>
                <w:bCs w:val="1"/>
                <w:color w:val="auto"/>
              </w:rPr>
              <w:t>Page</w:t>
            </w:r>
          </w:p>
        </w:tc>
      </w:tr>
      <w:tr>
        <w:trPr>
          <w:trHeight w:val="237"/>
        </w:trPr>
        <w:tc>
          <w:tcPr>
            <w:tcW w:w="40" w:type="dxa"/>
            <w:vAlign w:val="bottom"/>
          </w:tcPr>
          <w:p>
            <w:pPr>
              <w:spacing w:after="0"/>
              <w:rPr>
                <w:sz w:val="20"/>
                <w:szCs w:val="20"/>
                <w:color w:val="auto"/>
              </w:rPr>
            </w:pPr>
          </w:p>
        </w:tc>
        <w:tc>
          <w:tcPr>
            <w:tcW w:w="878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2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878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2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rFonts w:ascii="Arial" w:cs="Arial" w:eastAsia="Arial" w:hAnsi="Arial"/>
                <w:sz w:val="18"/>
                <w:szCs w:val="18"/>
                <w:color w:val="0000EE"/>
                <w:w w:val="74"/>
              </w:rPr>
            </w:pPr>
            <w:hyperlink w:anchor="page5">
              <w:r>
                <w:rPr>
                  <w:rFonts w:ascii="Arial" w:cs="Arial" w:eastAsia="Arial" w:hAnsi="Arial"/>
                  <w:sz w:val="18"/>
                  <w:szCs w:val="18"/>
                  <w:color w:val="0000EE"/>
                  <w:w w:val="74"/>
                </w:rPr>
                <w:t>ii</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878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Where You Can Find More Information</w:t>
              </w:r>
            </w:hyperlink>
          </w:p>
        </w:tc>
        <w:tc>
          <w:tcPr>
            <w:tcW w:w="2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rFonts w:ascii="Arial" w:cs="Arial" w:eastAsia="Arial" w:hAnsi="Arial"/>
                <w:sz w:val="18"/>
                <w:szCs w:val="18"/>
                <w:color w:val="0000EE"/>
                <w:w w:val="74"/>
              </w:rPr>
            </w:pPr>
            <w:hyperlink w:anchor="page5">
              <w:r>
                <w:rPr>
                  <w:rFonts w:ascii="Arial" w:cs="Arial" w:eastAsia="Arial" w:hAnsi="Arial"/>
                  <w:sz w:val="18"/>
                  <w:szCs w:val="18"/>
                  <w:color w:val="0000EE"/>
                  <w:w w:val="74"/>
                </w:rPr>
                <w:t>ii</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878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Incorporation of Documents by Reference</w:t>
              </w:r>
            </w:hyperlink>
          </w:p>
        </w:tc>
        <w:tc>
          <w:tcPr>
            <w:tcW w:w="2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rFonts w:ascii="Arial" w:cs="Arial" w:eastAsia="Arial" w:hAnsi="Arial"/>
                <w:sz w:val="18"/>
                <w:szCs w:val="18"/>
                <w:color w:val="0000EE"/>
                <w:w w:val="74"/>
              </w:rPr>
            </w:pPr>
            <w:hyperlink w:anchor="page5">
              <w:r>
                <w:rPr>
                  <w:rFonts w:ascii="Arial" w:cs="Arial" w:eastAsia="Arial" w:hAnsi="Arial"/>
                  <w:sz w:val="18"/>
                  <w:szCs w:val="18"/>
                  <w:color w:val="0000EE"/>
                  <w:w w:val="74"/>
                </w:rPr>
                <w:t>ii</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gridSpan w:val="3"/>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EZCORP, Inc.</w:t>
              </w:r>
            </w:hyperlink>
          </w:p>
        </w:tc>
        <w:tc>
          <w:tcPr>
            <w:tcW w:w="2240" w:type="dxa"/>
            <w:vAlign w:val="bottom"/>
            <w:gridSpan w:val="11"/>
          </w:tcPr>
          <w:p>
            <w:pPr>
              <w:spacing w:after="0"/>
              <w:rPr>
                <w:sz w:val="20"/>
                <w:szCs w:val="20"/>
                <w:color w:val="auto"/>
              </w:rPr>
            </w:pPr>
          </w:p>
        </w:tc>
        <w:tc>
          <w:tcPr>
            <w:tcW w:w="5460" w:type="dxa"/>
            <w:vAlign w:val="bottom"/>
            <w:gridSpan w:val="2"/>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00" w:type="dxa"/>
            <w:vAlign w:val="bottom"/>
            <w:gridSpan w:val="2"/>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Risk Factors</w:t>
              </w:r>
            </w:hyperlink>
          </w:p>
        </w:tc>
        <w:tc>
          <w:tcPr>
            <w:tcW w:w="80" w:type="dxa"/>
            <w:vAlign w:val="bottom"/>
          </w:tcPr>
          <w:p>
            <w:pPr>
              <w:spacing w:after="0"/>
              <w:rPr>
                <w:sz w:val="20"/>
                <w:szCs w:val="20"/>
                <w:color w:val="auto"/>
              </w:rPr>
            </w:pPr>
          </w:p>
        </w:tc>
        <w:tc>
          <w:tcPr>
            <w:tcW w:w="7700" w:type="dxa"/>
            <w:vAlign w:val="bottom"/>
            <w:gridSpan w:val="13"/>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878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Use of Proceeds</w:t>
              </w:r>
            </w:hyperlink>
          </w:p>
        </w:tc>
        <w:tc>
          <w:tcPr>
            <w:tcW w:w="2580" w:type="dxa"/>
            <w:vAlign w:val="bottom"/>
            <w:gridSpan w:val="5"/>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2800" w:type="dxa"/>
            <w:vAlign w:val="bottom"/>
            <w:gridSpan w:val="12"/>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Ratio of Earnings to Fixed Charges</w:t>
              </w:r>
            </w:hyperlink>
          </w:p>
        </w:tc>
        <w:tc>
          <w:tcPr>
            <w:tcW w:w="5980" w:type="dxa"/>
            <w:vAlign w:val="bottom"/>
            <w:gridSpan w:val="4"/>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2</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2800" w:type="dxa"/>
            <w:vAlign w:val="bottom"/>
            <w:gridSpan w:val="1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Description of Debt Securities</w:t>
              </w:r>
            </w:hyperlink>
          </w:p>
        </w:tc>
        <w:tc>
          <w:tcPr>
            <w:tcW w:w="5980" w:type="dxa"/>
            <w:vAlign w:val="bottom"/>
            <w:gridSpan w:val="4"/>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3</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2360" w:type="dxa"/>
            <w:vAlign w:val="bottom"/>
            <w:gridSpan w:val="11"/>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Description of Capital Stock</w:t>
              </w:r>
            </w:hyperlink>
          </w:p>
        </w:tc>
        <w:tc>
          <w:tcPr>
            <w:tcW w:w="6420" w:type="dxa"/>
            <w:vAlign w:val="bottom"/>
            <w:gridSpan w:val="5"/>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11</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2200" w:type="dxa"/>
            <w:vAlign w:val="bottom"/>
            <w:gridSpan w:val="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Description of Warrants</w:t>
              </w:r>
            </w:hyperlink>
          </w:p>
        </w:tc>
        <w:tc>
          <w:tcPr>
            <w:tcW w:w="6580" w:type="dxa"/>
            <w:vAlign w:val="bottom"/>
            <w:gridSpan w:val="7"/>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12</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8780" w:type="dxa"/>
            <w:vAlign w:val="bottom"/>
            <w:gridSpan w:val="1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Description of Stock Purchase Contracts and Stock Purchase Units</w:t>
              </w:r>
            </w:hyperlink>
          </w:p>
        </w:tc>
        <w:tc>
          <w:tcPr>
            <w:tcW w:w="2580" w:type="dxa"/>
            <w:vAlign w:val="bottom"/>
            <w:gridSpan w:val="5"/>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13</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840" w:type="dxa"/>
            <w:vAlign w:val="bottom"/>
            <w:gridSpan w:val="9"/>
            <w:shd w:val="clear" w:color="auto" w:fill="0000EE"/>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340" w:type="dxa"/>
            <w:vAlign w:val="bottom"/>
            <w:gridSpan w:val="1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Plan of Distribution</w:t>
              </w:r>
            </w:hyperlink>
          </w:p>
        </w:tc>
        <w:tc>
          <w:tcPr>
            <w:tcW w:w="3440" w:type="dxa"/>
            <w:vAlign w:val="bottom"/>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14</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7280" w:type="dxa"/>
            <w:vAlign w:val="bottom"/>
            <w:gridSpan w:val="10"/>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500" w:type="dxa"/>
            <w:vAlign w:val="bottom"/>
            <w:gridSpan w:val="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Matters</w:t>
              </w:r>
            </w:hyperlink>
          </w:p>
        </w:tc>
        <w:tc>
          <w:tcPr>
            <w:tcW w:w="7280" w:type="dxa"/>
            <w:vAlign w:val="bottom"/>
            <w:gridSpan w:val="10"/>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16</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700" w:type="dxa"/>
            <w:vAlign w:val="bottom"/>
            <w:gridSpan w:val="1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Experts</w:t>
              </w:r>
            </w:hyperlink>
          </w:p>
        </w:tc>
        <w:tc>
          <w:tcPr>
            <w:tcW w:w="7700" w:type="dxa"/>
            <w:vAlign w:val="bottom"/>
            <w:gridSpan w:val="13"/>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16</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This prospectus is a part of a "shelf" registration statement on Form S-3 that we filed with the Securities and Exchange Commission (the “SEC”). Under the shelf registration process, we may from time to time offer and sell any combination of the securities described in this prospectus in one or more offerings. This prospectus provides a general description of the securities we may offer. Each time we offer and sell securities, we will provide a prospectus supplement that will contain specific information about the terms of that offering. 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in this prospectus. You should read both this prospectus and any prospectus supplement together with the documents incorporated by reference into this prospectus as described below under “Information Incorporated by Reference.”</w:t>
      </w:r>
    </w:p>
    <w:p>
      <w:pPr>
        <w:spacing w:after="0" w:line="15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You should rely only on information contained or incorporated by reference in this prospectus and any prospectus supplement. We have not authorized any person to provide information or make any representation about this offering that is not in this prospectus. We are not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15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information in this prospectus is accurate as of the date on the front cover. You should not assume that the information contained in this prospectus is accurate as of any other date.</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270"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prospectus and the d</w:t>
      </w:r>
      <w:r>
        <w:rPr>
          <w:rFonts w:ascii="Arial" w:cs="Arial" w:eastAsia="Arial" w:hAnsi="Arial"/>
          <w:sz w:val="18"/>
          <w:szCs w:val="18"/>
          <w:i w:val="1"/>
          <w:iCs w:val="1"/>
          <w:color w:val="auto"/>
        </w:rPr>
        <w:t>o</w:t>
      </w:r>
      <w:r>
        <w:rPr>
          <w:rFonts w:ascii="Arial" w:cs="Arial" w:eastAsia="Arial" w:hAnsi="Arial"/>
          <w:sz w:val="18"/>
          <w:szCs w:val="18"/>
          <w:color w:val="auto"/>
        </w:rPr>
        <w:t>cuments incorporated by reference herein contain “forward-looking statements” within the meaning of Section 27A of the Securities Act of 1933 (the “Securities Act”) and Section 21E of the Securities Exchange Act of 1934 (the “Exchange Act”). We intend that all forward-looking statements be subject to the safe harbors created by these laws. All statements, other than statements of historical facts, included or incorporated herein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 as a representation that the expected results will be achieved. Important risk factors that could cause results or events to differ from current expectations are identified and discussed in the accompanying prospectus supplement and in our SEC filings that are incorporated by reference into this prospectus. See “Risk Factors” and “Incorporation of Documents by Reference” below.</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We specifically disclaim all responsibility to publicly update any information contained in a forward-looking statement except as required by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forward-looking statements attributable to us are expressly qualified in their entirety by this cautionary statement.</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93"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We file annual and quarterly reports and other reports and information with the SEC. You may read and copy any of our reports, statements or other information on file at the SEC’s Public Reference Room located at 100 F Street, N.E., Room 1580, Washington, D.C. 20549. Please call the SEC at 1-800-SEC-0330 for further information regarding its public facilities. Our SEC filings, including the complete registration statement of which this prospectus is a part, are available to the public from commercial document retrieval services and also are available at the Internet website maintained by the SEC at www.sec.gov.</w:t>
      </w:r>
    </w:p>
    <w:p>
      <w:pPr>
        <w:spacing w:after="0" w:line="15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maintain an Internet website at www.ezcorp.com. All of our reports filed with the SEC are accessible, free of charge, through the Investor Relations section of our website as soon as reasonably practicable after electronic filing. Information on our website or any other website is not incorporated by reference into this prospectus and does not constitute a part of this prospectus, and you should not rely on that information in making your investment decision unless that information is also in this prospectus or has been expressly incorporated by reference into this prospectus.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SEC allows us to incorporate by reference the information that we file with the SEC, which means that we disclose important information to you by referring you to those documents. The information incorporated by reference is an important part of this prospectus, and information we file later with the SEC will automatically update and supersede this information. Except to the extent that information in those documents is deemed furnished and not filed pursuant to applicable securities laws and regulations, we incorporate by reference the documents listed below that we previously filed with the SEC under the Exchange Act:</w:t>
      </w:r>
    </w:p>
    <w:p>
      <w:pPr>
        <w:spacing w:after="0" w:line="15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year ended September 30, 2016;</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December 31, 2016;</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Reports on Form 8-K dated October 4, 2016 and December 21, 2016; and</w:t>
      </w:r>
    </w:p>
    <w:p>
      <w:pPr>
        <w:spacing w:after="0" w:line="171"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our Class A Non-Voting Common Stock set forth in Exhibit 4.1 of our Current Report on Form 8-K filed with the SEC on October 3, 2013.</w:t>
      </w:r>
    </w:p>
    <w:p>
      <w:pPr>
        <w:spacing w:after="0" w:line="14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also incorporate by reference each of the documents that we file with the SEC under Section 13(a), 13(c), 14 or 15(d) of the Exchange Act (except as noted below) after the date of this prospectus until the offering of the</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287"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securities terminates or we have filed with the SEC an amendment to the Registration Statement relating to this offering that deregisters all securities then remaining unsold. All filings that we file pursuant to the Exchange Act after the date of the pre-effective amendment to the registration statement and prior to the effectiveness of the registration statement shall be deemed to be incorporated by reference into the prospectus. Notwithstanding the foregoing,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 or in a particular prospectus supplement.</w:t>
      </w:r>
    </w:p>
    <w:p>
      <w:pPr>
        <w:spacing w:after="0" w:line="15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You may obtain copies of any of these filings from us as described below, through the SEC or through the SEC’s Internet website as described above. Documents incorporated by reference are available on our website at www.ezcorp.com, and are available without charge, excluding exhibits, unless an exhibit has been specifically incorporated by reference into this prospectus, by making a request at:</w:t>
      </w:r>
    </w:p>
    <w:p>
      <w:pPr>
        <w:spacing w:after="0" w:line="202" w:lineRule="exact"/>
        <w:rPr>
          <w:sz w:val="20"/>
          <w:szCs w:val="20"/>
          <w:color w:val="auto"/>
        </w:rPr>
      </w:pPr>
    </w:p>
    <w:p>
      <w:pPr>
        <w:ind w:right="4180"/>
        <w:spacing w:after="0" w:line="262" w:lineRule="auto"/>
        <w:rPr>
          <w:sz w:val="20"/>
          <w:szCs w:val="20"/>
          <w:color w:val="auto"/>
        </w:rPr>
      </w:pPr>
      <w:r>
        <w:rPr>
          <w:rFonts w:ascii="Arial" w:cs="Arial" w:eastAsia="Arial" w:hAnsi="Arial"/>
          <w:sz w:val="18"/>
          <w:szCs w:val="18"/>
          <w:color w:val="auto"/>
        </w:rPr>
        <w:t>EZCORP, Inc., 2500 Bee Cave Road, Building One, Suite 200, Rollingwood, Texas 78746 Attn: Corporate Secretary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Telephone — 512-314-3400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 Investor_Relations@ezcorp.com</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ON OUR WEBSITE DOES NOT CONSTITUTE A PART OF THIS PROSPECTUS.</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87"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EZCORP, INC.</w:t>
      </w:r>
    </w:p>
    <w:p>
      <w:pPr>
        <w:spacing w:after="0" w:line="19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We are a leading provider of pawn loans in the United States and Mexico with approximately 5,600 team members and almost 800 locations.</w:t>
      </w:r>
    </w:p>
    <w:p>
      <w:pPr>
        <w:spacing w:after="0" w:line="17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Our vision is to be the market leader in North America in responsibly and respectfully meeting our customers' desire for access to cash when they want it. That vision is supported by four key imperatives:</w:t>
      </w:r>
    </w:p>
    <w:p>
      <w:pPr>
        <w:spacing w:after="0" w:line="14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Leading Customer Satisfaction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Exceptional Staff Engagement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Attractive Shareholder Returns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Most Efficient Provider of Cash</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At our pawn stores (517 in the U.S. and 239 in Mexico as of December 31, 2016), we offer pawn loans, which are non-recourse loans collateralized by tangible property, and we sell merchandise, primarily collateral forfeited from pawn lending operations and used merchandise purchased from customers.</w:t>
      </w:r>
    </w:p>
    <w:p>
      <w:pPr>
        <w:spacing w:after="0" w:line="14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addition to our core pawn business in the U.S. and Mexico, we operate 27 CASHMAX financial services locations in Canada and own 31% of Cash Converters International Limited (“Cash Converters International”), based in Australia, which franchises and operates a worldwide network of nearly 700 locations that provide financial services and also buy and sell second-hand goods.</w:t>
      </w:r>
    </w:p>
    <w:p>
      <w:pPr>
        <w:spacing w:after="0" w:line="1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EZCORP is a Delaware corporation headquartered in Austin, Texas. Our principal executive offices are located at 2500 Bee Cave Road, Building One, Suite 200, Austin, Texas 78746, and our telephone number is 512-314-3400. We conduct our operations through wholly-owned subsidiaries, and unless otherwise specified, references in this prospectus to “EZCORP,” “we,” “us” or similar terms refer to EZCORP, Inc. and our consolidated subsidiaries.</w:t>
      </w: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Investing in our securities involves risks. Before making an investment decision, you should carefully consider the specific risks described in our most recent Annual Report on Form 10-K, as supplemented by subsequent Quarterly Reports on Form 10-Q and Current Reports on Form 8-K, to the extent applicable, each of which is incorporated herein by reference, and those risk factors that may be included or incorporated by reference under the caption “Risk Factors” in any applicable prospectus supplement, together with all of the other information included in this prospectus, any prospectus supplement and the documents we incorporate by reference in evaluating an investment in our securities.</w:t>
      </w: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193"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Unless we inform you otherwise in the prospectus supplement, we expect to use the net proceeds from the sale of securities for general corporate purposes. These purposes may include the following:</w:t>
      </w:r>
    </w:p>
    <w:p>
      <w:pPr>
        <w:spacing w:after="0" w:line="14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Reduction or refinancing of debt or other corporate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Pending any specific application, we may initially invest funds in short-term marketable securities.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87" w:right="319" w:bottom="1440" w:gutter="0" w:footer="0" w:header="0"/>
        </w:sectPr>
      </w:pPr>
    </w:p>
    <w:bookmarkStart w:id="7" w:name="page8"/>
    <w:bookmarkEnd w:id="7"/>
    <w:p>
      <w:pPr>
        <w:ind w:left="3880"/>
        <w:spacing w:after="0"/>
        <w:rPr>
          <w:sz w:val="20"/>
          <w:szCs w:val="20"/>
          <w:color w:val="auto"/>
        </w:rPr>
      </w:pPr>
      <w:r>
        <w:rPr>
          <w:rFonts w:ascii="Arial" w:cs="Arial" w:eastAsia="Arial" w:hAnsi="Arial"/>
          <w:sz w:val="18"/>
          <w:szCs w:val="18"/>
          <w:b w:val="1"/>
          <w:bCs w:val="1"/>
          <w:color w:val="auto"/>
        </w:rPr>
        <w:t>RATIO OF EARNINGS TO FIXED CHARGES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ratio of consolidated earnings to fixed charges for the periods presented:</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6"/>
        </w:trPr>
        <w:tc>
          <w:tcPr>
            <w:tcW w:w="3160" w:type="dxa"/>
            <w:vAlign w:val="bottom"/>
          </w:tcPr>
          <w:p>
            <w:pPr>
              <w:spacing w:after="0"/>
              <w:rPr>
                <w:sz w:val="17"/>
                <w:szCs w:val="17"/>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8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September 30,</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64"/>
        </w:trPr>
        <w:tc>
          <w:tcPr>
            <w:tcW w:w="3160" w:type="dxa"/>
            <w:vAlign w:val="bottom"/>
          </w:tcPr>
          <w:p>
            <w:pPr>
              <w:spacing w:after="0"/>
              <w:rPr>
                <w:sz w:val="22"/>
                <w:szCs w:val="22"/>
                <w:color w:val="auto"/>
              </w:rPr>
            </w:pPr>
          </w:p>
        </w:tc>
        <w:tc>
          <w:tcPr>
            <w:tcW w:w="1960" w:type="dxa"/>
            <w:vAlign w:val="bottom"/>
            <w:tcBorders>
              <w:top w:val="single" w:sz="8" w:color="auto"/>
              <w:bottom w:val="single" w:sz="8" w:color="auto"/>
            </w:tcBorders>
          </w:tcPr>
          <w:p>
            <w:pPr>
              <w:jc w:val="right"/>
              <w:ind w:right="746"/>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2012</w:t>
            </w:r>
          </w:p>
        </w:tc>
      </w:tr>
      <w:tr>
        <w:trPr>
          <w:trHeight w:val="237"/>
        </w:trPr>
        <w:tc>
          <w:tcPr>
            <w:tcW w:w="3160" w:type="dxa"/>
            <w:vAlign w:val="bottom"/>
          </w:tcPr>
          <w:p>
            <w:pPr>
              <w:spacing w:after="0"/>
              <w:rPr>
                <w:sz w:val="20"/>
                <w:szCs w:val="20"/>
                <w:color w:val="auto"/>
              </w:rPr>
            </w:pPr>
            <w:r>
              <w:rPr>
                <w:rFonts w:ascii="Arial" w:cs="Arial" w:eastAsia="Arial" w:hAnsi="Arial"/>
                <w:sz w:val="16"/>
                <w:szCs w:val="16"/>
                <w:color w:val="auto"/>
              </w:rPr>
              <w:t>Ratio of earnings to fixed charges (a)</w:t>
            </w:r>
          </w:p>
        </w:tc>
        <w:tc>
          <w:tcPr>
            <w:tcW w:w="2080" w:type="dxa"/>
            <w:vAlign w:val="bottom"/>
            <w:gridSpan w:val="2"/>
          </w:tcPr>
          <w:p>
            <w:pPr>
              <w:jc w:val="center"/>
              <w:ind w:right="120"/>
              <w:spacing w:after="0"/>
              <w:rPr>
                <w:sz w:val="20"/>
                <w:szCs w:val="20"/>
                <w:color w:val="auto"/>
              </w:rPr>
            </w:pPr>
            <w:r>
              <w:rPr>
                <w:rFonts w:ascii="Arial" w:cs="Arial" w:eastAsia="Arial" w:hAnsi="Arial"/>
                <w:sz w:val="16"/>
                <w:szCs w:val="16"/>
                <w:color w:val="auto"/>
              </w:rPr>
              <w:t>2.47x</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1.06x</w:t>
            </w:r>
          </w:p>
        </w:tc>
        <w:tc>
          <w:tcPr>
            <w:tcW w:w="800" w:type="dxa"/>
            <w:vAlign w:val="bottom"/>
          </w:tcPr>
          <w:p>
            <w:pPr>
              <w:jc w:val="center"/>
              <w:ind w:left="243"/>
              <w:spacing w:after="0"/>
              <w:rPr>
                <w:sz w:val="20"/>
                <w:szCs w:val="20"/>
                <w:color w:val="auto"/>
              </w:rPr>
            </w:pPr>
            <w:r>
              <w:rPr>
                <w:rFonts w:ascii="Arial" w:cs="Arial" w:eastAsia="Arial" w:hAnsi="Arial"/>
                <w:sz w:val="16"/>
                <w:szCs w:val="16"/>
                <w:color w:val="auto"/>
              </w:rPr>
              <w:t>(b)</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3"/>
          </w:tcPr>
          <w:p>
            <w:pPr>
              <w:jc w:val="center"/>
              <w:ind w:right="420"/>
              <w:spacing w:after="0"/>
              <w:rPr>
                <w:sz w:val="20"/>
                <w:szCs w:val="20"/>
                <w:color w:val="auto"/>
              </w:rPr>
            </w:pPr>
            <w:r>
              <w:rPr>
                <w:rFonts w:ascii="Arial" w:cs="Arial" w:eastAsia="Arial" w:hAnsi="Arial"/>
                <w:sz w:val="16"/>
                <w:szCs w:val="16"/>
                <w:color w:val="auto"/>
              </w:rPr>
              <w:t>1.09x</w:t>
            </w:r>
          </w:p>
        </w:tc>
        <w:tc>
          <w:tcPr>
            <w:tcW w:w="940" w:type="dxa"/>
            <w:vAlign w:val="bottom"/>
            <w:gridSpan w:val="2"/>
          </w:tcPr>
          <w:p>
            <w:pPr>
              <w:jc w:val="center"/>
              <w:ind w:right="420"/>
              <w:spacing w:after="0"/>
              <w:rPr>
                <w:sz w:val="20"/>
                <w:szCs w:val="20"/>
                <w:color w:val="auto"/>
              </w:rPr>
            </w:pPr>
            <w:r>
              <w:rPr>
                <w:rFonts w:ascii="Arial" w:cs="Arial" w:eastAsia="Arial" w:hAnsi="Arial"/>
                <w:sz w:val="16"/>
                <w:szCs w:val="16"/>
                <w:color w:val="auto"/>
              </w:rPr>
              <w:t>1.55x</w:t>
            </w:r>
          </w:p>
        </w:tc>
        <w:tc>
          <w:tcPr>
            <w:tcW w:w="1140" w:type="dxa"/>
            <w:vAlign w:val="bottom"/>
          </w:tcPr>
          <w:p>
            <w:pPr>
              <w:jc w:val="center"/>
              <w:spacing w:after="0"/>
              <w:rPr>
                <w:sz w:val="20"/>
                <w:szCs w:val="20"/>
                <w:color w:val="auto"/>
              </w:rPr>
            </w:pPr>
            <w:r>
              <w:rPr>
                <w:rFonts w:ascii="Arial" w:cs="Arial" w:eastAsia="Arial" w:hAnsi="Arial"/>
                <w:sz w:val="16"/>
                <w:szCs w:val="16"/>
                <w:color w:val="auto"/>
              </w:rPr>
              <w:t>5.36x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123825</wp:posOffset>
            </wp:positionV>
            <wp:extent cx="1270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 cy="8890"/>
                    </a:xfrm>
                    <a:prstGeom prst="rect">
                      <a:avLst/>
                    </a:prstGeom>
                    <a:noFill/>
                  </pic:spPr>
                </pic:pic>
              </a:graphicData>
            </a:graphic>
          </wp:anchor>
        </w:drawing>
      </w:r>
    </w:p>
    <w:p>
      <w:pPr>
        <w:spacing w:after="0" w:line="37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ratio has been computed by dividing earnings by fixed charges. For purposes of computing this ratio:</w:t>
      </w:r>
    </w:p>
    <w:p>
      <w:pPr>
        <w:spacing w:after="0" w:line="171" w:lineRule="exact"/>
        <w:rPr>
          <w:rFonts w:ascii="Arial" w:cs="Arial" w:eastAsia="Arial" w:hAnsi="Arial"/>
          <w:sz w:val="18"/>
          <w:szCs w:val="18"/>
          <w:color w:val="auto"/>
        </w:rPr>
      </w:pPr>
    </w:p>
    <w:p>
      <w:pPr>
        <w:ind w:left="660" w:right="200" w:hanging="328"/>
        <w:spacing w:after="0" w:line="274" w:lineRule="auto"/>
        <w:tabs>
          <w:tab w:leader="none" w:pos="660" w:val="left"/>
        </w:tabs>
        <w:numPr>
          <w:ilvl w:val="1"/>
          <w:numId w:val="5"/>
        </w:numPr>
        <w:rPr>
          <w:rFonts w:ascii="Arial" w:cs="Arial" w:eastAsia="Arial" w:hAnsi="Arial"/>
          <w:sz w:val="17"/>
          <w:szCs w:val="17"/>
          <w:color w:val="auto"/>
        </w:rPr>
      </w:pPr>
      <w:r>
        <w:rPr>
          <w:rFonts w:ascii="Arial" w:cs="Arial" w:eastAsia="Arial" w:hAnsi="Arial"/>
          <w:sz w:val="17"/>
          <w:szCs w:val="17"/>
          <w:color w:val="auto"/>
        </w:rPr>
        <w:t>Earnings consist of income from continuing operations before income taxes (excluding the results of operations discontinued in fiscal 2016 and prior), cumulative effect of change in accounting principle, adjustments for net income or loss attributable to noncontrolling interests and our share of investees’ income or loss accounted for under the equity method, and adjustment for capitalized interest, plus fixed charges and our share of distributed income from investees accounted for under the equity method; and</w:t>
      </w:r>
    </w:p>
    <w:p>
      <w:pPr>
        <w:spacing w:after="0" w:line="133" w:lineRule="exact"/>
        <w:rPr>
          <w:rFonts w:ascii="Arial" w:cs="Arial" w:eastAsia="Arial" w:hAnsi="Arial"/>
          <w:sz w:val="17"/>
          <w:szCs w:val="17"/>
          <w:color w:val="auto"/>
        </w:rPr>
      </w:pPr>
    </w:p>
    <w:p>
      <w:pPr>
        <w:ind w:left="660" w:right="320" w:hanging="328"/>
        <w:spacing w:after="0" w:line="262"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Fixed charges consist of interest expense, capitalized interest and the portion of rental expense deemed to be representative of the interest component of rental expense.</w:t>
      </w:r>
    </w:p>
    <w:p>
      <w:pPr>
        <w:spacing w:after="0" w:line="142" w:lineRule="exact"/>
        <w:rPr>
          <w:rFonts w:ascii="Arial" w:cs="Arial" w:eastAsia="Arial" w:hAnsi="Arial"/>
          <w:sz w:val="18"/>
          <w:szCs w:val="18"/>
          <w:color w:val="auto"/>
        </w:rPr>
      </w:pPr>
    </w:p>
    <w:p>
      <w:pPr>
        <w:ind w:left="660" w:right="180" w:hanging="652"/>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ratio as computed for fiscal 2015 was less than 1.0 as earnings were not adequate to cover fixed charges. Additional earnings of approximately $56 million would have been necessary to bring the ratio to 1.0.</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062"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93"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The Debt Securities will be debt securities issued under an indenture (the “Indenture”) between us and a trustee to be selected by us (the “Trustee”).</w:t>
      </w:r>
    </w:p>
    <w:p>
      <w:pPr>
        <w:spacing w:after="0" w:line="14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Debt Securities may be issued from time to time in one or more series. The particular terms of each series that are offered by a prospectus supplement will be described in the prospectus supplement.</w:t>
      </w:r>
    </w:p>
    <w:p>
      <w:pPr>
        <w:spacing w:after="0" w:line="142"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Debt Securities are not guaranteed by our subsidiaries, and the rights of EZCORP and our creditors, including Holders of the Debt Securities, to participate in the assets of any subsidiary upon the latter’s liquidation or reorganization will be subject to the prior claims of the subsidiary’s creditors, except to the extent that we may ourself be a creditor with recognized claims against such subsidiary.</w:t>
      </w:r>
    </w:p>
    <w:p>
      <w:pPr>
        <w:spacing w:after="0" w:line="14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summarized selected provisions of the Indenture below. The summary is not complete. The form of the Indenture has been filed with the SEC as an exhibit to the registration statement of which this prospectus is a part, and you should read the Indenture for provisions that may be important to you. In the summary below, we have included references to article or section numbers of the Indenture so that you can easily locate these provisions. Whenever we refer in this prospectus or in the prospectus supplement to particular articles or sections or defined terms of the Indenture, those articles or sections or defined terms are incorporated by reference herein or therein, as applicable. Capitalized terms used in the summary have the meanings specified in the Indenture.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Indenture provides that Debt Securities in separate series may be issued thereunder from time to time without limitation as to aggregate principal amount. We may specify a maximum aggregate principal amount for the Debt Securities of any series (Section 301). We will determine the terms and conditions of the Debt Securities, including the maturity, principal and interest, but those terms must be consistent with the Indenture. The Debt Securities may be our secured or unsecured obligations.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If the prospectus supplement so indicates, the Debt Securities will be convertible into our Class A Non-Voting Common Stock (Section 301).</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applicable prospectus supplement will set forth the price or prices at which the Debt Securities to be offered will be issued and will describe the following terms of such Debt Securities:</w:t>
      </w:r>
    </w:p>
    <w:p>
      <w:pPr>
        <w:spacing w:after="0" w:line="142" w:lineRule="exact"/>
        <w:rPr>
          <w:sz w:val="20"/>
          <w:szCs w:val="20"/>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terms upon which the Debt Securities may be redeemed, in whole or in part, at our option;</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171" w:lineRule="exact"/>
        <w:rPr>
          <w:rFonts w:ascii="Arial" w:cs="Arial" w:eastAsia="Arial" w:hAnsi="Arial"/>
          <w:sz w:val="18"/>
          <w:szCs w:val="18"/>
          <w:color w:val="auto"/>
        </w:rPr>
      </w:pPr>
    </w:p>
    <w:p>
      <w:pPr>
        <w:ind w:left="980" w:right="260" w:hanging="648"/>
        <w:spacing w:after="0" w:line="262"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portion of the principal amount, if less than all, of the Debt Securities that will be payable upon declaration of acceleration of the Maturity of the Debt Securities;</w:t>
      </w:r>
    </w:p>
    <w:p>
      <w:pPr>
        <w:spacing w:after="0" w:line="142"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Debt Securities are defeasible;</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w:t>
      </w:r>
    </w:p>
    <w:p>
      <w:pPr>
        <w:spacing w:after="0" w:line="171" w:lineRule="exact"/>
        <w:rPr>
          <w:rFonts w:ascii="Arial" w:cs="Arial" w:eastAsia="Arial" w:hAnsi="Arial"/>
          <w:sz w:val="18"/>
          <w:szCs w:val="18"/>
          <w:color w:val="auto"/>
        </w:rPr>
      </w:pPr>
    </w:p>
    <w:p>
      <w:pPr>
        <w:ind w:left="980" w:right="140" w:hanging="648"/>
        <w:spacing w:after="0" w:line="25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Debt Securities are convertible into our Class A Non-Voting Common Stock and, if so, the terms and conditions upon which conversion will be effected, including the initial conversion price or conversion rate and any adjustments thereto and the conversion period;</w:t>
      </w:r>
    </w:p>
    <w:p>
      <w:pPr>
        <w:spacing w:after="0" w:line="14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addition to or change in the covenants in the Indenture; and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7"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provisions of the Indenture (Section 301).</w:t>
      </w:r>
    </w:p>
    <w:p>
      <w:pPr>
        <w:spacing w:after="0" w:line="17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Debt Securities, including any Debt Securities that provide for an amount less than the principal amount thereof to be due and payable upon a declaration of acceleration of the Maturity thereof (“Original Issue Discount Securities”), may be sold at a substantial discount below their principal amount. Special United States federal income tax considerations applicable to Debt Securities sold at an original issue discount may be described in the applicable prospectus supplement. In addition, special United States federal income tax or other considerations applicable to any Debt Securities that are denominated in a currency or currency unit other than United States dollars may be described in the applicable prospectus supplement.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193"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The Debt Securities of each series will be issuable only in fully registered form, without coupons, and, unless otherwise specified in the applicable prospectus supplement, only in denominations of $1,000 and integral multiples thereof (Section 302).</w:t>
      </w:r>
    </w:p>
    <w:p>
      <w:pPr>
        <w:spacing w:after="0" w:line="142"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At the option of the Holder, subject to the terms of the Indenture and the limitations applicable to Global Securities, Debt Securities of each series will be exchangeable for other Debt Securities of the same series of any authorized denomination and of a like tenor and aggregate principal amount (Section 305).</w:t>
      </w:r>
    </w:p>
    <w:p>
      <w:pPr>
        <w:spacing w:after="0" w:line="14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Subject to the terms of the Indenture and the limitations applicable to Global Securities, Debt Securities may be presented for exchange as provided above or for registration of transfer (duly endorsed or with the form of transfer endorsed thereon duly executed) at the office of the Security Registrar or at the office of any other transfer agent designated by us for such purpose. No service charge will be made for any registration of transfer or exchange of Debt Securities, but we may require payment of a sum sufficient to cover any tax or other governmental charge payable in that connection. Such transfer or exchange will be effected upon the Security Registrar or such other transfer agent, as the case may be, being satisfied with the documents of title and identity of the Person making the request. The Security Registrar and any other transfer agent initially designated by us for any Debt Securities will be named in the applicable prospectus supplement (Section 305).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(Section 1002).</w:t>
      </w:r>
    </w:p>
    <w:p>
      <w:pPr>
        <w:spacing w:after="0" w:line="15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If the Debt Securities of any series (or of any series and specified tenor) are to be redeemed in part, we will not be required to (1) issue, register the transfer of or exchange any Debt Security of that series (or of that series and specified tenor, as the case may be) during a period beginning at the opening of business 15 days before the day of mailing of a notice of redemption of any such Debt Security that may be selected for redemption and ending at the close of business on the day of such mailing or (2) register the transfer of or exchange any Debt Security so selected for redemption, in whole or in part, except the unredeemed portion of any such Debt Security being redeemed in part (Section 305).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93"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Some or all of the Debt Securities of any series may be represented, in whole or in part, by one or more Global Securities that will have an aggregate principal amount equal to that of the Debt Securities they represent. Each Global Security will be registered in the name of a Depositary or its nominee identified in the applicable prospectus supplement, will be deposited with such Depositary or nominee or its custodian and will bear a legend regarding the restrictions on exchanges and registration of transfer thereof referred to below and any such other matters as may be provided for pursuant to the Indenture.</w:t>
      </w:r>
    </w:p>
    <w:p>
      <w:pPr>
        <w:spacing w:after="0" w:line="152"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Notwithstanding any provision of the Indenture or any Debt Security described in this prospectus, no Global Security may be exchanged in whole or in part for Debt Securities registered, and no transfer of a Global Security in whole or in part may be registered, in the name of any Person other than the Depositary for such Global Security or any nominee of such Depositary unless:</w:t>
      </w:r>
    </w:p>
    <w:p>
      <w:pPr>
        <w:spacing w:after="0" w:line="148" w:lineRule="exact"/>
        <w:rPr>
          <w:sz w:val="20"/>
          <w:szCs w:val="20"/>
          <w:color w:val="auto"/>
        </w:rPr>
      </w:pPr>
    </w:p>
    <w:p>
      <w:pPr>
        <w:ind w:left="980" w:hanging="648"/>
        <w:spacing w:after="0" w:line="26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Depositary has notified us that it is unwilling or unable to continue as Depositary for such Global Security or has ceased to be qualified to act as such as required by the Indenture, and in either case we fail to appoint a successor Depositary within 90 days;</w:t>
      </w:r>
    </w:p>
    <w:p>
      <w:pPr>
        <w:spacing w:after="0" w:line="3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287" w:right="3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980" w:hanging="648"/>
        <w:spacing w:after="0" w:line="26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Event of Default with respect to the Debt Securities represented by such Global Security has occurred and is continuing and the Trustee has received a written request from the Depositary to issue certificated Debt Securities;</w:t>
      </w:r>
    </w:p>
    <w:p>
      <w:pPr>
        <w:spacing w:after="0" w:line="142"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 to the rules of the Depositary, we have elected to terminate the book-entry system through the Depositary; or</w:t>
      </w:r>
    </w:p>
    <w:p>
      <w:pPr>
        <w:spacing w:after="0" w:line="171" w:lineRule="exact"/>
        <w:rPr>
          <w:rFonts w:ascii="Arial" w:cs="Arial" w:eastAsia="Arial" w:hAnsi="Arial"/>
          <w:sz w:val="18"/>
          <w:szCs w:val="18"/>
          <w:color w:val="auto"/>
        </w:rPr>
      </w:pPr>
    </w:p>
    <w:p>
      <w:pPr>
        <w:ind w:left="980" w:right="400" w:hanging="648"/>
        <w:spacing w:after="0" w:line="26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circumstances exist, in addition to or in lieu of those described above, as may be described in the applicable prospectus supplement (Section 305).</w:t>
      </w:r>
    </w:p>
    <w:p>
      <w:pPr>
        <w:spacing w:after="0" w:line="142"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All certificated Debt Securities issued in exchange for a Global Security or any portion thereof will be registered in such names as the Depositary may direct (Section 305).</w:t>
      </w:r>
    </w:p>
    <w:p>
      <w:pPr>
        <w:spacing w:after="0" w:line="14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As long as the Depositary, or its nominee, is the registered holder of a Global Security, the Depositary or such nominee, as the case may be, will be considered the sole owner and Holder of such Global Security and the Debt Securities that it represents for all purposes under the Debt Securities and the Indenture (Section 308). Except in the limited circumstances referred to above, owners of beneficial interests in a Global Security will not be entitled to have such Global Security or any Debt Securities that it represents registered in their names, will not receive or be entitled to receive physical delivery of certificated Debt Securities in exchange for those interests and will not be considered to be the owners or Holders of such Global Security or any Debt Securities that it represents for any purpose under the Debt Securities or the Indenture. All payments on a Global Security will be made to the Depositary or its nominee, as the case may be, as the Holder of the security. The laws of some jurisdictions may require that some purchasers of Debt Securities take physical delivery of such Debt Securities in certificated form. These laws may impair the ability to transfer beneficial interests in a Global Security.</w:t>
      </w:r>
    </w:p>
    <w:p>
      <w:pPr>
        <w:spacing w:after="0" w:line="15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Ownership of beneficial interests in a Global Security will be limited to institutions that have accounts with the Depositary or its nominee (“participants”) and to Persons that may hold beneficial interests through participants. In connection with the issuance of any Global Security, the Depositary will credit, on its book-entry registration and transfer system, the respective principal amounts of Debt Securities represented by the Global Security to the accounts of its participants. Ownership of beneficial interests in a Global Security will be shown only on, and the transfer of those ownership interests will be effected only through, records maintained by the Depositary (with respect to participants’ interests) or any such participant (with respect to interests of Persons held by such participants on their behalf). Payments, transfers, exchanges and other matters relating to beneficial interests in a Global Security may be subject to various policies and procedures adopted by the Depositary from time to time. None of us, the Trustee, or the agents of us or the Trustee will have any responsibility or liability for any aspect of the Depositary’s or any participant’s records relating to, or for payments made on account of, beneficial interests in a Global Security, or for maintaining, supervising or reviewing any records relating to such beneficial interests.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9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Unless otherwise indicated in the applicable prospectus supplement, payment of interest on a Debt Security on any Interest Payment Date will be made to the Person in whose name such Debt Security (or one or more Predecessor Debt Securities) is registered at the close of business on the Regular Record Date for such interest (Section 307).</w:t>
      </w:r>
    </w:p>
    <w:p>
      <w:pPr>
        <w:spacing w:after="0" w:line="14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Unless otherwise indicated in the applicable prospectus supplement, principal of and any premium and interest on the Debt Securities of a particular series will be payable at the office of such Paying Agent or Paying Agents as we may designate for such purpose from time to time, except that at our option payment of any interest on Debt Securities in certificated form may be made by check mailed to the address of the Person entitled thereto as such address appears in the Security Register. Unless otherwise indicated in the applicable prospectus supplement, the corporate trust office of the Trustee under the Indenture in New York, New York will be designated as sole Paying Agent for payments with respect to Senior Debt Securities of each series. Any other Paying Agents initially designated by us for the Debt Securities of a particular series will be named in the applicable prospectus supplement. We may at any time designate additional Paying Agents or rescind the designation of any Paying Agent or approve a change in the office through which any Paying Agent acts, except that we will be required to maintain a Paying Agent in each Place of Payment for the Debt Securities of a particular series (Section 1002).</w:t>
      </w:r>
    </w:p>
    <w:p>
      <w:pPr>
        <w:spacing w:after="0" w:line="15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All money paid by us to a Paying Agent for the payment of the principal of or any premium or interest on any Debt Security which remains unclaimed at the end of two years after such principal, premium or interest has become due and payable will be repaid to us, and the Holder of such Debt Security thereafter may look only to us for payment (Section 1003).</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7"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93"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Unless otherwise specified in the prospectus supplement, we may not consolidate with or merge into, or transfer, lease or otherwise dispose of all or substantially all of our assets to, any Person (a “successor Person”), and may not permit any Person to consolidate with or merge into us, unless:</w:t>
      </w:r>
    </w:p>
    <w:p>
      <w:pPr>
        <w:spacing w:after="0" w:line="148" w:lineRule="exact"/>
        <w:rPr>
          <w:sz w:val="20"/>
          <w:szCs w:val="20"/>
          <w:color w:val="auto"/>
        </w:rPr>
      </w:pPr>
    </w:p>
    <w:p>
      <w:pPr>
        <w:ind w:left="980" w:hanging="648"/>
        <w:spacing w:after="0" w:line="262"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successor Person (if any) is a corporation, partnership, trust or other entity organized and validly existing under the laws of any domestic jurisdiction and assumes our obligations on the Debt Securities and under the Indenture;</w:t>
      </w:r>
    </w:p>
    <w:p>
      <w:pPr>
        <w:spacing w:after="0" w:line="142" w:lineRule="exact"/>
        <w:rPr>
          <w:rFonts w:ascii="Arial" w:cs="Arial" w:eastAsia="Arial" w:hAnsi="Arial"/>
          <w:sz w:val="18"/>
          <w:szCs w:val="18"/>
          <w:color w:val="auto"/>
        </w:rPr>
      </w:pPr>
    </w:p>
    <w:p>
      <w:pPr>
        <w:ind w:left="980" w:right="400" w:hanging="648"/>
        <w:spacing w:after="0" w:line="262"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Immediately before and after giving pro forma effect to the transaction, no Event of Default, and no event which, after notice or lapse of time or both, would become an Event of Default, has occurred and is continuing; and</w:t>
      </w:r>
    </w:p>
    <w:p>
      <w:pPr>
        <w:spacing w:after="0" w:line="142" w:lineRule="exact"/>
        <w:rPr>
          <w:rFonts w:ascii="Arial" w:cs="Arial" w:eastAsia="Arial" w:hAnsi="Arial"/>
          <w:sz w:val="18"/>
          <w:szCs w:val="18"/>
          <w:color w:val="auto"/>
        </w:rPr>
      </w:pPr>
    </w:p>
    <w:p>
      <w:pPr>
        <w:ind w:left="980" w:right="820" w:hanging="648"/>
        <w:spacing w:after="0" w:line="262"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Several other conditions, including any additional conditions with respect to any particular Debt Securities specified in the applicable prospectus supplement, are met (Section 801).</w:t>
      </w:r>
    </w:p>
    <w:p>
      <w:pPr>
        <w:spacing w:after="0" w:line="142"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The successor Person (if not us) will be substituted for us under the Indenture with the same effect as if it had been an original party to the Indenture, and, except in the case of a lease, we will be relieved from any further obligations under the Indenture and the Debt Securities (Section 802).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93"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Unless otherwise specified in the prospectus supplement, each of the following will constitute an Event of Default under the Indenture with respect to Debt Securities of any series:</w:t>
      </w:r>
    </w:p>
    <w:p>
      <w:pPr>
        <w:spacing w:after="0" w:line="142" w:lineRule="exact"/>
        <w:rPr>
          <w:sz w:val="20"/>
          <w:szCs w:val="20"/>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pay principal of or any premium on any Debt Security of that series when due;</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pay any interest on any Debt Securities of that series when due, continued for 30 days;</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deposit any sinking fund payment, when due, in respect of any Debt Security of that series;</w:t>
      </w:r>
    </w:p>
    <w:p>
      <w:pPr>
        <w:spacing w:after="0" w:line="171" w:lineRule="exact"/>
        <w:rPr>
          <w:rFonts w:ascii="Arial" w:cs="Arial" w:eastAsia="Arial" w:hAnsi="Arial"/>
          <w:sz w:val="18"/>
          <w:szCs w:val="18"/>
          <w:color w:val="auto"/>
        </w:rPr>
      </w:pPr>
    </w:p>
    <w:p>
      <w:pPr>
        <w:ind w:left="980" w:right="60" w:hanging="648"/>
        <w:spacing w:after="0" w:line="262"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perform or comply with the provisions described under “Description of Debt Securities-Consolidation, Merger and Sale of Assets”;</w:t>
      </w:r>
    </w:p>
    <w:p>
      <w:pPr>
        <w:spacing w:after="0" w:line="142" w:lineRule="exact"/>
        <w:rPr>
          <w:rFonts w:ascii="Arial" w:cs="Arial" w:eastAsia="Arial" w:hAnsi="Arial"/>
          <w:sz w:val="18"/>
          <w:szCs w:val="18"/>
          <w:color w:val="auto"/>
        </w:rPr>
      </w:pPr>
    </w:p>
    <w:p>
      <w:pPr>
        <w:ind w:left="980" w:hanging="648"/>
        <w:spacing w:after="0" w:line="256"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perform any of our other covenants in the Indenture (other than a covenant included in the Indenture solely for the benefit of a series other than that series), continued for 60 days after written notice has been given by the Trustee, or the Holders of at least 25% in principal amount of the Outstanding Debt Securities of that series, as provided in the Indenture;</w:t>
      </w:r>
    </w:p>
    <w:p>
      <w:pPr>
        <w:spacing w:after="0" w:line="147" w:lineRule="exact"/>
        <w:rPr>
          <w:rFonts w:ascii="Arial" w:cs="Arial" w:eastAsia="Arial" w:hAnsi="Arial"/>
          <w:sz w:val="18"/>
          <w:szCs w:val="18"/>
          <w:color w:val="auto"/>
        </w:rPr>
      </w:pPr>
    </w:p>
    <w:p>
      <w:pPr>
        <w:ind w:left="980" w:right="60" w:hanging="648"/>
        <w:spacing w:after="0" w:line="262"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Debt of ours or of any Significant Subsidiary, is not paid within any applicable grace period after final maturity or is accelerated by its holders because of a default and the total amount of such Debt unpaid or accelerated exceeds $20 million;</w:t>
      </w:r>
    </w:p>
    <w:p>
      <w:pPr>
        <w:spacing w:after="0" w:line="142" w:lineRule="exact"/>
        <w:rPr>
          <w:rFonts w:ascii="Arial" w:cs="Arial" w:eastAsia="Arial" w:hAnsi="Arial"/>
          <w:sz w:val="18"/>
          <w:szCs w:val="18"/>
          <w:color w:val="auto"/>
        </w:rPr>
      </w:pPr>
    </w:p>
    <w:p>
      <w:pPr>
        <w:ind w:left="980" w:hanging="648"/>
        <w:spacing w:after="0" w:line="256"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judgment or decree for the payment of money in excess of $20 million is entered against us or against any Significant Subsidiary, remains outstanding for a period of 60 consecutive days following entry of such judgment and is not discharged, waived or stayed; and</w:t>
      </w:r>
    </w:p>
    <w:p>
      <w:pPr>
        <w:spacing w:after="0" w:line="14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affecting us or any Significant Subsidiary.</w:t>
      </w:r>
    </w:p>
    <w:p>
      <w:pPr>
        <w:spacing w:after="0" w:line="17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If an Event of Default (other than an Event of Default with respect to EZCORP described in clause (8) above) with respect to the Debt Securities of any series at the time Outstanding occurs and is continuing, either the Trustee or the Holders of at least 25% in principal amount of the Outstanding Debt Securities of that series by notice as provided in the Indenture may declare the principal amount of the Debt Securities of that series (or, in the case of any Debt Security that is an Original Issue Discount Debt Security, such portion of the principal amount of such Debt Security as may be specified in the terms of such Debt Security) to be due and payable immediately, together with any accrued and unpaid interest thereon. If an Event of Default with respect to EZCORP described in clause (8) above with respect to the Debt Securities of any series at the time Outstanding occurs, the principal amount of all the Debt Securities of that series (or, in the case of any such Original Issue Discount Security, such specified amount) will automatically, and without any action by the applicable Trustee or any Holder, become immediately due and payable, together with any accrued and unpaid interest thereon. After any such acceleration, but before a judgment or decree based on acceleration, the Holders of a majority in principal amount of the Outstanding Debt Securities of that series may, under certain circumstances, rescind and annul such acceleration and its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7"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consequences if all Events of Default, other than the non-payment of accelerated principal (or other specified amount), have been cured or waived as provided in the Indenture (Section 502). For information as to waiver of defaults, see “Description of Debt Securities-Modification and Waiver” below.</w:t>
      </w:r>
    </w:p>
    <w:p>
      <w:pPr>
        <w:spacing w:after="0" w:line="148"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Subject to the provisions of the Indenture relating to the duties of the Trustee in case an Event of Default has occurred and is continuing, the Trustee will be under no obligation to exercise any of its rights or powers under the Indenture at the request or direction of any of the Holders, unless such Holders have offered to such Trustee reasonable security or indemnity (Section 603). Subject to such provisions for the indemnification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512).</w:t>
      </w:r>
    </w:p>
    <w:p>
      <w:pPr>
        <w:spacing w:after="0" w:line="15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No Holder of a Debt Security of any series will have any right to institute any proceeding with respect to the Indenture, or for the appointment of a receiver or a trustee, or for any other remedy thereunder, unless:</w:t>
      </w:r>
    </w:p>
    <w:p>
      <w:pPr>
        <w:spacing w:after="0" w:line="142" w:lineRule="exact"/>
        <w:rPr>
          <w:sz w:val="20"/>
          <w:szCs w:val="20"/>
          <w:color w:val="auto"/>
        </w:rPr>
      </w:pPr>
    </w:p>
    <w:p>
      <w:pPr>
        <w:ind w:left="980" w:right="120" w:hanging="648"/>
        <w:spacing w:after="0" w:line="262"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Holder has previously given to the Trustee under the Indenture written notice of a continuing Event of Default with respect to the Debt Securities of that series;</w:t>
      </w:r>
    </w:p>
    <w:p>
      <w:pPr>
        <w:spacing w:after="0" w:line="142" w:lineRule="exact"/>
        <w:rPr>
          <w:rFonts w:ascii="Arial" w:cs="Arial" w:eastAsia="Arial" w:hAnsi="Arial"/>
          <w:sz w:val="18"/>
          <w:szCs w:val="18"/>
          <w:color w:val="auto"/>
        </w:rPr>
      </w:pPr>
    </w:p>
    <w:p>
      <w:pPr>
        <w:ind w:left="980" w:right="220" w:hanging="648"/>
        <w:spacing w:after="0" w:line="262"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have made written request, and such Holder or Holders have offered reasonable indemnity, to the Trustee to institute such proceeding as trustee; and</w:t>
      </w:r>
    </w:p>
    <w:p>
      <w:pPr>
        <w:spacing w:after="0" w:line="142" w:lineRule="exact"/>
        <w:rPr>
          <w:rFonts w:ascii="Arial" w:cs="Arial" w:eastAsia="Arial" w:hAnsi="Arial"/>
          <w:sz w:val="18"/>
          <w:szCs w:val="18"/>
          <w:color w:val="auto"/>
        </w:rPr>
      </w:pPr>
    </w:p>
    <w:p>
      <w:pPr>
        <w:jc w:val="both"/>
        <w:ind w:left="980" w:right="120" w:hanging="648"/>
        <w:spacing w:after="0" w:line="256"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Trustee has failed to institute such proceeding, and has not received from the Holders of a majority in principal amount of the Outstanding Debt Securities of that series a direction inconsistent with such request, within 60 days after such notice, request and offer (Section 507).</w:t>
      </w:r>
    </w:p>
    <w:p>
      <w:pPr>
        <w:spacing w:after="0" w:line="148"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However, such limitations do not apply to a suit instituted by a Holder of a Debt Security for the enforcement of payment of the principal of or any premium or interest on such Debt Security on or after the applicable due date specified in such Debt Security or, if applicable, to convert such Debt Security (Section 508).</w:t>
      </w:r>
    </w:p>
    <w:p>
      <w:pPr>
        <w:spacing w:after="0" w:line="148"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We will be required to furnish to the Trustee annually a statement by certain of our officers as to whether or not we, to their knowledge, are in default in the performance or observance of any of the terms, provisions and conditions of the Indenture and, if so, specifying all such known defaults (Section 1004).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may modify or amend the Indenture without the consent of any Holders of the Debt Securities in certain circumstances, including:</w:t>
      </w:r>
    </w:p>
    <w:p>
      <w:pPr>
        <w:spacing w:after="0" w:line="171" w:lineRule="exact"/>
        <w:rPr>
          <w:sz w:val="20"/>
          <w:szCs w:val="20"/>
          <w:color w:val="auto"/>
        </w:rPr>
      </w:pPr>
    </w:p>
    <w:p>
      <w:pPr>
        <w:ind w:left="980" w:right="220" w:hanging="648"/>
        <w:spacing w:after="0" w:line="26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evidence the succession under the Indenture of another Person to us or and to provide for its assumption of our obligations to Holders of Debt Securities;</w:t>
      </w:r>
    </w:p>
    <w:p>
      <w:pPr>
        <w:spacing w:after="0" w:line="142" w:lineRule="exact"/>
        <w:rPr>
          <w:rFonts w:ascii="Arial" w:cs="Arial" w:eastAsia="Arial" w:hAnsi="Arial"/>
          <w:sz w:val="18"/>
          <w:szCs w:val="18"/>
          <w:color w:val="auto"/>
        </w:rPr>
      </w:pPr>
    </w:p>
    <w:p>
      <w:pPr>
        <w:ind w:left="980" w:right="100" w:hanging="648"/>
        <w:spacing w:after="0" w:line="26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make any changes that would add any additional covenants of us for the benefit of the Holders of Debt Securities or that do not adversely affect the rights under the Indenture of the Holders of Debt Securities in any material respect;</w:t>
      </w:r>
    </w:p>
    <w:p>
      <w:pPr>
        <w:spacing w:after="0" w:line="142"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add any additional Events of Default;</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secure the Debt Securities;</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establish the form or terms of any series of Debt Securities;</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the Indenture of a successor Trustee; or</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Other modifications and amendments of the Indenture may be made by us and the Trustee only with the consent of the Holders of a majority in principal amount of the Outstanding Debt Securities of each series affected by such</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7"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modification or amendment; provided, however, that no such modification or amendment may, without the consent of the Holder of each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Outstanding Debt Security affected thereby:</w:t>
      </w:r>
    </w:p>
    <w:p>
      <w:pPr>
        <w:spacing w:after="0" w:line="171" w:lineRule="exact"/>
        <w:rPr>
          <w:sz w:val="20"/>
          <w:szCs w:val="20"/>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of or interest on, any Debt Security;</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principal amount of or any premium or interest on, any Debt Security;</w:t>
      </w:r>
    </w:p>
    <w:p>
      <w:pPr>
        <w:spacing w:after="0" w:line="171" w:lineRule="exact"/>
        <w:rPr>
          <w:rFonts w:ascii="Arial" w:cs="Arial" w:eastAsia="Arial" w:hAnsi="Arial"/>
          <w:sz w:val="18"/>
          <w:szCs w:val="18"/>
          <w:color w:val="auto"/>
        </w:rPr>
      </w:pPr>
    </w:p>
    <w:p>
      <w:pPr>
        <w:ind w:left="980" w:right="40" w:hanging="648"/>
        <w:spacing w:after="0" w:line="26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amount of principal of an Original Issue Discount Security or any other Debt Security payable upon acceleration of the Maturity thereof;</w:t>
      </w:r>
    </w:p>
    <w:p>
      <w:pPr>
        <w:spacing w:after="0" w:line="14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the place or currency of payment of principal of, or any premium or interest on, any Debt Security;</w:t>
      </w:r>
    </w:p>
    <w:p>
      <w:pPr>
        <w:spacing w:after="0" w:line="171" w:lineRule="exact"/>
        <w:rPr>
          <w:rFonts w:ascii="Arial" w:cs="Arial" w:eastAsia="Arial" w:hAnsi="Arial"/>
          <w:sz w:val="18"/>
          <w:szCs w:val="18"/>
          <w:color w:val="auto"/>
        </w:rPr>
      </w:pPr>
    </w:p>
    <w:p>
      <w:pPr>
        <w:ind w:left="980" w:right="640" w:hanging="648"/>
        <w:spacing w:after="0" w:line="26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due on or any conversion right with respect to any Debt Security;</w:t>
      </w:r>
    </w:p>
    <w:p>
      <w:pPr>
        <w:spacing w:after="0" w:line="14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Modify any conversion provisions in a manner adverse to the Holders of the applicable Debt Securities;</w:t>
      </w:r>
    </w:p>
    <w:p>
      <w:pPr>
        <w:spacing w:after="0" w:line="171" w:lineRule="exact"/>
        <w:rPr>
          <w:rFonts w:ascii="Arial" w:cs="Arial" w:eastAsia="Arial" w:hAnsi="Arial"/>
          <w:sz w:val="18"/>
          <w:szCs w:val="18"/>
          <w:color w:val="auto"/>
        </w:rPr>
      </w:pPr>
    </w:p>
    <w:p>
      <w:pPr>
        <w:ind w:left="980" w:right="20" w:hanging="648"/>
        <w:spacing w:after="0" w:line="26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the consent of whose Holders is required for modification or amendment of the Indenture;</w:t>
      </w:r>
    </w:p>
    <w:p>
      <w:pPr>
        <w:spacing w:after="0" w:line="142" w:lineRule="exact"/>
        <w:rPr>
          <w:rFonts w:ascii="Arial" w:cs="Arial" w:eastAsia="Arial" w:hAnsi="Arial"/>
          <w:sz w:val="18"/>
          <w:szCs w:val="18"/>
          <w:color w:val="auto"/>
        </w:rPr>
      </w:pPr>
    </w:p>
    <w:p>
      <w:pPr>
        <w:ind w:left="980" w:right="160" w:hanging="648"/>
        <w:spacing w:after="0" w:line="26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necessary for waiver of compliance with certain provisions of the Indenture or for waiver of certain defaults;</w:t>
      </w:r>
    </w:p>
    <w:p>
      <w:pPr>
        <w:spacing w:after="0" w:line="14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Modify such provisions with respect to modification, amendment or waiver; or</w:t>
      </w:r>
    </w:p>
    <w:p>
      <w:pPr>
        <w:spacing w:after="0" w:line="171" w:lineRule="exact"/>
        <w:rPr>
          <w:rFonts w:ascii="Arial" w:cs="Arial" w:eastAsia="Arial" w:hAnsi="Arial"/>
          <w:sz w:val="18"/>
          <w:szCs w:val="18"/>
          <w:color w:val="auto"/>
        </w:rPr>
      </w:pPr>
    </w:p>
    <w:p>
      <w:pPr>
        <w:ind w:left="980" w:right="220" w:hanging="648"/>
        <w:spacing w:after="0" w:line="26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Following the making of an offer to purchase Debt Securities from any Holder that has been made pursuant to a covenant in the Indenture, modify such covenant in a manner adverse to such Holder (Section 902).</w:t>
      </w:r>
    </w:p>
    <w:p>
      <w:pPr>
        <w:spacing w:after="0" w:line="14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Holders of a majority in principal amount of the Outstanding Debt Securities of any series may waive compliance by us with certain restrictive provisions of the Indenture (Section 1009). The Holders of a majority in principal amount of the Outstanding Debt Securities of any series may waive any past default under the Indenture, except a default in the payment of principal, premium or interest and certain covenants and provisions of the Indenture which cannot be amended without the consent of the Holder of each Outstanding Debt Security of such series (Section 513).</w:t>
      </w:r>
    </w:p>
    <w:p>
      <w:pPr>
        <w:spacing w:after="0" w:line="15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Indenture provides that in determining whether the Holders of the requisite principal amount of the Outstanding Debt Securities have given or taken any direction, notice, consent, waiver or other action under the Indenture as of any date:</w:t>
      </w:r>
    </w:p>
    <w:p>
      <w:pPr>
        <w:spacing w:after="0" w:line="142" w:lineRule="exact"/>
        <w:rPr>
          <w:sz w:val="20"/>
          <w:szCs w:val="20"/>
          <w:color w:val="auto"/>
        </w:rPr>
      </w:pPr>
    </w:p>
    <w:p>
      <w:pPr>
        <w:ind w:left="980" w:right="580" w:hanging="648"/>
        <w:spacing w:after="0" w:line="26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principal amount of an Original Issue Discount Security that will be deemed to be Outstanding will be the amount of the principal that would be due and payable as of such date upon acceleration of maturity to such date;</w:t>
      </w:r>
    </w:p>
    <w:p>
      <w:pPr>
        <w:spacing w:after="0" w:line="142" w:lineRule="exact"/>
        <w:rPr>
          <w:rFonts w:ascii="Arial" w:cs="Arial" w:eastAsia="Arial" w:hAnsi="Arial"/>
          <w:sz w:val="18"/>
          <w:szCs w:val="18"/>
          <w:color w:val="auto"/>
        </w:rPr>
      </w:pPr>
    </w:p>
    <w:p>
      <w:pPr>
        <w:ind w:left="980" w:right="80" w:hanging="648"/>
        <w:spacing w:after="0" w:line="256"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as of such date, the principal amount payable at the Stated Maturity of a Debt Security is not determinable (for example, because it is based on an index), the principal amount of such Debt Security deemed to be Outstanding as of such date will be an amount determined in the manner prescribed for such Debt Security;</w:t>
      </w:r>
    </w:p>
    <w:p>
      <w:pPr>
        <w:spacing w:after="0" w:line="147" w:lineRule="exact"/>
        <w:rPr>
          <w:rFonts w:ascii="Arial" w:cs="Arial" w:eastAsia="Arial" w:hAnsi="Arial"/>
          <w:sz w:val="18"/>
          <w:szCs w:val="18"/>
          <w:color w:val="auto"/>
        </w:rPr>
      </w:pPr>
    </w:p>
    <w:p>
      <w:pPr>
        <w:ind w:left="980" w:hanging="648"/>
        <w:spacing w:after="0" w:line="25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principal amount of a Debt Security denominated in one or more foreign currencies or currency units that will be deemed to be Outstanding will be the United States-dollar equivalent, determined as of such date in the manner prescribed for such Debt Security, of the principal amount of such Debt Security (or, in the case of a Debt Security described in clause (1) or (2) above, of the amount described in such clause); and</w:t>
      </w:r>
    </w:p>
    <w:p>
      <w:pPr>
        <w:spacing w:after="0" w:line="150"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Debt Securities, including those owned by us or any of our Affiliates, will not be deemed to be Outstanding (Section 101).</w:t>
      </w:r>
    </w:p>
    <w:p>
      <w:pPr>
        <w:spacing w:after="0" w:line="17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Except in certain limited circumstances, we will be entitled to set any day as a record date for the purpose of determining the Holders of Outstanding Debt Securities of any series entitled to give or take any direction, notice, consent, waiver or other action under the Indenture, in the manner and subject to the limitations provided in the</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7" w:right="2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Indenture. In certain limited circumstances, the Trustee will be entitled to set a record date for action by Holders. If a record date is set for any action to be taken by Holders of a particular series, only Persons who are Holders of Outstanding Debt Securities of that series on the record date may take such action. To be effective, such action must be taken by Holders of the requisite principal amount of such Debt Securities within a specified period following the record date. For any particular record date, this period will be 180 days or such other period as may be specified by us (or the Trustee, if it set the record date), and may be shortened or lengthened (but not beyond 180 days) from time to time (Section 104).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193"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Indenture will be discharged and will cease to be of further effect as to all outstanding Debt Securities of any series issued thereunder, when:</w:t>
      </w:r>
    </w:p>
    <w:p>
      <w:pPr>
        <w:spacing w:after="0" w:line="142" w:lineRule="exact"/>
        <w:rPr>
          <w:sz w:val="20"/>
          <w:szCs w:val="20"/>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Either:</w:t>
      </w:r>
    </w:p>
    <w:p>
      <w:pPr>
        <w:spacing w:after="0" w:line="171" w:lineRule="exact"/>
        <w:rPr>
          <w:rFonts w:ascii="Arial" w:cs="Arial" w:eastAsia="Arial" w:hAnsi="Arial"/>
          <w:sz w:val="18"/>
          <w:szCs w:val="18"/>
          <w:color w:val="auto"/>
        </w:rPr>
      </w:pPr>
    </w:p>
    <w:p>
      <w:pPr>
        <w:jc w:val="both"/>
        <w:ind w:left="1460" w:right="140" w:hanging="480"/>
        <w:spacing w:after="0" w:line="256" w:lineRule="auto"/>
        <w:tabs>
          <w:tab w:leader="none" w:pos="14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47" w:lineRule="exact"/>
        <w:rPr>
          <w:rFonts w:ascii="Arial" w:cs="Arial" w:eastAsia="Arial" w:hAnsi="Arial"/>
          <w:sz w:val="18"/>
          <w:szCs w:val="18"/>
          <w:color w:val="auto"/>
        </w:rPr>
      </w:pPr>
    </w:p>
    <w:p>
      <w:pPr>
        <w:ind w:left="1460" w:right="40" w:hanging="480"/>
        <w:spacing w:after="0" w:line="252" w:lineRule="auto"/>
        <w:tabs>
          <w:tab w:leader="none" w:pos="14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not been delivered to the Trustee for cancellation have become due and payable or will become due and payable at their Stated Maturity within one year or are to be called for redemption within one year under arrangements satisfactory to the Trustee and in any case we have irrevocably deposited with the Trustee as trust funds money in an amount sufficient, without consideration of any reinvestment of interest, to pay the entire indebtedness of such Debt Securities not delivered to the Trustee for cancellation, for principal, premium, if any, and accrued interest to the Stated Maturity or redemption date;</w:t>
      </w:r>
    </w:p>
    <w:p>
      <w:pPr>
        <w:spacing w:after="0" w:line="154" w:lineRule="exact"/>
        <w:rPr>
          <w:rFonts w:ascii="Arial" w:cs="Arial" w:eastAsia="Arial" w:hAnsi="Arial"/>
          <w:sz w:val="18"/>
          <w:szCs w:val="18"/>
          <w:color w:val="auto"/>
        </w:rPr>
      </w:pPr>
    </w:p>
    <w:p>
      <w:pPr>
        <w:ind w:left="980" w:right="380" w:hanging="648"/>
        <w:spacing w:after="0" w:line="262"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with respect to the Debt Securities of that series; and</w:t>
      </w:r>
    </w:p>
    <w:p>
      <w:pPr>
        <w:spacing w:after="0" w:line="142" w:lineRule="exact"/>
        <w:rPr>
          <w:rFonts w:ascii="Arial" w:cs="Arial" w:eastAsia="Arial" w:hAnsi="Arial"/>
          <w:sz w:val="18"/>
          <w:szCs w:val="18"/>
          <w:color w:val="auto"/>
        </w:rPr>
      </w:pPr>
    </w:p>
    <w:p>
      <w:pPr>
        <w:ind w:left="980" w:right="540" w:hanging="648"/>
        <w:spacing w:after="0" w:line="262"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of the Indenture with respect to the Debt Securities of that series has been satisfied (Article Four).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If and to the extent indicated in the applicable prospectus supplement, we may elect, at our option at any time, to have the provisions of Section 1502, relating to defeasance and discharge of indebtedness, which we call “legal defeasance,” or Section 1503, relating to defeasance of certain restrictive covenants, applied to the Debt Securities of any series, or to any specified part of a series, which we call “covenant defeasance” (Section 1501).</w:t>
      </w:r>
    </w:p>
    <w:p>
      <w:pPr>
        <w:spacing w:after="0" w:line="1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Legal Defeasance — </w:t>
      </w:r>
      <w:r>
        <w:rPr>
          <w:rFonts w:ascii="Arial" w:cs="Arial" w:eastAsia="Arial" w:hAnsi="Arial"/>
          <w:sz w:val="18"/>
          <w:szCs w:val="18"/>
          <w:color w:val="auto"/>
        </w:rPr>
        <w:t>The Indenture provides that, upon our exercise of our option (if any) to have Section 1502 applied to any Debt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we will be discharged from all our obligations with respect to such Debt Securities (except for certain obligations to convert, exchange or register the transfer of Debt Securities, to replace stolen, lost or mutilated Debt Securities, to maintain paying agencies and to hold moneys for payment in trust) upon the deposit in trust for the benefit of the Holders of such Debt Securities of money or U.S. Government Obligations, or both, which, through the payment of principal and interest in respect thereof in accordance with their terms, will provide money in an amount sufficient (in the opinion of a nationally recognized firm of independent public accounts) to pay the principal of and any premium and interest on such Debt Securities on the respective Stated Maturities in accordance with the terms of the Indenture and such Debt Securities. Such defeasance or discharge may occur only if, among other things:</w:t>
      </w:r>
    </w:p>
    <w:p>
      <w:pPr>
        <w:spacing w:after="0" w:line="149" w:lineRule="exact"/>
        <w:rPr>
          <w:sz w:val="20"/>
          <w:szCs w:val="20"/>
          <w:color w:val="auto"/>
        </w:rPr>
      </w:pPr>
    </w:p>
    <w:p>
      <w:pPr>
        <w:ind w:left="980" w:hanging="648"/>
        <w:spacing w:after="0" w:line="25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delivered to the applicable Trustee an Opinion of Counsel to the effect that we have received from, or there has been published by, the United States Internal Revenue Service a ruling, or there has been a change in tax law, in either case to the effect that Holders of such Debt Securities will not recognize gain or loss for federal income tax purposes as a result of such deposit and legal defeasance and will be subject to federal income tax on the same amount, in the same manner and at the same times as would have been the case if such deposit, and legal defeasance were not to occur;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7"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980" w:hanging="648"/>
        <w:spacing w:after="0" w:line="256"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Event of Default or event that with the passing of time or the giving of notice, or both, shall constitute an Event of Default shall have occurred and be continuing at the time of such deposit or, with respect to any Event of Default described in clause (8) under “-Events of Default,” at any time until 121 days after such deposit;</w:t>
      </w:r>
    </w:p>
    <w:p>
      <w:pPr>
        <w:spacing w:after="0" w:line="147" w:lineRule="exact"/>
        <w:rPr>
          <w:rFonts w:ascii="Arial" w:cs="Arial" w:eastAsia="Arial" w:hAnsi="Arial"/>
          <w:sz w:val="18"/>
          <w:szCs w:val="18"/>
          <w:color w:val="auto"/>
        </w:rPr>
      </w:pPr>
    </w:p>
    <w:p>
      <w:pPr>
        <w:ind w:left="980" w:right="660" w:hanging="648"/>
        <w:spacing w:after="0" w:line="262"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deposit and legal defeasance will not result in a breach or violation of, or constitute a default under, any agreement or instrument (other than the Indenture) to which we are a party or by which we are bound; and</w:t>
      </w:r>
    </w:p>
    <w:p>
      <w:pPr>
        <w:spacing w:after="0" w:line="142" w:lineRule="exact"/>
        <w:rPr>
          <w:rFonts w:ascii="Arial" w:cs="Arial" w:eastAsia="Arial" w:hAnsi="Arial"/>
          <w:sz w:val="18"/>
          <w:szCs w:val="18"/>
          <w:color w:val="auto"/>
        </w:rPr>
      </w:pPr>
    </w:p>
    <w:p>
      <w:pPr>
        <w:ind w:left="980" w:right="220" w:hanging="648"/>
        <w:spacing w:after="0" w:line="262"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delivered to the Trustee an Opinion of Counsel to the effect that such deposit shall not cause the Trustee or the trust so created to be subject to the Investment Company Act of 1940 (Sections 1502 and 1504).</w:t>
      </w:r>
    </w:p>
    <w:p>
      <w:pPr>
        <w:spacing w:after="0" w:line="124"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 xml:space="preserve">Covenant Defeasance — </w:t>
      </w:r>
      <w:r>
        <w:rPr>
          <w:rFonts w:ascii="Arial" w:cs="Arial" w:eastAsia="Arial" w:hAnsi="Arial"/>
          <w:sz w:val="18"/>
          <w:szCs w:val="18"/>
          <w:color w:val="auto"/>
        </w:rPr>
        <w:t>The Indenture provides that, upon our exercise of our option (if any) to have Section 1503 applied to any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we may omit to comply with certain restrictive covenants (but not to conversion, if applicable), including those that may be described in the applicable prospectus supplement, and the occurrence of certain Events of Default, which are described above in clause (5) (with respect to such restrictive covenants), clauses (6) and (7) under “-Events of Default” and any other that may be described in the applicable prospectus supplement, will not be deemed to either be or result in an Event of Default with respect to such Debt Securities. In order to exercise such option, we must deposit, in trust for the benefit of the Holders of such Debt Securities, money or U.S. Government Obligations, or both, which, through the payment of principal and interest in respect thereof in accordance with their terms, will provide money in an amount sufficient (in the opinion of a nationally recognized firm of independent public accountants) to pay the principal of and any premium and interest on such Debt Securities on the respective Stated Maturities in accordance with the terms of the Indenture and such Debt Securities. Such covenant defeasance may occur only if we have delivered to the applicable Trustee an Opinion of Counsel that in effect says that Holders of such Debt Securities will not recognize gain or loss for federal income tax purposes as a result of such deposit and covenant defeasance and will be subject to federal income tax on the same amount, in the same manner and at the same times as would have been the case if such deposit and covenant defeasance were not to occur, and the requirements set forth in clauses (2), (3) and (4) in the preceding paragraph are satisfied. If we exercise this option with respect to any Debt Securities and such Debt Securities were declared due and payable because of the occurrence of any Event of Default, the amount of money and U.S. Government Obligations so deposited in trust would be sufficient to pay amounts due on such Debt Securities at the time of their respective Stated Maturities but may not be sufficient to pay amounts due on such Debt Securities upon any acceleration resulting from such Event of Default. In such case, we would remain liable for such payments (Sections 1503 and 1504).</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93"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Notices to Holders of Debt Securities will be given by mail to the addresses of such Holders as they may appear in the Security Register (Sections 101 and 106).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19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the Trustee, and any agent of us or the Trustee may treat the Person in whose name a Debt Security is registered as the absolute owner of the Debt Security (whether or not such Debt Security may be overdue) for the purpose of making payment and for all other purposes (Section 308).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 of the State of New York.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19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prospectus supplement relating to a particular series of debt securities will identify the Trustee with respect to such series. We may maintain banking and other commercial relationships with the Trustee and its affiliates in the ordinary course of business, and the Trustee may own debt securities issued under the Indenture.</w:t>
      </w:r>
    </w:p>
    <w:p>
      <w:pPr>
        <w:spacing w:after="0" w:line="130"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i w:val="1"/>
          <w:iCs w:val="1"/>
          <w:color w:val="auto"/>
        </w:rPr>
        <w:t xml:space="preserve">Resignation or Removal of Trustee </w:t>
      </w:r>
      <w:r>
        <w:rPr>
          <w:rFonts w:ascii="Arial" w:cs="Arial" w:eastAsia="Arial" w:hAnsi="Arial"/>
          <w:sz w:val="18"/>
          <w:szCs w:val="18"/>
          <w:color w:val="auto"/>
        </w:rPr>
        <w:t>— If the Trustee under the Indenture has or acquires a conflicting interest within the meaning of the Trust</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Act of 1939, the Trustee must either eliminate its conflicting interest or resign, to the extent and in the manner provided by, and subject to the provisions of, the Trust Indenture Act and the Indenture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7"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(Section 608). Any resignation will require the appointment of a successor Trustee under the Indenture in accordance with the terms and conditions of the Indenture (Sections 610 and 611).</w:t>
      </w:r>
    </w:p>
    <w:p>
      <w:pPr>
        <w:spacing w:after="0" w:line="142"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A Trustee may resign or be removed by us with respect to one or more series of Debt Securities and a successor Trustee may be appointed to act with respect to any such series. The holders of a majority in principal amount of the Outstanding Debt Securities of any series may remove the Trustee with respect to the Debt Securities of such series (Section 610).</w:t>
      </w:r>
    </w:p>
    <w:p>
      <w:pPr>
        <w:spacing w:after="0" w:line="130"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i w:val="1"/>
          <w:iCs w:val="1"/>
          <w:color w:val="auto"/>
        </w:rPr>
        <w:t xml:space="preserve">Limitations on Trustee if It Is Our Creditor -— </w:t>
      </w:r>
      <w:r>
        <w:rPr>
          <w:rFonts w:ascii="Arial" w:cs="Arial" w:eastAsia="Arial" w:hAnsi="Arial"/>
          <w:sz w:val="18"/>
          <w:szCs w:val="18"/>
          <w:color w:val="auto"/>
        </w:rPr>
        <w:t>The Indenture contains certain limitations on the right of the Trustee, in the event that it becomes</w:t>
      </w:r>
      <w:r>
        <w:rPr>
          <w:rFonts w:ascii="Arial" w:cs="Arial" w:eastAsia="Arial" w:hAnsi="Arial"/>
          <w:sz w:val="18"/>
          <w:szCs w:val="18"/>
          <w:i w:val="1"/>
          <w:iCs w:val="1"/>
          <w:color w:val="auto"/>
        </w:rPr>
        <w:t xml:space="preserve"> </w:t>
      </w:r>
      <w:r>
        <w:rPr>
          <w:rFonts w:ascii="Arial" w:cs="Arial" w:eastAsia="Arial" w:hAnsi="Arial"/>
          <w:sz w:val="18"/>
          <w:szCs w:val="18"/>
          <w:color w:val="auto"/>
        </w:rPr>
        <w:t>our creditor, to obtain payment of claims in certain cases, or to realize on certain property received in respect of any such claim as security or otherwise (Section 613).</w:t>
      </w:r>
    </w:p>
    <w:p>
      <w:pPr>
        <w:spacing w:after="0" w:line="122"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Certificates and Opinions to Be Furnished to Trustee -— </w:t>
      </w:r>
      <w:r>
        <w:rPr>
          <w:rFonts w:ascii="Arial" w:cs="Arial" w:eastAsia="Arial" w:hAnsi="Arial"/>
          <w:sz w:val="18"/>
          <w:szCs w:val="18"/>
          <w:color w:val="auto"/>
        </w:rPr>
        <w:t>The Indenture provides that, in addition to other certificates or opinions that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required by other provisions of the Indenture, every application by us for action by the Trustee must be accompanied by an Officers’ Certificate and an Opinion of Counsel stating that, in the opinion of the signers, all conditions precedent to such action have been complied with by us (Section 102).</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9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following is a description of the principal characteristics of our Class A Non-Voting Common Stock based on the terms and provisions of our Amended and Restated Certificate of Incorporation and Bylaws and the provisions of the Delaware General Corporation Act.</w:t>
      </w:r>
    </w:p>
    <w:p>
      <w:pPr>
        <w:spacing w:after="0" w:line="124"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i w:val="1"/>
          <w:iCs w:val="1"/>
          <w:color w:val="auto"/>
        </w:rPr>
        <w:t xml:space="preserve">Authorized and Outstanding Capital Stock — </w:t>
      </w:r>
      <w:r>
        <w:rPr>
          <w:rFonts w:ascii="Arial" w:cs="Arial" w:eastAsia="Arial" w:hAnsi="Arial"/>
          <w:sz w:val="17"/>
          <w:szCs w:val="17"/>
          <w:color w:val="auto"/>
        </w:rPr>
        <w:t>We are authorized to issue 100,000,000 shares of Class A Non-Voting Common Stock, par value</w:t>
      </w:r>
      <w:r>
        <w:rPr>
          <w:rFonts w:ascii="Arial" w:cs="Arial" w:eastAsia="Arial" w:hAnsi="Arial"/>
          <w:sz w:val="17"/>
          <w:szCs w:val="17"/>
          <w:i w:val="1"/>
          <w:iCs w:val="1"/>
          <w:color w:val="auto"/>
        </w:rPr>
        <w:t xml:space="preserve"> </w:t>
      </w:r>
      <w:r>
        <w:rPr>
          <w:rFonts w:ascii="Arial" w:cs="Arial" w:eastAsia="Arial" w:hAnsi="Arial"/>
          <w:sz w:val="17"/>
          <w:szCs w:val="17"/>
          <w:color w:val="auto"/>
        </w:rPr>
        <w:t>$0.01 per share, and 3,000,000 shares of Class B Voting Common Stock, par value $0.01 per share. As of January 30, 2017, there were 51,321,915 shares of Class A Non-Voting Common Stock and 2,970,171 shares of Class B Voting Common Stock issued and outstanding.</w:t>
      </w:r>
    </w:p>
    <w:p>
      <w:pPr>
        <w:spacing w:after="0" w:line="122"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Our Class A Non-Voting Common Stock is traded on The NASDAQ Global Select Market under the symbol “EZPW.” Shares of the Class B Voting Common Stock are not publicly traded, and all outstanding shares of Class B Voting Common Stock are held by a single stockholder, MS Pawn Limited Partnership, an entity controlled by Phillip E. Cohen. Each share of Class B Voting Common Stock is convertible, at the option of the holder, into a share of Class A Non-Voting Common Stock.</w:t>
      </w:r>
    </w:p>
    <w:p>
      <w:pPr>
        <w:spacing w:after="0" w:line="13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i w:val="1"/>
          <w:iCs w:val="1"/>
          <w:color w:val="auto"/>
        </w:rPr>
        <w:t xml:space="preserve">Preemptive Rights — </w:t>
      </w:r>
      <w:r>
        <w:rPr>
          <w:rFonts w:ascii="Arial" w:cs="Arial" w:eastAsia="Arial" w:hAnsi="Arial"/>
          <w:sz w:val="18"/>
          <w:szCs w:val="18"/>
          <w:color w:val="auto"/>
        </w:rPr>
        <w:t>Holders of Class A Non-Voting Common Stock have no preemptive rights to maintain their percentage of ownership in</w:t>
      </w:r>
      <w:r>
        <w:rPr>
          <w:rFonts w:ascii="Arial" w:cs="Arial" w:eastAsia="Arial" w:hAnsi="Arial"/>
          <w:sz w:val="18"/>
          <w:szCs w:val="18"/>
          <w:i w:val="1"/>
          <w:iCs w:val="1"/>
          <w:color w:val="auto"/>
        </w:rPr>
        <w:t xml:space="preserve"> </w:t>
      </w:r>
      <w:r>
        <w:rPr>
          <w:rFonts w:ascii="Arial" w:cs="Arial" w:eastAsia="Arial" w:hAnsi="Arial"/>
          <w:sz w:val="18"/>
          <w:szCs w:val="18"/>
          <w:color w:val="auto"/>
        </w:rPr>
        <w:t>future offerings or sales of shares of Class A Non-Voting Common Stock.</w:t>
      </w:r>
    </w:p>
    <w:p>
      <w:pPr>
        <w:spacing w:after="0" w:line="10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Voting Rights — </w:t>
      </w:r>
      <w:r>
        <w:rPr>
          <w:rFonts w:ascii="Arial" w:cs="Arial" w:eastAsia="Arial" w:hAnsi="Arial"/>
          <w:sz w:val="18"/>
          <w:szCs w:val="18"/>
          <w:color w:val="auto"/>
        </w:rPr>
        <w:t>The shares of Class A Non-Voting Common Stock have no voting rights except as required by law. Subject to the foregoing</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 for the Class A Non-Voting Common Stock, all of the voting rights are assigned to the Class B Voting Common Stock. Consequently, holders of Class A Non-Voting Common Stock will not have any right to elect directors or to vote on any other matter that requires a vote of the Company’s stockholders except as required by the Delaware General Corporation Law. Upon conversion of all of the outstanding Class B Voting Common Stock into Class A Non-Voting Common Stock, the holders of shares of Class A Non-Voting Common Stock will be entitled to vote on all matters submitted to a vote of the Company’s stockholders and will be entitled to one vote per share of Class A Non-Voting Common Stock held.</w:t>
      </w:r>
    </w:p>
    <w:p>
      <w:pPr>
        <w:spacing w:after="0" w:line="135"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 xml:space="preserve">Stockholder Meetings — </w:t>
      </w:r>
      <w:r>
        <w:rPr>
          <w:rFonts w:ascii="Arial" w:cs="Arial" w:eastAsia="Arial" w:hAnsi="Arial"/>
          <w:sz w:val="18"/>
          <w:szCs w:val="18"/>
          <w:color w:val="auto"/>
        </w:rPr>
        <w:t>Even though the Class A Non-Voting Common Stock has no voting rights, the Company holds an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All holders of Class A Non-Voting Common Stock receive notice of the annual meetings of stockholders, where they are given the opportunity to discuss with management the Company’s performance and plans.</w:t>
      </w:r>
    </w:p>
    <w:p>
      <w:pPr>
        <w:spacing w:after="0" w:line="122"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i w:val="1"/>
          <w:iCs w:val="1"/>
          <w:color w:val="auto"/>
        </w:rPr>
        <w:t xml:space="preserve">Fully Paid </w:t>
      </w:r>
      <w:r>
        <w:rPr>
          <w:rFonts w:ascii="Arial" w:cs="Arial" w:eastAsia="Arial" w:hAnsi="Arial"/>
          <w:sz w:val="18"/>
          <w:szCs w:val="18"/>
          <w:color w:val="auto"/>
        </w:rPr>
        <w:t>— All outstanding shares of Class A Non-Voting Common Stock are fully paid and non-assessable. Any additional Class A Non-Voting Common Stock we offer under this prospectus and issue will also be fully paid and non-assessable.</w:t>
      </w:r>
    </w:p>
    <w:p>
      <w:pPr>
        <w:spacing w:after="0" w:line="10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 xml:space="preserve">Dividends — </w:t>
      </w:r>
      <w:r>
        <w:rPr>
          <w:rFonts w:ascii="Arial" w:cs="Arial" w:eastAsia="Arial" w:hAnsi="Arial"/>
          <w:sz w:val="18"/>
          <w:szCs w:val="18"/>
          <w:color w:val="auto"/>
        </w:rPr>
        <w:t>Under our Amended and Restated Certificate of Incorporation, all shares of our common stock, whether Class A Non-Voting</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or Class B Voting Common Stock, share dividends pro rata, if, as and when declared by the Board of Directors out of funds legally available therefor. Our Board of Directors has not declared or paid any cash dividends on our common stock since our fiscal year ended September 30, 2000, and we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7"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do not anticipate paying any cash dividends in the immediate future. Any future determination to pay cash dividends will be at the discretion of our Board of Directors.</w:t>
      </w:r>
    </w:p>
    <w:p>
      <w:pPr>
        <w:spacing w:after="0" w:line="124" w:lineRule="exact"/>
        <w:rPr>
          <w:sz w:val="20"/>
          <w:szCs w:val="20"/>
          <w:color w:val="auto"/>
        </w:rPr>
      </w:pPr>
    </w:p>
    <w:p>
      <w:pPr>
        <w:jc w:val="both"/>
        <w:ind w:right="440"/>
        <w:spacing w:after="0" w:line="266" w:lineRule="auto"/>
        <w:rPr>
          <w:sz w:val="20"/>
          <w:szCs w:val="20"/>
          <w:color w:val="auto"/>
        </w:rPr>
      </w:pPr>
      <w:r>
        <w:rPr>
          <w:rFonts w:ascii="Arial" w:cs="Arial" w:eastAsia="Arial" w:hAnsi="Arial"/>
          <w:sz w:val="18"/>
          <w:szCs w:val="18"/>
          <w:i w:val="1"/>
          <w:iCs w:val="1"/>
          <w:color w:val="auto"/>
        </w:rPr>
        <w:t xml:space="preserve">Liquidation, Dissolution and Winding Up — </w:t>
      </w:r>
      <w:r>
        <w:rPr>
          <w:rFonts w:ascii="Arial" w:cs="Arial" w:eastAsia="Arial" w:hAnsi="Arial"/>
          <w:sz w:val="18"/>
          <w:szCs w:val="18"/>
          <w:color w:val="auto"/>
        </w:rPr>
        <w:t>Upon liquidation, dissolution or winding up of our affairs, the holders of the Class A Non-Voting</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and the holders of the Class B Voting Common Stock will be entitled to participate equally and ratably, in proportion to the number of shares held, in our net assets available for distribution to holders of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Directors’ Liability</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Amended and Restated Certificate of Incorporation provides, as authorized by Section 102(b)(7) of the Delaware General Corporation Law, that a director will not be personally liable to the Company or its stockholders for monetary damages for breach of fiduciary duty as a director, except for liability:</w:t>
      </w:r>
    </w:p>
    <w:p>
      <w:pPr>
        <w:spacing w:after="0" w:line="14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Company or its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acts or omission not in good faith or that involve intentional misconduct or a knowing violation of law;</w:t>
      </w:r>
    </w:p>
    <w:p>
      <w:pPr>
        <w:spacing w:after="0" w:line="171"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unlawful payments of dividends or unlawful stock repurchases or redemptions as provided in Section 174 of the Delaware General Corporation Law; or</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17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inclusion of this provision in our Amended and Restated Certificate of Incorporation may have the effect of reducing the likelihood of derivative litigation against directors, and may discourage or deter stockholders or management from bringing a lawsuit against directors for breach of their duty of care, even though such an action, if successful, might otherwise have benefited the Company and its stockholders.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serves as the registrar and transfer agent for the Class A Non-Voting Common Stock.</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may issue warrants for the purchase of our Class A Non-Voting Common Stock. 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 A copy of the warrant agreement will be filed with the SEC in connection with the offering of warrants.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Non-Voting Common Stock Warrants</w:t>
      </w:r>
    </w:p>
    <w:p>
      <w:pPr>
        <w:spacing w:after="0" w:line="193"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The prospectus supplement relating to a particular issue of warrants to purchase our Class A Non-Voting Common Stock will describe the terms of the Class A Non-Voting Common Stock warrants, including the following:</w:t>
      </w:r>
    </w:p>
    <w:p>
      <w:pPr>
        <w:spacing w:after="0" w:line="14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designation and terms of the Class A Non-Voting Common Stock that maybe purchased upon exercise of the warrants;</w:t>
      </w:r>
    </w:p>
    <w:p>
      <w:pPr>
        <w:spacing w:after="0" w:line="171"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that the warrants are issued with and the number of warrants issued with each security;</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7"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any securities issued with the warrants will be separately transferable;</w:t>
      </w:r>
    </w:p>
    <w:p>
      <w:pPr>
        <w:spacing w:after="0" w:line="171"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shares of Class A Non-Voting Common Stock that may be purchased upon exercise of a warrant and the price at which the shares may be purchased upon exercise;</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commence and expire;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Anti-dilution provisions of the warrants, if 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warrants;</w:t>
      </w:r>
    </w:p>
    <w:p>
      <w:pPr>
        <w:spacing w:after="0" w:line="171" w:lineRule="exact"/>
        <w:rPr>
          <w:rFonts w:ascii="Arial" w:cs="Arial" w:eastAsia="Arial" w:hAnsi="Arial"/>
          <w:sz w:val="18"/>
          <w:szCs w:val="18"/>
          <w:color w:val="auto"/>
        </w:rPr>
      </w:pPr>
    </w:p>
    <w:p>
      <w:pPr>
        <w:ind w:left="660" w:right="82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and exercise of the warrants;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information we think is important about the warrants.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Each warrant will entitle the holder of the warrant to purchase at the exercise price set forth in the applicable prospectus supplement the shares of Class A Non-Voting Common Stock being offered.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w:t>
      </w:r>
    </w:p>
    <w:p>
      <w:pPr>
        <w:spacing w:after="0" w:line="15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Until a warrant holder exercises such holder’s warrants to purchase Class A Non-Voting Common Stock, the holder will not have any rights as a holder of Class A Non-Voting Common Stock by virtue of the holder’s ownership of warrants.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STOCK PURCHASE CONTRACTS AND STOCK PURCHASE UNITS</w:t>
      </w:r>
    </w:p>
    <w:p>
      <w:pPr>
        <w:spacing w:after="0" w:line="193"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We may issue stock purchase contracts, including contracts obligating holders to purchase from us and contracts obligating us to sell to the holders, a specified number of shares of Class A Non-Voting Common Stock or other securities at a future date or dates, which we refer to in this prospectus as “stock purchase contracts.” The price per share of the securities and the number of shares of the securities may be fixed at the time the stock purchase contracts are issued or may be determined by reference to a specific formula set forth in the stock purchase contracts. The stock purchase contracts may be issued separately or as part of units consisting of a stock purchase contract and warrants or other securities or debt obligations of third parties, including U.S. treasury securities, securing the holders’ obligations to purchase the securities under the stock purchase contracts, which we refer to in this prospectus as “stock purchase units.” The stock purchase contracts may require holders to secure their obligations under the stock purchase contracts in a specified manner. The stock purchase contracts also may require us to make periodic payments to the holders of the stock purchase units or vice versa, and those payments may be unsecured or refunded on some basis.</w:t>
      </w:r>
    </w:p>
    <w:p>
      <w:pPr>
        <w:spacing w:after="0" w:line="158"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stock purchase contracts, and, if applicable, collateral or depositary arrangements, relating to the stock purchase contracts or stock purchase units, will be filed with the SEC in connection with the offering of stock purchase contracts or stock purchase units. The prospectus supplement relating to a particular issue of stock purchase contracts or stock purchase units will describe the terms of those stock purchase contracts or stock purchase units, including the following:</w:t>
      </w:r>
    </w:p>
    <w:p>
      <w:pPr>
        <w:spacing w:after="0" w:line="15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information we think important about the stock purchase contracts or the stock purchase units.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7"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may sell or distribute the securities offered by this prospectus in one or more of the following ways:</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“at the market offerings” to or through a market maker or into an existing trading market, or a securities exchange or otherwise;</w:t>
      </w:r>
    </w:p>
    <w:p>
      <w:pPr>
        <w:spacing w:after="0" w:line="171"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 transaction not involving market makers or established trading markets, including direct sales or privately negotiated transactions; or</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71"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The distribution of the securities may be effected from time to time in one or more transactions at a fixed price or prices, which may be changed, at market prices prevailing at the time of sale, at prices related to the prevailing market prices or at negotiated prices.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may sell some or all of the securities included in this prospectus through:</w:t>
      </w:r>
    </w:p>
    <w:p>
      <w:pPr>
        <w:spacing w:after="0" w:line="171" w:lineRule="exact"/>
        <w:rPr>
          <w:sz w:val="20"/>
          <w:szCs w:val="20"/>
          <w:color w:val="auto"/>
        </w:rPr>
      </w:pPr>
    </w:p>
    <w:p>
      <w:pPr>
        <w:ind w:left="660" w:right="460" w:hanging="328"/>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block trade in which a broker-dealer will attempt to sell as agent, but may position or resell a portion of the block, as principal, in order to facilitate the transaction;</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a broker solicits purchasers;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7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addition, we may enter into option or other types of transactions that require us to deliver common shares to a broker-dealer, who will then resell or transfer the common shares under this prospectus. We may enter into hedging transactions with respect to our securities. For example, we may:</w:t>
      </w:r>
    </w:p>
    <w:p>
      <w:pPr>
        <w:spacing w:after="0" w:line="14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transactions involving short sales of the common shares by broker-dealers;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 common shares short and redeliver the shares to close out short positions;</w:t>
      </w:r>
    </w:p>
    <w:p>
      <w:pPr>
        <w:spacing w:after="0" w:line="171" w:lineRule="exact"/>
        <w:rPr>
          <w:rFonts w:ascii="Arial" w:cs="Arial" w:eastAsia="Arial" w:hAnsi="Arial"/>
          <w:sz w:val="18"/>
          <w:szCs w:val="18"/>
          <w:color w:val="auto"/>
        </w:rPr>
      </w:pPr>
    </w:p>
    <w:p>
      <w:pPr>
        <w:ind w:left="660" w:right="480" w:hanging="328"/>
        <w:spacing w:after="0" w:line="26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option or other types of transactions that require us to deliver common shares to a broker-dealer, who will then resell or transfer the common shares under this prospectus; or</w:t>
      </w:r>
    </w:p>
    <w:p>
      <w:pPr>
        <w:spacing w:after="0" w:line="142" w:lineRule="exact"/>
        <w:rPr>
          <w:rFonts w:ascii="Arial" w:cs="Arial" w:eastAsia="Arial" w:hAnsi="Arial"/>
          <w:sz w:val="18"/>
          <w:szCs w:val="18"/>
          <w:color w:val="auto"/>
        </w:rPr>
      </w:pPr>
    </w:p>
    <w:p>
      <w:pPr>
        <w:ind w:left="660" w:right="460" w:hanging="328"/>
        <w:spacing w:after="0" w:line="26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Loan or pledge the common shares to a broker-dealer, who may sell the loaned shares or, in the event of default, sell the pledged shares.</w:t>
      </w:r>
    </w:p>
    <w:p>
      <w:pPr>
        <w:spacing w:after="0" w:line="14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In addition, we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5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There is currently no market for any of the securities included in this prospectus, other than the shares of Class A Non-Voting Common Stock listed on The NASDAQ Global Select Market. If the securities are traded after their initial issuance, they may trade at a discount from their initial offering price, depending on prevailing interest rates, the market for similar securities and other factors. While it is possible that an underwriter could inform us that it intends to make a market in the securities, such underwriter would not be obligated to do so, and any such market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7"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making could be discontinued at any time without notice. Therefore, we cannot assure you as to whether an active trading market will develop for these other securities. We have no current plans for listing any such other securities on any securities exchange; any such listing with respect to any particular of such other securities will be described in the applicable prospectus supplement.</w:t>
      </w:r>
    </w:p>
    <w:p>
      <w:pPr>
        <w:spacing w:after="0" w:line="14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may have agreements with agents, underwriters, dealers and remarketing firms to indemnify them against certain civil liabilities, including liabilities under the Securities Act. Agents, underwriters, dealers and remarketing firms, and their affiliates, may engage in transactions with, or perform services for, us in the ordinary course of business. This includes commercial banking and investment banking transactions.</w:t>
      </w:r>
    </w:p>
    <w:p>
      <w:pPr>
        <w:spacing w:after="0" w:line="148"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At the time that any particular offering of securities is made, to the extent required by the Securities Act, a prospectus supplement will be distributed setting forth the terms of the offering, including the aggregate number of securities being offered, the purchase price of the securities, the initial offering price of the securities, the names of any underwriters, dealers or agents, any discounts, commissions and other items constituting compensation from us and any discounts, commissions or concessions allowed or reallowed or paid to dealers.</w:t>
      </w:r>
    </w:p>
    <w:p>
      <w:pPr>
        <w:spacing w:after="0" w:line="15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If underwriters are used in the sale, the underwriters will acquire the securities for their own account for resale to the public, either on a firm commitment basis or a best efforts basis. The underwriters may resell the securities from time-to-time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the prospectus supplement, the obligations of the underwriters to purchase the securities will be subject to certain conditions. The underwriters may change from time-to-time any initial public offering price and any discounts or concessions allowed or reallowed or paid to dealers.</w:t>
      </w:r>
    </w:p>
    <w:p>
      <w:pPr>
        <w:spacing w:after="0" w:line="15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may also sell the securities through agents designated from time-to-time. In the prospectus supplement, we will name any agent involved in the offer or sale of the offered securities, and we will describe any commissions payable to the agent. Unless we inform you otherwise in the prospectus supplement, any agent will agree to use its reasonable best efforts to solicit purchases for the period of its appointment.</w:t>
      </w:r>
    </w:p>
    <w:p>
      <w:pPr>
        <w:spacing w:after="0" w:line="148"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If dealers are used in the sale of securities, we will sell the securities to them as principals. The dealers may then resell those securities to the public at varying prices determined by the dealers at the time of resale. We will include in the prospectus supplement the names of the dealers and the terms of the transaction.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Securities may also be sold directly by us. In this case, no underwriters or agents would be involved.</w:t>
      </w:r>
    </w:p>
    <w:p>
      <w:pPr>
        <w:spacing w:after="0" w:line="171" w:lineRule="exact"/>
        <w:rPr>
          <w:sz w:val="20"/>
          <w:szCs w:val="20"/>
          <w:color w:val="auto"/>
        </w:rPr>
      </w:pPr>
    </w:p>
    <w:p>
      <w:pPr>
        <w:jc w:val="both"/>
        <w:ind w:right="200"/>
        <w:spacing w:after="0" w:line="291" w:lineRule="auto"/>
        <w:rPr>
          <w:sz w:val="20"/>
          <w:szCs w:val="20"/>
          <w:color w:val="auto"/>
        </w:rPr>
      </w:pPr>
      <w:r>
        <w:rPr>
          <w:rFonts w:ascii="Arial" w:cs="Arial" w:eastAsia="Arial" w:hAnsi="Arial"/>
          <w:sz w:val="17"/>
          <w:szCs w:val="17"/>
          <w:color w:val="auto"/>
        </w:rPr>
        <w:t>If a prospectus supplement so indicates, underwriters, brokers or dealers, in compliance with applicable law, may engage in transactions that stabilize, maintain or otherwise affect the market price of the securities at levels above those that might otherwise prevail in the open market.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will bear costs relating to all of the securities being registered under this registration statement of which this prospectus forms a part.</w:t>
      </w:r>
    </w:p>
    <w:p>
      <w:pPr>
        <w:spacing w:after="0" w:line="171"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Any broker-dealers or other persons acting on our behalf that participate with us in the distribution of the securities may be deemed to be underwriters and any commissions received or profit realized by them on the resale of the securities may be deemed to be underwriting discounts and commissions under the Securities Act. As of the date of this prospectus, we are not a party to any agreement, arrangement or understanding between any broker or dealer and us with respect to the offer or sale of the securities pursuant to this prospectus.</w:t>
      </w:r>
    </w:p>
    <w:p>
      <w:pPr>
        <w:spacing w:after="0" w:line="15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Pursuant to a requirement by the Financial Industry Regulatory Authority (the “FINRA”), the maximum commission or discount to be received by any FINRA member or independent broker/dealer may not be greater than 8% of the gross proceeds received by us for the sale of any securities being registered pursuant to SEC Rule 415 under the Securities Act.</w:t>
      </w:r>
    </w:p>
    <w:p>
      <w:pPr>
        <w:spacing w:after="0" w:line="148"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If more than 5% of the net proceeds of any offering of securities made under this prospectus will be received by a FINRA member participating in the offering or its affiliates or associated persons of such FINRA member, the offering will be conducted in accordance with FINRA Conduct Rule 5110(h).</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7" w:right="2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9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Except as set forth in the applicable prospectus supplement, Vinson &amp; Elkins L.L.P., Dallas, Texas, will pass upon the validity of the securities offered hereby.</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consolidated financial statements as of September 30, 2016 and 2015 and for each of the two years in the period ended September 30, 2016, the adjustments to the 2014 financial statements to retrospectively report the results of Grupo Finmart within discontinued operations and management's assessment of the effectiveness of internal control over financial reporting as of September 30, 2016 incorporated by reference in this Prospectus have been so incorporated in reliance on the reports of BDO USA, LLP, an independent registered public accounting firm, incorporated herein by reference, given on the authority of said firm as experts in auditing and accounting.</w:t>
      </w:r>
    </w:p>
    <w:p>
      <w:pPr>
        <w:spacing w:after="0" w:line="23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consolidated statements of operations and comprehensive income, stockholders' equity, and cash flows of EZCORP, Inc. (the “Company”) for the year ended September 30, 2014 (the “2014 financial statements”) (before the effects of the retrospective adjustments to the 2014 financial statements for the adoption of ASU 2014-08) (not separately presented herein) have been audited by Deloitte &amp; Touche LLP, an independent registered public accounting firm, as stated in their report (which report expresses an unqualified opinion on the 2014 financial statements; includes an explanatory paragraph that the retrospective adjustments to the 2014 financial statements for the adoption of ASU 2014-08 were audited by other auditors; and includes an explanatory paragraph related to the restatement of the 2014 consolidated financial statements), which is incorporated in this Prospectus by reference from the Company's Annual Report on Form 10-K. The retrospective adjustments to the 2014 financial statements have been audited by BDO USA, LLP. The 2014 financial statements incorporated in this Prospectus by reference from the Company's Annual Report on Form 10-K have been so incorporated in reliance upon the reports of Deloitte &amp; Touche LLP and BDO USA, LLP given upon their authority as experts in accounting and auditing.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900"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Other Expenses of Issuance and Distribution</w:t>
      </w:r>
    </w:p>
    <w:p>
      <w:pPr>
        <w:spacing w:after="0" w:line="19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following are the estimated expenses of the issuance and distribution of the securities being registered, other than selling or underwriting discounts and commissions, all of which are payable by EZCORP, Inc. (“EZCORP”).</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Registration fee</w:t>
            </w: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$57,950</w:t>
            </w:r>
          </w:p>
        </w:tc>
      </w:tr>
      <w:tr>
        <w:trPr>
          <w:trHeight w:val="351"/>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Accountant’s fees and expenses</w:t>
            </w:r>
          </w:p>
        </w:tc>
        <w:tc>
          <w:tcPr>
            <w:tcW w:w="1480" w:type="dxa"/>
            <w:vAlign w:val="bottom"/>
          </w:tcPr>
          <w:p>
            <w:pPr>
              <w:jc w:val="center"/>
              <w:spacing w:after="0"/>
              <w:rPr>
                <w:sz w:val="20"/>
                <w:szCs w:val="20"/>
                <w:color w:val="auto"/>
              </w:rPr>
            </w:pPr>
            <w:r>
              <w:rPr>
                <w:rFonts w:ascii="Arial" w:cs="Arial" w:eastAsia="Arial" w:hAnsi="Arial"/>
                <w:sz w:val="25"/>
                <w:szCs w:val="25"/>
                <w:color w:val="auto"/>
              </w:rPr>
              <w:t>*</w:t>
            </w:r>
          </w:p>
        </w:tc>
      </w:tr>
      <w:tr>
        <w:trPr>
          <w:trHeight w:val="351"/>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Printing expenses</w:t>
            </w:r>
          </w:p>
        </w:tc>
        <w:tc>
          <w:tcPr>
            <w:tcW w:w="1480" w:type="dxa"/>
            <w:vAlign w:val="bottom"/>
          </w:tcPr>
          <w:p>
            <w:pPr>
              <w:jc w:val="center"/>
              <w:spacing w:after="0"/>
              <w:rPr>
                <w:sz w:val="20"/>
                <w:szCs w:val="20"/>
                <w:color w:val="auto"/>
              </w:rPr>
            </w:pPr>
            <w:r>
              <w:rPr>
                <w:rFonts w:ascii="Arial" w:cs="Arial" w:eastAsia="Arial" w:hAnsi="Arial"/>
                <w:sz w:val="25"/>
                <w:szCs w:val="25"/>
                <w:color w:val="auto"/>
              </w:rPr>
              <w:t>*</w:t>
            </w:r>
          </w:p>
        </w:tc>
      </w:tr>
      <w:tr>
        <w:trPr>
          <w:trHeight w:val="351"/>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Legal fees and expenses</w:t>
            </w:r>
          </w:p>
        </w:tc>
        <w:tc>
          <w:tcPr>
            <w:tcW w:w="1480" w:type="dxa"/>
            <w:vAlign w:val="bottom"/>
          </w:tcPr>
          <w:p>
            <w:pPr>
              <w:jc w:val="center"/>
              <w:spacing w:after="0"/>
              <w:rPr>
                <w:sz w:val="20"/>
                <w:szCs w:val="20"/>
                <w:color w:val="auto"/>
              </w:rPr>
            </w:pPr>
            <w:r>
              <w:rPr>
                <w:rFonts w:ascii="Arial" w:cs="Arial" w:eastAsia="Arial" w:hAnsi="Arial"/>
                <w:sz w:val="25"/>
                <w:szCs w:val="25"/>
                <w:color w:val="auto"/>
              </w:rPr>
              <w:t>*</w:t>
            </w:r>
          </w:p>
        </w:tc>
      </w:tr>
      <w:tr>
        <w:trPr>
          <w:trHeight w:val="358"/>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Miscellaneous</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25"/>
                <w:szCs w:val="25"/>
                <w:color w:val="auto"/>
              </w:rPr>
              <w:t>*</w:t>
            </w:r>
          </w:p>
        </w:tc>
      </w:tr>
      <w:tr>
        <w:trPr>
          <w:trHeight w:val="351"/>
        </w:trPr>
        <w:tc>
          <w:tcPr>
            <w:tcW w:w="9940" w:type="dxa"/>
            <w:vAlign w:val="bottom"/>
            <w:gridSpan w:val="2"/>
          </w:tcPr>
          <w:p>
            <w:pPr>
              <w:ind w:left="54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25"/>
                <w:szCs w:val="25"/>
                <w:color w:val="auto"/>
              </w:rPr>
              <w:t>*</w:t>
            </w:r>
          </w:p>
        </w:tc>
      </w:tr>
      <w:tr>
        <w:trPr>
          <w:trHeight w:val="20"/>
        </w:trPr>
        <w:tc>
          <w:tcPr>
            <w:tcW w:w="33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7"/>
        </w:trPr>
        <w:tc>
          <w:tcPr>
            <w:tcW w:w="3340" w:type="dxa"/>
            <w:vAlign w:val="bottom"/>
            <w:tcBorders>
              <w:bottom w:val="single" w:sz="8" w:color="auto"/>
            </w:tcBorders>
          </w:tcPr>
          <w:p>
            <w:pPr>
              <w:spacing w:after="0"/>
              <w:rPr>
                <w:sz w:val="17"/>
                <w:szCs w:val="17"/>
                <w:color w:val="auto"/>
              </w:rPr>
            </w:pPr>
          </w:p>
        </w:tc>
        <w:tc>
          <w:tcPr>
            <w:tcW w:w="6600" w:type="dxa"/>
            <w:vAlign w:val="bottom"/>
          </w:tcPr>
          <w:p>
            <w:pPr>
              <w:spacing w:after="0"/>
              <w:rPr>
                <w:sz w:val="17"/>
                <w:szCs w:val="17"/>
                <w:color w:val="auto"/>
              </w:rPr>
            </w:pPr>
          </w:p>
        </w:tc>
        <w:tc>
          <w:tcPr>
            <w:tcW w:w="1480" w:type="dxa"/>
            <w:vAlign w:val="bottom"/>
          </w:tcPr>
          <w:p>
            <w:pPr>
              <w:spacing w:after="0"/>
              <w:rPr>
                <w:sz w:val="17"/>
                <w:szCs w:val="17"/>
                <w:color w:val="auto"/>
              </w:rPr>
            </w:pPr>
          </w:p>
        </w:tc>
      </w:tr>
    </w:tbl>
    <w:p>
      <w:pPr>
        <w:spacing w:after="0" w:line="202" w:lineRule="exact"/>
        <w:rPr>
          <w:sz w:val="20"/>
          <w:szCs w:val="20"/>
          <w:color w:val="auto"/>
        </w:rPr>
      </w:pPr>
    </w:p>
    <w:p>
      <w:pPr>
        <w:ind w:left="500" w:hanging="478"/>
        <w:spacing w:after="0" w:line="262" w:lineRule="auto"/>
        <w:tabs>
          <w:tab w:leader="none" w:pos="500" w:val="left"/>
        </w:tabs>
        <w:numPr>
          <w:ilvl w:val="0"/>
          <w:numId w:val="26"/>
        </w:numPr>
        <w:rPr>
          <w:rFonts w:ascii="Arial" w:cs="Arial" w:eastAsia="Arial" w:hAnsi="Arial"/>
          <w:sz w:val="25"/>
          <w:szCs w:val="25"/>
          <w:color w:val="auto"/>
        </w:rPr>
      </w:pPr>
      <w:r>
        <w:rPr>
          <w:rFonts w:ascii="Arial" w:cs="Arial" w:eastAsia="Arial" w:hAnsi="Arial"/>
          <w:sz w:val="18"/>
          <w:szCs w:val="18"/>
          <w:color w:val="auto"/>
        </w:rPr>
        <w:t>These fees are calculated based on the number of issuances or amount of securities offered, and accordingly, these fees cannot be estimated at this time.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Indemnification of Directors and Officers</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Article Eighth of the Company’s Amended Certificate of Incorporation provides that the Company shall indemnify its present or former directors and officers, and may indemnify any employee or agent of the Company, to the fullest extent permitted under the Delaware General Corporation Law (the “DGCL”). Pursuant to Section 145 of the DGCL, the Company generally has the power to indemnify each of its present and former directors, officers, employees and agents against expenses (including attorneys’ fees), judgments, fines and amounts paid in settlement actually and reasonably incurred by such person in connection with any threatened, pending or completed action, suit or proceeding, whether civil, criminal, administrative or investigative (other than an action by or in the right of the Company) to which such person is a party or is threatened to be made a party by reason of the fact that such person is or was a director, officer, employee or agent of the Company or is or was serving at the request of the Company as a director, officer, employee or agent of another corporation or entity, so long as (a) such person acted in good faith and in a manner they reasonably believed to be in or not opposed to the best interests of the Company and, with respect to any criminal action or proceeding, had no reasonable cause to believe their conduct was unlawful, or (b) such person has been successful on the merits or otherwise in defense of any such action, suit or proceeding or in defense of any claim, issue or matter therein; provided, however, that in the case of any threatened, pending or completed action or suit by or in the right of the Company to procure a judgment in its favor, indemnification is generally limited to expenses (including attorneys’ fees) actually and reasonably incurred in connection with the defense or settlement of such action or suit and is not available with respect to any claim, issue or matter as to which such person has been adjudged to be liable to the Company unless and only to the extent that the court determines that such person is fairly and reasonably entitled to indemnity for such expenses that the court shall deem proper. Section 145 of the DGCL expressly provides that the indemnification authorized thereunder shall not be deemed exclusive of any rights to which a person may be entitled under any bylaw, agreement, vote of stockholders or disinterested directors or otherwise.</w:t>
      </w:r>
    </w:p>
    <w:p>
      <w:pPr>
        <w:spacing w:after="0" w:line="15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Section 145 of the DGCL also gives the Company the power to purchase and maintain insurance on behalf of any of its present or former directors, officers, employees or agents, or any person who is or was serving at the request of the Company as a director, officer, employee or agent of another corporation or entity, and the Company maintains directors and officers insurance policies for the benefit of its directors, officers and employees.</w:t>
      </w:r>
    </w:p>
    <w:p>
      <w:pPr>
        <w:spacing w:after="0" w:line="150"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preceding discussion of the Company’s Amended Certificate of Incorporation and Section 145 of the DGCL is not intended to be exhaustive and is qualified in its entirety by reference to the Company’s Amended Certificate of Incorporation and Section 145 of the DGCL.</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287"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 Exhibits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a part of this Registration Statement:</w:t>
      </w:r>
    </w:p>
    <w:p>
      <w:pPr>
        <w:sectPr>
          <w:pgSz w:w="11900" w:h="16838" w:orient="portrait"/>
          <w:cols w:equalWidth="0" w:num="1">
            <w:col w:w="11400"/>
          </w:cols>
          <w:pgMar w:left="240" w:top="287" w:right="259" w:bottom="1440" w:gutter="0" w:footer="0" w:header="0"/>
        </w:sectPr>
      </w:pPr>
    </w:p>
    <w:p>
      <w:pPr>
        <w:spacing w:after="0" w:line="154"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40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387" w:lineRule="exact"/>
        <w:rPr>
          <w:sz w:val="20"/>
          <w:szCs w:val="20"/>
          <w:color w:val="auto"/>
        </w:rPr>
      </w:pPr>
    </w:p>
    <w:p>
      <w:pPr>
        <w:ind w:left="320"/>
        <w:spacing w:after="0"/>
        <w:tabs>
          <w:tab w:leader="none" w:pos="9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3"/>
          <w:szCs w:val="13"/>
          <w:color w:val="auto"/>
        </w:rPr>
        <w:t>(a)</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4.1</w:t>
      </w:r>
    </w:p>
    <w:p>
      <w:pPr>
        <w:spacing w:after="0" w:line="266" w:lineRule="exact"/>
        <w:rPr>
          <w:sz w:val="20"/>
          <w:szCs w:val="20"/>
          <w:color w:val="auto"/>
        </w:rPr>
      </w:pPr>
    </w:p>
    <w:p>
      <w:pPr>
        <w:ind w:left="320"/>
        <w:spacing w:after="0"/>
        <w:tabs>
          <w:tab w:leader="none" w:pos="9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3"/>
          <w:szCs w:val="13"/>
          <w:color w:val="auto"/>
        </w:rPr>
        <w:t>(b)</w:t>
      </w:r>
    </w:p>
    <w:p>
      <w:pPr>
        <w:spacing w:after="0" w:line="63" w:lineRule="exact"/>
        <w:rPr>
          <w:sz w:val="20"/>
          <w:szCs w:val="20"/>
          <w:color w:val="auto"/>
        </w:rPr>
      </w:pPr>
    </w:p>
    <w:p>
      <w:pPr>
        <w:ind w:left="320"/>
        <w:spacing w:after="0"/>
        <w:tabs>
          <w:tab w:leader="none" w:pos="9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3"/>
          <w:szCs w:val="13"/>
          <w:color w:val="auto"/>
        </w:rPr>
        <w:t>(a)</w:t>
      </w:r>
    </w:p>
    <w:p>
      <w:pPr>
        <w:spacing w:after="0" w:line="63" w:lineRule="exact"/>
        <w:rPr>
          <w:sz w:val="20"/>
          <w:szCs w:val="20"/>
          <w:color w:val="auto"/>
        </w:rPr>
      </w:pPr>
    </w:p>
    <w:p>
      <w:pPr>
        <w:ind w:left="320"/>
        <w:spacing w:after="0"/>
        <w:tabs>
          <w:tab w:leader="none" w:pos="9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3"/>
          <w:szCs w:val="13"/>
          <w:color w:val="auto"/>
        </w:rPr>
        <w:t>(a)</w:t>
      </w:r>
    </w:p>
    <w:p>
      <w:pPr>
        <w:spacing w:after="0" w:line="63" w:lineRule="exact"/>
        <w:rPr>
          <w:sz w:val="20"/>
          <w:szCs w:val="20"/>
          <w:color w:val="auto"/>
        </w:rPr>
      </w:pPr>
    </w:p>
    <w:p>
      <w:pPr>
        <w:ind w:left="320"/>
        <w:spacing w:after="0"/>
        <w:tabs>
          <w:tab w:leader="none" w:pos="9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3"/>
          <w:szCs w:val="13"/>
          <w:color w:val="auto"/>
        </w:rPr>
        <w:t>(a)</w:t>
      </w:r>
    </w:p>
    <w:p>
      <w:pPr>
        <w:spacing w:after="0" w:line="63" w:lineRule="exact"/>
        <w:rPr>
          <w:sz w:val="20"/>
          <w:szCs w:val="20"/>
          <w:color w:val="auto"/>
        </w:rPr>
      </w:pPr>
    </w:p>
    <w:p>
      <w:pPr>
        <w:ind w:left="320"/>
        <w:spacing w:after="0"/>
        <w:tabs>
          <w:tab w:leader="none" w:pos="9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3"/>
          <w:szCs w:val="13"/>
          <w:color w:val="auto"/>
        </w:rPr>
        <w:t>(a)</w:t>
      </w:r>
    </w:p>
    <w:p>
      <w:pPr>
        <w:spacing w:after="0" w:line="63" w:lineRule="exact"/>
        <w:rPr>
          <w:sz w:val="20"/>
          <w:szCs w:val="20"/>
          <w:color w:val="auto"/>
        </w:rPr>
      </w:pPr>
    </w:p>
    <w:p>
      <w:pPr>
        <w:ind w:left="320"/>
        <w:spacing w:after="0"/>
        <w:tabs>
          <w:tab w:leader="none" w:pos="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3"/>
          <w:szCs w:val="13"/>
          <w:color w:val="auto"/>
        </w:rPr>
        <w:t>(c)</w:t>
      </w:r>
    </w:p>
    <w:p>
      <w:pPr>
        <w:spacing w:after="0" w:line="63"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3"/>
          <w:szCs w:val="13"/>
          <w:color w:val="auto"/>
        </w:rPr>
        <w:t>(c)</w:t>
      </w:r>
    </w:p>
    <w:p>
      <w:pPr>
        <w:spacing w:after="0" w:line="63"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3"/>
          <w:szCs w:val="13"/>
          <w:color w:val="auto"/>
        </w:rPr>
        <w:t>(c)</w:t>
      </w:r>
    </w:p>
    <w:p>
      <w:pPr>
        <w:spacing w:after="0" w:line="63"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3"/>
          <w:szCs w:val="13"/>
          <w:color w:val="auto"/>
        </w:rPr>
        <w:t>(c)</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23.3</w:t>
      </w:r>
    </w:p>
    <w:p>
      <w:pPr>
        <w:spacing w:after="0" w:line="63"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3"/>
          <w:szCs w:val="13"/>
          <w:color w:val="auto"/>
        </w:rPr>
        <w:t>(b)</w:t>
      </w:r>
    </w:p>
    <w:p>
      <w:pPr>
        <w:spacing w:after="0" w:line="50"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9"/>
          <w:szCs w:val="19"/>
          <w:color w:val="auto"/>
          <w:vertAlign w:val="superscript"/>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10464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31750</wp:posOffset>
            </wp:positionV>
            <wp:extent cx="5883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8327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Form of Underwriting Agreement</w:t>
      </w:r>
    </w:p>
    <w:p>
      <w:pPr>
        <w:spacing w:after="0" w:line="50"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Specimen of Class A Non-Voting Common Stock certificate (incorporated by reference to Exhibit 4.1 to the Company’s Registration Statement on Form S-1 effective August 23, 1991, Commission File No. 33-41317)</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Form of Indenture between EZCORP, Inc. and Trustee to be named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Warrant Agreement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Warrant Certificate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Stock Purchase Contract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Stock Purchase Unit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Opinion of Vinson &amp; Elkins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Consent of BDO USA,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Consent of Deloitte &amp; Touche,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Consent of Vinson &amp; Elkins L.L.P. (included in Exhibit 5.1)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 (set forth on signature page)</w:t>
      </w:r>
    </w:p>
    <w:p>
      <w:pPr>
        <w:spacing w:after="0" w:line="50"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Form T-1 Statement of Eligibility and Qualification under the Trust Indenture Act of 1939 of the Trustee under the Indenture</w:t>
      </w:r>
    </w:p>
    <w:p>
      <w:pPr>
        <w:spacing w:after="0" w:line="200" w:lineRule="exact"/>
        <w:rPr>
          <w:sz w:val="20"/>
          <w:szCs w:val="20"/>
          <w:color w:val="auto"/>
        </w:rPr>
      </w:pPr>
    </w:p>
    <w:p>
      <w:pPr>
        <w:sectPr>
          <w:pgSz w:w="11900" w:h="16838" w:orient="portrait"/>
          <w:cols w:equalWidth="0" w:num="2">
            <w:col w:w="1080" w:space="600"/>
            <w:col w:w="9720"/>
          </w:cols>
          <w:pgMar w:left="240" w:top="287" w:right="259" w:bottom="1440" w:gutter="0" w:footer="0" w:header="0"/>
          <w:type w:val="continuous"/>
        </w:sectPr>
      </w:pPr>
    </w:p>
    <w:p>
      <w:pPr>
        <w:spacing w:after="0" w:line="267"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be filed either by amendment or as an exhibit to a document incorporated by reference in this Registration Statement.</w:t>
      </w:r>
    </w:p>
    <w:p>
      <w:pPr>
        <w:spacing w:after="0" w:line="171"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71"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71"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be filed in accordance with the requirements of Section 305(b)(2) of the Trust Indenture Act of 1939 and Rule 5b-3 thereunder.</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 Undertakings</w:t>
      </w:r>
    </w:p>
    <w:p>
      <w:pPr>
        <w:spacing w:after="0" w:line="193" w:lineRule="exact"/>
        <w:rPr>
          <w:sz w:val="20"/>
          <w:szCs w:val="20"/>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(the “Securities Act”);</w:t>
      </w:r>
    </w:p>
    <w:p>
      <w:pPr>
        <w:spacing w:after="0" w:line="171" w:lineRule="exact"/>
        <w:rPr>
          <w:rFonts w:ascii="Arial" w:cs="Arial" w:eastAsia="Arial" w:hAnsi="Arial"/>
          <w:sz w:val="18"/>
          <w:szCs w:val="18"/>
          <w:color w:val="auto"/>
        </w:rPr>
      </w:pPr>
    </w:p>
    <w:p>
      <w:pPr>
        <w:ind w:left="1960" w:hanging="655"/>
        <w:spacing w:after="0" w:line="252" w:lineRule="auto"/>
        <w:tabs>
          <w:tab w:leader="none" w:pos="196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287" w:right="25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1960" w:right="200" w:hanging="655"/>
        <w:spacing w:after="0" w:line="262" w:lineRule="auto"/>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42" w:lineRule="exact"/>
        <w:rPr>
          <w:sz w:val="20"/>
          <w:szCs w:val="20"/>
          <w:color w:val="auto"/>
        </w:rPr>
      </w:pPr>
    </w:p>
    <w:p>
      <w:pPr>
        <w:ind w:left="1300" w:right="40"/>
        <w:spacing w:after="0" w:line="254" w:lineRule="auto"/>
        <w:rPr>
          <w:sz w:val="20"/>
          <w:szCs w:val="20"/>
          <w:color w:val="auto"/>
        </w:rPr>
      </w:pPr>
      <w:r>
        <w:rPr>
          <w:rFonts w:ascii="Arial" w:cs="Arial" w:eastAsia="Arial" w:hAnsi="Arial"/>
          <w:sz w:val="18"/>
          <w:szCs w:val="18"/>
          <w:color w:val="auto"/>
        </w:rPr>
        <w:t>provided, however, that paragraphs (i), (ii) and (iii)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50" w:lineRule="exact"/>
        <w:rPr>
          <w:sz w:val="20"/>
          <w:szCs w:val="20"/>
          <w:color w:val="auto"/>
        </w:rPr>
      </w:pPr>
    </w:p>
    <w:p>
      <w:pPr>
        <w:ind w:left="1300" w:right="160" w:hanging="644"/>
        <w:spacing w:after="0" w:line="256"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47" w:lineRule="exact"/>
        <w:rPr>
          <w:rFonts w:ascii="Arial" w:cs="Arial" w:eastAsia="Arial" w:hAnsi="Arial"/>
          <w:sz w:val="18"/>
          <w:szCs w:val="18"/>
          <w:color w:val="auto"/>
        </w:rPr>
      </w:pPr>
    </w:p>
    <w:p>
      <w:pPr>
        <w:ind w:left="1300" w:right="480" w:hanging="644"/>
        <w:spacing w:after="0" w:line="262"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42"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purposes of determining liability under the Securities Act of 1933 to any purchaser:</w:t>
      </w:r>
    </w:p>
    <w:p>
      <w:pPr>
        <w:spacing w:after="0" w:line="171" w:lineRule="exact"/>
        <w:rPr>
          <w:rFonts w:ascii="Arial" w:cs="Arial" w:eastAsia="Arial" w:hAnsi="Arial"/>
          <w:sz w:val="18"/>
          <w:szCs w:val="18"/>
          <w:color w:val="auto"/>
        </w:rPr>
      </w:pPr>
    </w:p>
    <w:p>
      <w:pPr>
        <w:ind w:left="1960" w:right="380" w:hanging="655"/>
        <w:spacing w:after="0" w:line="291" w:lineRule="auto"/>
        <w:tabs>
          <w:tab w:leader="none" w:pos="19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0" w:lineRule="exact"/>
        <w:rPr>
          <w:rFonts w:ascii="Arial" w:cs="Arial" w:eastAsia="Arial" w:hAnsi="Arial"/>
          <w:sz w:val="17"/>
          <w:szCs w:val="17"/>
          <w:color w:val="auto"/>
        </w:rPr>
      </w:pPr>
    </w:p>
    <w:p>
      <w:pPr>
        <w:ind w:left="1960" w:hanging="605"/>
        <w:spacing w:after="0" w:line="251" w:lineRule="auto"/>
        <w:tabs>
          <w:tab w:leader="none" w:pos="19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56" w:lineRule="exact"/>
        <w:rPr>
          <w:rFonts w:ascii="Arial" w:cs="Arial" w:eastAsia="Arial" w:hAnsi="Arial"/>
          <w:sz w:val="18"/>
          <w:szCs w:val="18"/>
          <w:color w:val="auto"/>
        </w:rPr>
      </w:pPr>
    </w:p>
    <w:p>
      <w:pPr>
        <w:ind w:left="1300" w:right="300" w:hanging="644"/>
        <w:spacing w:after="0" w:line="252"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5" w:lineRule="exact"/>
        <w:rPr>
          <w:sz w:val="20"/>
          <w:szCs w:val="20"/>
          <w:color w:val="auto"/>
        </w:rPr>
      </w:pPr>
    </w:p>
    <w:p>
      <w:pPr>
        <w:ind w:left="1960" w:right="380" w:hanging="655"/>
        <w:spacing w:after="0" w:line="262" w:lineRule="auto"/>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42" w:lineRule="exact"/>
        <w:rPr>
          <w:rFonts w:ascii="Arial" w:cs="Arial" w:eastAsia="Arial" w:hAnsi="Arial"/>
          <w:sz w:val="18"/>
          <w:szCs w:val="18"/>
          <w:color w:val="auto"/>
        </w:rPr>
      </w:pPr>
    </w:p>
    <w:p>
      <w:pPr>
        <w:ind w:left="1960" w:right="180" w:hanging="655"/>
        <w:spacing w:after="0" w:line="262" w:lineRule="auto"/>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42" w:lineRule="exact"/>
        <w:rPr>
          <w:rFonts w:ascii="Arial" w:cs="Arial" w:eastAsia="Arial" w:hAnsi="Arial"/>
          <w:sz w:val="18"/>
          <w:szCs w:val="18"/>
          <w:color w:val="auto"/>
        </w:rPr>
      </w:pPr>
    </w:p>
    <w:p>
      <w:pPr>
        <w:ind w:left="1960" w:right="560" w:hanging="655"/>
        <w:spacing w:after="0" w:line="262" w:lineRule="auto"/>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80"/>
          </w:cols>
          <w:pgMar w:left="240" w:top="287"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1960" w:hanging="655"/>
        <w:spacing w:after="0"/>
        <w:tabs>
          <w:tab w:leader="none" w:pos="1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rFonts w:ascii="Arial" w:cs="Arial" w:eastAsia="Arial" w:hAnsi="Arial"/>
          <w:sz w:val="18"/>
          <w:szCs w:val="18"/>
          <w:color w:val="auto"/>
        </w:rPr>
      </w:pPr>
    </w:p>
    <w:p>
      <w:pPr>
        <w:ind w:left="660" w:right="160" w:hanging="652"/>
        <w:spacing w:after="0" w:line="25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0" w:lineRule="exact"/>
        <w:rPr>
          <w:rFonts w:ascii="Arial" w:cs="Arial" w:eastAsia="Arial" w:hAnsi="Arial"/>
          <w:sz w:val="18"/>
          <w:szCs w:val="18"/>
          <w:color w:val="auto"/>
        </w:rPr>
      </w:pPr>
    </w:p>
    <w:p>
      <w:pPr>
        <w:ind w:left="660" w:right="40" w:hanging="652"/>
        <w:spacing w:after="0" w:line="252"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to the extent that the securities are offered to existing security holders pursuant to warrants or rights and any securities not taken by security holders are to be reoffered to the public, to supplement the prospectus, after the expiration of the subscription period,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w:t>
      </w:r>
    </w:p>
    <w:p>
      <w:pPr>
        <w:spacing w:after="0" w:line="154" w:lineRule="exact"/>
        <w:rPr>
          <w:rFonts w:ascii="Arial" w:cs="Arial" w:eastAsia="Arial" w:hAnsi="Arial"/>
          <w:sz w:val="18"/>
          <w:szCs w:val="18"/>
          <w:color w:val="auto"/>
        </w:rPr>
      </w:pPr>
    </w:p>
    <w:p>
      <w:pPr>
        <w:jc w:val="both"/>
        <w:ind w:left="660" w:right="320" w:hanging="652"/>
        <w:spacing w:after="0" w:line="256"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147" w:lineRule="exact"/>
        <w:rPr>
          <w:rFonts w:ascii="Arial" w:cs="Arial" w:eastAsia="Arial" w:hAnsi="Arial"/>
          <w:sz w:val="18"/>
          <w:szCs w:val="18"/>
          <w:color w:val="auto"/>
        </w:rPr>
      </w:pPr>
    </w:p>
    <w:p>
      <w:pPr>
        <w:ind w:left="660" w:hanging="652"/>
        <w:spacing w:after="0" w:line="251"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registrants pursuant to the provisions described under Item 15 above,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the registrants is against public policy as expressed in the Securities Act and will be governed by the final adjudication of such issue.</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287"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Pursuant to the requirements of the Securities Act of 1933, the undersigned registrant certifies that it has reasonable grounds to believe that it meets all of the requirements for filing on Form S-3 and has duly caused this Registration Statement to be signed on its behalf by the undersigned, thereunto duly authorized, in the City of Rollingwood, State of Texas, on February 3, 2017.</w:t>
      </w:r>
    </w:p>
    <w:p>
      <w:pPr>
        <w:spacing w:after="0" w:line="161"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EZCORP, INC.</w:t>
      </w:r>
    </w:p>
    <w:p>
      <w:pPr>
        <w:spacing w:after="0" w:line="200" w:lineRule="exact"/>
        <w:rPr>
          <w:sz w:val="20"/>
          <w:szCs w:val="20"/>
          <w:color w:val="auto"/>
        </w:rPr>
      </w:pPr>
    </w:p>
    <w:p>
      <w:pPr>
        <w:spacing w:after="0" w:line="390"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By: /s/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23495</wp:posOffset>
            </wp:positionV>
            <wp:extent cx="2306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57"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Stuart I. Grimshaw, Chief Executive Officer</w:t>
      </w:r>
    </w:p>
    <w:p>
      <w:pPr>
        <w:spacing w:after="0" w:line="387"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314" w:lineRule="exact"/>
        <w:rPr>
          <w:sz w:val="20"/>
          <w:szCs w:val="20"/>
          <w:color w:val="auto"/>
        </w:rPr>
      </w:pPr>
    </w:p>
    <w:p>
      <w:pPr>
        <w:ind w:left="1540"/>
        <w:spacing w:after="0"/>
        <w:tabs>
          <w:tab w:leader="none" w:pos="5660" w:val="left"/>
          <w:tab w:leader="none" w:pos="9440" w:val="left"/>
        </w:tabs>
        <w:rPr>
          <w:sz w:val="20"/>
          <w:szCs w:val="20"/>
          <w:color w:val="auto"/>
        </w:rPr>
      </w:pP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280"/>
          </w:cols>
          <w:pgMar w:left="240" w:top="28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3837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9"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Stuart I. Grimshaw</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Mark Ashby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383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9"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Mark Ashby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David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383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9"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David McGuire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Lachlan P.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383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Lachlan P. Given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Matthew W. Appel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3837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Matthew W. Appel</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Santiago Creel Miranda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3837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9"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Santiago Creel Miranda</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Peter Cumins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3837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9"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Peter Cumins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4960" w:val="left"/>
        </w:tabs>
        <w:rPr>
          <w:sz w:val="20"/>
          <w:szCs w:val="20"/>
          <w:color w:val="auto"/>
        </w:rPr>
      </w:pPr>
      <w:r>
        <w:rPr>
          <w:rFonts w:ascii="Arial" w:cs="Arial" w:eastAsia="Arial" w:hAnsi="Arial"/>
          <w:sz w:val="16"/>
          <w:szCs w:val="16"/>
          <w:color w:val="auto"/>
        </w:rPr>
        <w:t>Chief Executive Officer and Director</w:t>
      </w:r>
      <w:r>
        <w:rPr>
          <w:sz w:val="20"/>
          <w:szCs w:val="20"/>
          <w:color w:val="auto"/>
        </w:rPr>
        <w:tab/>
      </w:r>
      <w:r>
        <w:rPr>
          <w:rFonts w:ascii="Arial" w:cs="Arial" w:eastAsia="Arial" w:hAnsi="Arial"/>
          <w:sz w:val="16"/>
          <w:szCs w:val="16"/>
          <w:color w:val="auto"/>
        </w:rPr>
        <w:t>February 3, 2017</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4960" w:val="left"/>
        </w:tabs>
        <w:rPr>
          <w:sz w:val="20"/>
          <w:szCs w:val="20"/>
          <w:color w:val="auto"/>
        </w:rPr>
      </w:pPr>
      <w:r>
        <w:rPr>
          <w:rFonts w:ascii="Arial" w:cs="Arial" w:eastAsia="Arial" w:hAnsi="Arial"/>
          <w:sz w:val="16"/>
          <w:szCs w:val="16"/>
          <w:color w:val="auto"/>
        </w:rPr>
        <w:t>Chief Financial Officer</w:t>
      </w:r>
      <w:r>
        <w:rPr>
          <w:sz w:val="20"/>
          <w:szCs w:val="20"/>
          <w:color w:val="auto"/>
        </w:rPr>
        <w:tab/>
      </w:r>
      <w:r>
        <w:rPr>
          <w:rFonts w:ascii="Arial" w:cs="Arial" w:eastAsia="Arial" w:hAnsi="Arial"/>
          <w:sz w:val="16"/>
          <w:szCs w:val="16"/>
          <w:color w:val="auto"/>
        </w:rPr>
        <w:t>February 3, 2017</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4960" w:val="left"/>
        </w:tabs>
        <w:rPr>
          <w:sz w:val="20"/>
          <w:szCs w:val="20"/>
          <w:color w:val="auto"/>
        </w:rPr>
      </w:pPr>
      <w:r>
        <w:rPr>
          <w:rFonts w:ascii="Arial" w:cs="Arial" w:eastAsia="Arial" w:hAnsi="Arial"/>
          <w:sz w:val="16"/>
          <w:szCs w:val="16"/>
          <w:color w:val="auto"/>
        </w:rPr>
        <w:t>Deputy Chief Financial Officer and</w:t>
      </w:r>
      <w:r>
        <w:rPr>
          <w:sz w:val="20"/>
          <w:szCs w:val="20"/>
          <w:color w:val="auto"/>
        </w:rPr>
        <w:tab/>
      </w:r>
      <w:r>
        <w:rPr>
          <w:rFonts w:ascii="Arial" w:cs="Arial" w:eastAsia="Arial" w:hAnsi="Arial"/>
          <w:sz w:val="16"/>
          <w:szCs w:val="16"/>
          <w:color w:val="auto"/>
        </w:rPr>
        <w:t>February 3, 2017</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Chief Accounting Officer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4960" w:val="left"/>
        </w:tabs>
        <w:rPr>
          <w:sz w:val="20"/>
          <w:szCs w:val="20"/>
          <w:color w:val="auto"/>
        </w:rPr>
      </w:pPr>
      <w:r>
        <w:rPr>
          <w:rFonts w:ascii="Arial" w:cs="Arial" w:eastAsia="Arial" w:hAnsi="Arial"/>
          <w:sz w:val="16"/>
          <w:szCs w:val="16"/>
          <w:color w:val="auto"/>
        </w:rPr>
        <w:t>Executive Chairman of the Board</w:t>
      </w:r>
      <w:r>
        <w:rPr>
          <w:sz w:val="20"/>
          <w:szCs w:val="20"/>
          <w:color w:val="auto"/>
        </w:rPr>
        <w:tab/>
      </w:r>
      <w:r>
        <w:rPr>
          <w:rFonts w:ascii="Arial" w:cs="Arial" w:eastAsia="Arial" w:hAnsi="Arial"/>
          <w:sz w:val="16"/>
          <w:szCs w:val="16"/>
          <w:color w:val="auto"/>
        </w:rPr>
        <w:t>February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49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49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49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3, 2017</w:t>
      </w:r>
    </w:p>
    <w:p>
      <w:pPr>
        <w:spacing w:after="0" w:line="470" w:lineRule="exact"/>
        <w:rPr>
          <w:sz w:val="20"/>
          <w:szCs w:val="20"/>
          <w:color w:val="auto"/>
        </w:rPr>
      </w:pPr>
    </w:p>
    <w:p>
      <w:pPr>
        <w:sectPr>
          <w:pgSz w:w="11900" w:h="16838" w:orient="portrait"/>
          <w:cols w:equalWidth="0" w:num="2">
            <w:col w:w="3320" w:space="720"/>
            <w:col w:w="7240"/>
          </w:cols>
          <w:pgMar w:left="240" w:top="287"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II-5</w:t>
      </w:r>
    </w:p>
    <w:p>
      <w:pPr>
        <w:sectPr>
          <w:pgSz w:w="11900" w:h="16838" w:orient="portrait"/>
          <w:cols w:equalWidth="0" w:num="1">
            <w:col w:w="11280"/>
          </w:cols>
          <w:pgMar w:left="240" w:top="287" w:right="37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378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840" w:type="dxa"/>
            <w:vAlign w:val="bottom"/>
          </w:tcPr>
          <w:p>
            <w:pPr>
              <w:spacing w:after="0"/>
              <w:rPr>
                <w:sz w:val="17"/>
                <w:szCs w:val="17"/>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824"/>
        </w:trPr>
        <w:tc>
          <w:tcPr>
            <w:tcW w:w="40" w:type="dxa"/>
            <w:vAlign w:val="bottom"/>
          </w:tcPr>
          <w:p>
            <w:pPr>
              <w:spacing w:after="0"/>
              <w:rPr>
                <w:sz w:val="24"/>
                <w:szCs w:val="24"/>
                <w:color w:val="auto"/>
              </w:rPr>
            </w:pPr>
          </w:p>
        </w:tc>
        <w:tc>
          <w:tcPr>
            <w:tcW w:w="37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/s/ Pablo Lagos Espinosa</w:t>
            </w:r>
          </w:p>
        </w:tc>
        <w:tc>
          <w:tcPr>
            <w:tcW w:w="2840" w:type="dxa"/>
            <w:vAlign w:val="bottom"/>
          </w:tcPr>
          <w:p>
            <w:pPr>
              <w:ind w:left="260"/>
              <w:spacing w:after="0"/>
              <w:rPr>
                <w:sz w:val="20"/>
                <w:szCs w:val="20"/>
                <w:color w:val="auto"/>
              </w:rPr>
            </w:pPr>
            <w:r>
              <w:rPr>
                <w:rFonts w:ascii="Arial" w:cs="Arial" w:eastAsia="Arial" w:hAnsi="Arial"/>
                <w:sz w:val="16"/>
                <w:szCs w:val="16"/>
                <w:color w:val="auto"/>
              </w:rPr>
              <w:t>Director</w:t>
            </w:r>
          </w:p>
        </w:tc>
      </w:tr>
      <w:tr>
        <w:trPr>
          <w:trHeight w:val="237"/>
        </w:trPr>
        <w:tc>
          <w:tcPr>
            <w:tcW w:w="40" w:type="dxa"/>
            <w:vAlign w:val="bottom"/>
          </w:tcPr>
          <w:p>
            <w:pPr>
              <w:spacing w:after="0"/>
              <w:rPr>
                <w:sz w:val="20"/>
                <w:szCs w:val="20"/>
                <w:color w:val="auto"/>
              </w:rPr>
            </w:pPr>
          </w:p>
        </w:tc>
        <w:tc>
          <w:tcPr>
            <w:tcW w:w="3740" w:type="dxa"/>
            <w:vAlign w:val="bottom"/>
            <w:gridSpan w:val="2"/>
          </w:tcPr>
          <w:p>
            <w:pPr>
              <w:jc w:val="center"/>
              <w:spacing w:after="0"/>
              <w:rPr>
                <w:sz w:val="20"/>
                <w:szCs w:val="20"/>
                <w:color w:val="auto"/>
              </w:rPr>
            </w:pPr>
            <w:r>
              <w:rPr>
                <w:rFonts w:ascii="Arial" w:cs="Arial" w:eastAsia="Arial" w:hAnsi="Arial"/>
                <w:sz w:val="16"/>
                <w:szCs w:val="16"/>
                <w:color w:val="auto"/>
              </w:rPr>
              <w:t>Pablo Lagos Espinosa</w:t>
            </w:r>
          </w:p>
        </w:tc>
        <w:tc>
          <w:tcPr>
            <w:tcW w:w="2840" w:type="dxa"/>
            <w:vAlign w:val="bottom"/>
          </w:tcPr>
          <w:p>
            <w:pPr>
              <w:spacing w:after="0"/>
              <w:rPr>
                <w:sz w:val="20"/>
                <w:szCs w:val="20"/>
                <w:color w:val="auto"/>
              </w:rPr>
            </w:pPr>
          </w:p>
        </w:tc>
      </w:tr>
      <w:tr>
        <w:trPr>
          <w:trHeight w:val="931"/>
        </w:trPr>
        <w:tc>
          <w:tcPr>
            <w:tcW w:w="40" w:type="dxa"/>
            <w:vAlign w:val="bottom"/>
          </w:tcPr>
          <w:p>
            <w:pPr>
              <w:spacing w:after="0"/>
              <w:rPr>
                <w:sz w:val="24"/>
                <w:szCs w:val="24"/>
                <w:color w:val="auto"/>
              </w:rPr>
            </w:pPr>
          </w:p>
        </w:tc>
        <w:tc>
          <w:tcPr>
            <w:tcW w:w="37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/s/ Thomas C. Roberts</w:t>
            </w:r>
          </w:p>
        </w:tc>
        <w:tc>
          <w:tcPr>
            <w:tcW w:w="2840" w:type="dxa"/>
            <w:vAlign w:val="bottom"/>
          </w:tcPr>
          <w:p>
            <w:pPr>
              <w:ind w:left="260"/>
              <w:spacing w:after="0"/>
              <w:rPr>
                <w:sz w:val="20"/>
                <w:szCs w:val="20"/>
                <w:color w:val="auto"/>
              </w:rPr>
            </w:pPr>
            <w:r>
              <w:rPr>
                <w:rFonts w:ascii="Arial" w:cs="Arial" w:eastAsia="Arial" w:hAnsi="Arial"/>
                <w:sz w:val="16"/>
                <w:szCs w:val="16"/>
                <w:color w:val="auto"/>
              </w:rPr>
              <w:t>Director</w:t>
            </w:r>
          </w:p>
        </w:tc>
      </w:tr>
      <w:tr>
        <w:trPr>
          <w:trHeight w:val="237"/>
        </w:trPr>
        <w:tc>
          <w:tcPr>
            <w:tcW w:w="40" w:type="dxa"/>
            <w:vAlign w:val="bottom"/>
          </w:tcPr>
          <w:p>
            <w:pPr>
              <w:spacing w:after="0"/>
              <w:rPr>
                <w:sz w:val="20"/>
                <w:szCs w:val="20"/>
                <w:color w:val="auto"/>
              </w:rPr>
            </w:pPr>
          </w:p>
        </w:tc>
        <w:tc>
          <w:tcPr>
            <w:tcW w:w="3740" w:type="dxa"/>
            <w:vAlign w:val="bottom"/>
            <w:gridSpan w:val="2"/>
          </w:tcPr>
          <w:p>
            <w:pPr>
              <w:jc w:val="center"/>
              <w:spacing w:after="0"/>
              <w:rPr>
                <w:sz w:val="20"/>
                <w:szCs w:val="20"/>
                <w:color w:val="auto"/>
              </w:rPr>
            </w:pPr>
            <w:r>
              <w:rPr>
                <w:rFonts w:ascii="Arial" w:cs="Arial" w:eastAsia="Arial" w:hAnsi="Arial"/>
                <w:sz w:val="16"/>
                <w:szCs w:val="16"/>
                <w:color w:val="auto"/>
              </w:rPr>
              <w:t>Thomas C. Roberts</w:t>
            </w:r>
          </w:p>
        </w:tc>
        <w:tc>
          <w:tcPr>
            <w:tcW w:w="2840" w:type="dxa"/>
            <w:vAlign w:val="bottom"/>
          </w:tcPr>
          <w:p>
            <w:pPr>
              <w:spacing w:after="0"/>
              <w:rPr>
                <w:sz w:val="20"/>
                <w:szCs w:val="20"/>
                <w:color w:val="auto"/>
              </w:rPr>
            </w:pPr>
          </w:p>
        </w:tc>
      </w:tr>
      <w:tr>
        <w:trPr>
          <w:trHeight w:val="931"/>
        </w:trPr>
        <w:tc>
          <w:tcPr>
            <w:tcW w:w="40" w:type="dxa"/>
            <w:vAlign w:val="bottom"/>
          </w:tcPr>
          <w:p>
            <w:pPr>
              <w:spacing w:after="0"/>
              <w:rPr>
                <w:sz w:val="24"/>
                <w:szCs w:val="24"/>
                <w:color w:val="auto"/>
              </w:rPr>
            </w:pPr>
          </w:p>
        </w:tc>
        <w:tc>
          <w:tcPr>
            <w:tcW w:w="37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/s/ Joseph L. Rotunda</w:t>
            </w:r>
          </w:p>
        </w:tc>
        <w:tc>
          <w:tcPr>
            <w:tcW w:w="2840" w:type="dxa"/>
            <w:vAlign w:val="bottom"/>
          </w:tcPr>
          <w:p>
            <w:pPr>
              <w:ind w:left="260"/>
              <w:spacing w:after="0"/>
              <w:rPr>
                <w:sz w:val="20"/>
                <w:szCs w:val="20"/>
                <w:color w:val="auto"/>
              </w:rPr>
            </w:pPr>
            <w:r>
              <w:rPr>
                <w:rFonts w:ascii="Arial" w:cs="Arial" w:eastAsia="Arial" w:hAnsi="Arial"/>
                <w:sz w:val="16"/>
                <w:szCs w:val="16"/>
                <w:color w:val="auto"/>
              </w:rPr>
              <w:t>Chief Operating Officer and Director</w:t>
            </w:r>
          </w:p>
        </w:tc>
      </w:tr>
      <w:tr>
        <w:trPr>
          <w:trHeight w:val="237"/>
        </w:trPr>
        <w:tc>
          <w:tcPr>
            <w:tcW w:w="40" w:type="dxa"/>
            <w:vAlign w:val="bottom"/>
          </w:tcPr>
          <w:p>
            <w:pPr>
              <w:spacing w:after="0"/>
              <w:rPr>
                <w:sz w:val="20"/>
                <w:szCs w:val="20"/>
                <w:color w:val="auto"/>
              </w:rPr>
            </w:pPr>
          </w:p>
        </w:tc>
        <w:tc>
          <w:tcPr>
            <w:tcW w:w="3740" w:type="dxa"/>
            <w:vAlign w:val="bottom"/>
            <w:gridSpan w:val="2"/>
          </w:tcPr>
          <w:p>
            <w:pPr>
              <w:jc w:val="center"/>
              <w:spacing w:after="0"/>
              <w:rPr>
                <w:sz w:val="20"/>
                <w:szCs w:val="20"/>
                <w:color w:val="auto"/>
              </w:rPr>
            </w:pPr>
            <w:r>
              <w:rPr>
                <w:rFonts w:ascii="Arial" w:cs="Arial" w:eastAsia="Arial" w:hAnsi="Arial"/>
                <w:sz w:val="16"/>
                <w:szCs w:val="16"/>
                <w:color w:val="auto"/>
              </w:rPr>
              <w:t>Joseph L. Rotunda</w:t>
            </w:r>
          </w:p>
        </w:tc>
        <w:tc>
          <w:tcPr>
            <w:tcW w:w="2840" w:type="dxa"/>
            <w:vAlign w:val="bottom"/>
          </w:tcPr>
          <w:p>
            <w:pPr>
              <w:spacing w:after="0"/>
              <w:rPr>
                <w:sz w:val="20"/>
                <w:szCs w:val="20"/>
                <w:color w:val="auto"/>
              </w:rPr>
            </w:pPr>
          </w:p>
        </w:tc>
      </w:tr>
    </w:tbl>
    <w:p>
      <w:pPr>
        <w:spacing w:after="0" w:line="181" w:lineRule="exact"/>
        <w:rPr>
          <w:sz w:val="20"/>
          <w:szCs w:val="20"/>
          <w:color w:val="auto"/>
        </w:rPr>
      </w:pPr>
    </w:p>
    <w:p>
      <w:pPr>
        <w:ind w:left="5580" w:right="1880" w:hanging="5572"/>
        <w:spacing w:after="0" w:line="731" w:lineRule="auto"/>
        <w:tabs>
          <w:tab w:leader="none" w:pos="333"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Executed on behalf of the Director by Thomas H. Welch, Jr., attorney-in-fact. II-6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February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February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February 3, 2017</w:t>
      </w:r>
    </w:p>
    <w:p>
      <w:pPr>
        <w:sectPr>
          <w:pgSz w:w="11900" w:h="16838" w:orient="portrait"/>
          <w:cols w:equalWidth="0" w:num="2">
            <w:col w:w="8300" w:space="720"/>
            <w:col w:w="1240"/>
          </w:cols>
          <w:pgMar w:left="240" w:top="270" w:right="139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19050</wp:posOffset>
            </wp:positionV>
            <wp:extent cx="8407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387"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4"/>
          <w:szCs w:val="14"/>
          <w:color w:val="auto"/>
        </w:rPr>
        <w:t>(a)</w:t>
      </w:r>
    </w:p>
    <w:p>
      <w:pPr>
        <w:spacing w:after="0" w:line="5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4.1</w:t>
      </w:r>
    </w:p>
    <w:p>
      <w:pPr>
        <w:spacing w:after="0" w:line="26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4"/>
          <w:szCs w:val="14"/>
          <w:color w:val="auto"/>
        </w:rPr>
        <w:t>(b)</w:t>
      </w:r>
    </w:p>
    <w:p>
      <w:pPr>
        <w:spacing w:after="0" w:line="6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4"/>
          <w:szCs w:val="14"/>
          <w:color w:val="auto"/>
        </w:rPr>
        <w:t>(a)</w:t>
      </w:r>
    </w:p>
    <w:p>
      <w:pPr>
        <w:spacing w:after="0" w:line="6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4"/>
          <w:szCs w:val="14"/>
          <w:color w:val="auto"/>
        </w:rPr>
        <w:t>(a)</w:t>
      </w:r>
    </w:p>
    <w:p>
      <w:pPr>
        <w:spacing w:after="0" w:line="6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4"/>
          <w:szCs w:val="14"/>
          <w:color w:val="auto"/>
        </w:rPr>
        <w:t>(a)</w:t>
      </w:r>
    </w:p>
    <w:p>
      <w:pPr>
        <w:spacing w:after="0" w:line="6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4"/>
          <w:szCs w:val="14"/>
          <w:color w:val="auto"/>
        </w:rPr>
        <w:t>(a)</w:t>
      </w:r>
    </w:p>
    <w:p>
      <w:pPr>
        <w:spacing w:after="0" w:line="63"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4"/>
          <w:szCs w:val="14"/>
          <w:color w:val="auto"/>
        </w:rPr>
        <w:t>(c)</w:t>
      </w:r>
    </w:p>
    <w:p>
      <w:pPr>
        <w:spacing w:after="0" w:line="63" w:lineRule="exact"/>
        <w:rPr>
          <w:sz w:val="20"/>
          <w:szCs w:val="20"/>
          <w:color w:val="auto"/>
        </w:rPr>
      </w:pPr>
    </w:p>
    <w:p>
      <w:pPr>
        <w:ind w:left="520"/>
        <w:spacing w:after="0"/>
        <w:tabs>
          <w:tab w:leader="none" w:pos="11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4"/>
          <w:szCs w:val="14"/>
          <w:color w:val="auto"/>
        </w:rPr>
        <w:t>(c)</w:t>
      </w:r>
    </w:p>
    <w:p>
      <w:pPr>
        <w:spacing w:after="0" w:line="63" w:lineRule="exact"/>
        <w:rPr>
          <w:sz w:val="20"/>
          <w:szCs w:val="20"/>
          <w:color w:val="auto"/>
        </w:rPr>
      </w:pPr>
    </w:p>
    <w:p>
      <w:pPr>
        <w:ind w:left="520"/>
        <w:spacing w:after="0"/>
        <w:tabs>
          <w:tab w:leader="none" w:pos="11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4"/>
          <w:szCs w:val="14"/>
          <w:color w:val="auto"/>
        </w:rPr>
        <w:t>(c)</w:t>
      </w:r>
    </w:p>
    <w:p>
      <w:pPr>
        <w:spacing w:after="0" w:line="63" w:lineRule="exact"/>
        <w:rPr>
          <w:sz w:val="20"/>
          <w:szCs w:val="20"/>
          <w:color w:val="auto"/>
        </w:rPr>
      </w:pPr>
    </w:p>
    <w:p>
      <w:pPr>
        <w:ind w:left="520"/>
        <w:spacing w:after="0"/>
        <w:tabs>
          <w:tab w:leader="none" w:pos="11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4"/>
          <w:szCs w:val="14"/>
          <w:color w:val="auto"/>
        </w:rPr>
        <w:t>(c)</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23.3</w:t>
      </w:r>
    </w:p>
    <w:p>
      <w:pPr>
        <w:spacing w:after="0" w:line="6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4"/>
          <w:szCs w:val="14"/>
          <w:color w:val="auto"/>
        </w:rPr>
        <w:t>(b)</w:t>
      </w:r>
    </w:p>
    <w:p>
      <w:pPr>
        <w:spacing w:after="0" w:line="5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22"/>
          <w:szCs w:val="22"/>
          <w:color w:val="auto"/>
          <w:vertAlign w:val="superscript"/>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294640</wp:posOffset>
            </wp:positionV>
            <wp:extent cx="10464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58832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8327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Form of Underwriting Agreement</w:t>
      </w:r>
    </w:p>
    <w:p>
      <w:pPr>
        <w:spacing w:after="0" w:line="5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Specimen of Class A Non-Voting Common Stock certificate (incorporated by reference to Exhibit 4.1 to the Company’s Registration Statement on Form S-1 effective August 23, 1991, Commission File No. 33-41317)</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Form of Indenture between EZCORP, Inc. and Trustee to be named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Warrant Agreement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Warrant Certificate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Stock Purchase Contract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Stock Purchase Unit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Opinion of Vinson &amp; Elkins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Consent of BDO USA,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Consent of Deloitte &amp; Touche,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Consent of Vinson &amp; Elkins L.L.P. (included in Exhibit 5.1)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 (set forth on signature page)</w:t>
      </w:r>
    </w:p>
    <w:p>
      <w:pPr>
        <w:spacing w:after="0" w:line="5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Form T-1 Statement of Eligibility and Qualification under the Trust Indenture Act of 1939 of the Trustee under the Indenture</w:t>
      </w:r>
    </w:p>
    <w:p>
      <w:pPr>
        <w:spacing w:after="0" w:line="200" w:lineRule="exact"/>
        <w:rPr>
          <w:sz w:val="20"/>
          <w:szCs w:val="20"/>
          <w:color w:val="auto"/>
        </w:rPr>
      </w:pPr>
    </w:p>
    <w:p>
      <w:pPr>
        <w:sectPr>
          <w:pgSz w:w="11900" w:h="16838" w:orient="portrait"/>
          <w:cols w:equalWidth="0" w:num="2">
            <w:col w:w="1340" w:space="600"/>
            <w:col w:w="9200"/>
          </w:cols>
          <w:pgMar w:left="240" w:top="287" w:right="519" w:bottom="1440" w:gutter="0" w:footer="0" w:header="0"/>
        </w:sectPr>
      </w:pPr>
    </w:p>
    <w:p>
      <w:pPr>
        <w:spacing w:after="0" w:line="267"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be filed either by amendment or as an exhibit to a document incorporated by reference in this Registration Statement.</w:t>
      </w:r>
    </w:p>
    <w:p>
      <w:pPr>
        <w:spacing w:after="0" w:line="171"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71"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71"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To be filed in accordance with the requirements of Section 305(b)(2) of the Trust Indenture Act of 1939 and Rule 5b-3 thereunder.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140"/>
          </w:cols>
          <w:pgMar w:left="240" w:top="287" w:right="519" w:bottom="1440" w:gutter="0" w:footer="0" w:header="0"/>
          <w:type w:val="continuous"/>
        </w:sectPr>
      </w:pPr>
    </w:p>
    <w:bookmarkStart w:id="29" w:name="page30"/>
    <w:bookmarkEnd w:id="29"/>
    <w:p>
      <w:pPr>
        <w:spacing w:after="0" w:line="2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173990</wp:posOffset>
            </wp:positionV>
            <wp:extent cx="1689735"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8973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
        <w:spacing w:after="0"/>
        <w:rPr>
          <w:sz w:val="20"/>
          <w:szCs w:val="20"/>
          <w:color w:val="auto"/>
        </w:rPr>
      </w:pPr>
      <w:r>
        <w:rPr>
          <w:rFonts w:ascii="Arial" w:cs="Arial" w:eastAsia="Arial" w:hAnsi="Arial"/>
          <w:sz w:val="18"/>
          <w:szCs w:val="18"/>
          <w:color w:val="auto"/>
        </w:rPr>
        <w:t>February 3, 2017</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2500 Bee Cave Road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Building One, Suite 200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Rollingwood, TX 78746</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03" w:lineRule="exact"/>
        <w:rPr>
          <w:sz w:val="20"/>
          <w:szCs w:val="20"/>
          <w:color w:val="auto"/>
        </w:rPr>
      </w:pPr>
    </w:p>
    <w:p>
      <w:pPr>
        <w:jc w:val="both"/>
        <w:ind w:left="4" w:firstLine="648"/>
        <w:spacing w:after="0" w:line="253" w:lineRule="auto"/>
        <w:rPr>
          <w:sz w:val="20"/>
          <w:szCs w:val="20"/>
          <w:color w:val="auto"/>
        </w:rPr>
      </w:pPr>
      <w:r>
        <w:rPr>
          <w:rFonts w:ascii="Arial" w:cs="Arial" w:eastAsia="Arial" w:hAnsi="Arial"/>
          <w:sz w:val="18"/>
          <w:szCs w:val="18"/>
          <w:color w:val="auto"/>
        </w:rPr>
        <w:t>We have acted as counsel for EZCORP,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with respect to certain legal matters in connection with the preparation of a registration statement on Form S-3 and the Pre-Effective Amendment No. 1 to Form S-3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filed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under the Securities Act of 1933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with respect to the Company’s (i) debt securities (the “</w:t>
      </w:r>
      <w:r>
        <w:rPr>
          <w:rFonts w:ascii="Arial" w:cs="Arial" w:eastAsia="Arial" w:hAnsi="Arial"/>
          <w:sz w:val="18"/>
          <w:szCs w:val="18"/>
          <w:b w:val="1"/>
          <w:bCs w:val="1"/>
          <w:i w:val="1"/>
          <w:iCs w:val="1"/>
          <w:color w:val="auto"/>
        </w:rPr>
        <w:t>Debt Securities</w:t>
      </w:r>
      <w:r>
        <w:rPr>
          <w:rFonts w:ascii="Arial" w:cs="Arial" w:eastAsia="Arial" w:hAnsi="Arial"/>
          <w:sz w:val="18"/>
          <w:szCs w:val="18"/>
          <w:color w:val="auto"/>
        </w:rPr>
        <w:t>”), in one or more series, certain of which may be convertible or exchangeable into shares of Class A Non-Voting Common Stock, par value $0.01 per share, of the Company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(ii) shares of the Common Stock, (iii) warrants for the purchase of shares of the Common Stock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(iv) contracts to purchase shares of the Common Stock or other securities at a future date or dates (the “</w:t>
      </w:r>
      <w:r>
        <w:rPr>
          <w:rFonts w:ascii="Arial" w:cs="Arial" w:eastAsia="Arial" w:hAnsi="Arial"/>
          <w:sz w:val="18"/>
          <w:szCs w:val="18"/>
          <w:b w:val="1"/>
          <w:bCs w:val="1"/>
          <w:i w:val="1"/>
          <w:iCs w:val="1"/>
          <w:color w:val="auto"/>
        </w:rPr>
        <w:t>Stock Purchase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Contracts</w:t>
      </w:r>
      <w:r>
        <w:rPr>
          <w:rFonts w:ascii="Arial" w:cs="Arial" w:eastAsia="Arial" w:hAnsi="Arial"/>
          <w:sz w:val="18"/>
          <w:szCs w:val="18"/>
          <w:color w:val="auto"/>
        </w:rPr>
        <w:t>”), and (v) Stock Purchase Contracts issued as a part of units consisting of a Stock Purchase Contract and warrants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or debt obligations of third parties, including U.S. treasury securities, securing the holders’ obligations to purchase the securities under the Stock Purchase Contracts (the “</w:t>
      </w:r>
      <w:r>
        <w:rPr>
          <w:rFonts w:ascii="Arial" w:cs="Arial" w:eastAsia="Arial" w:hAnsi="Arial"/>
          <w:sz w:val="18"/>
          <w:szCs w:val="18"/>
          <w:b w:val="1"/>
          <w:bCs w:val="1"/>
          <w:i w:val="1"/>
          <w:iCs w:val="1"/>
          <w:color w:val="auto"/>
        </w:rPr>
        <w:t>Stock Purchase Units</w:t>
      </w:r>
      <w:r>
        <w:rPr>
          <w:rFonts w:ascii="Arial" w:cs="Arial" w:eastAsia="Arial" w:hAnsi="Arial"/>
          <w:sz w:val="18"/>
          <w:szCs w:val="18"/>
          <w:color w:val="auto"/>
        </w:rPr>
        <w:t>” and, together with the Debt Securities, the shares of the Common Stock, the Warrants and the Stock Purchase Contracts,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each on terms to be determined at the time of the offering thereof. The Securities may be issued from time to time pursuant to Rule 415 under the Securities Act.</w:t>
      </w:r>
    </w:p>
    <w:p>
      <w:pPr>
        <w:spacing w:after="0" w:line="213" w:lineRule="exact"/>
        <w:rPr>
          <w:sz w:val="20"/>
          <w:szCs w:val="20"/>
          <w:color w:val="auto"/>
        </w:rPr>
      </w:pPr>
    </w:p>
    <w:p>
      <w:pPr>
        <w:jc w:val="both"/>
        <w:ind w:left="4" w:firstLine="648"/>
        <w:spacing w:after="0" w:line="252" w:lineRule="auto"/>
        <w:rPr>
          <w:sz w:val="20"/>
          <w:szCs w:val="20"/>
          <w:color w:val="auto"/>
        </w:rPr>
      </w:pPr>
      <w:r>
        <w:rPr>
          <w:rFonts w:ascii="Arial" w:cs="Arial" w:eastAsia="Arial" w:hAnsi="Arial"/>
          <w:sz w:val="18"/>
          <w:szCs w:val="18"/>
          <w:color w:val="auto"/>
        </w:rPr>
        <w:t>In connection with the opinions expressed herein, we have examined, among other things, the (i) the Amended and Restated Certificate of Incorporation, as amended, and the Amended and Restated Bylaws of the Company, each as amended to the date hereof (collectively, the “</w:t>
      </w:r>
      <w:r>
        <w:rPr>
          <w:rFonts w:ascii="Arial" w:cs="Arial" w:eastAsia="Arial" w:hAnsi="Arial"/>
          <w:sz w:val="18"/>
          <w:szCs w:val="18"/>
          <w:b w:val="1"/>
          <w:bCs w:val="1"/>
          <w:i w:val="1"/>
          <w:iCs w:val="1"/>
          <w:color w:val="auto"/>
        </w:rPr>
        <w:t>Charter Documents</w:t>
      </w:r>
      <w:r>
        <w:rPr>
          <w:rFonts w:ascii="Arial" w:cs="Arial" w:eastAsia="Arial" w:hAnsi="Arial"/>
          <w:sz w:val="18"/>
          <w:szCs w:val="18"/>
          <w:color w:val="auto"/>
        </w:rPr>
        <w:t>”), (ii) the Registration Statement, (iii) the form of Indenture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filed as an exhibit to the Registration Statement and (iv) the records of corporate proceedings that have occurred prior to the date hereof with respect to the Registration Statement. We have also reviewed such questions of law as we have deemed necessary or appropriate. As to matters of fact relevant to the opinion expressed herein, and as to factual matters arising in connection with our examination of corporate documents, records and other documents and writings, we relied upon certificates and other communications of corporate officers of the Company, with no independent investigation as to the facts set forth therein.</w:t>
      </w:r>
    </w:p>
    <w:p>
      <w:pPr>
        <w:spacing w:after="0" w:line="206" w:lineRule="exact"/>
        <w:rPr>
          <w:sz w:val="20"/>
          <w:szCs w:val="20"/>
          <w:color w:val="auto"/>
        </w:rPr>
      </w:pPr>
    </w:p>
    <w:p>
      <w:pPr>
        <w:jc w:val="both"/>
        <w:ind w:left="4" w:firstLine="648"/>
        <w:spacing w:after="0" w:line="251" w:lineRule="auto"/>
        <w:rPr>
          <w:sz w:val="20"/>
          <w:szCs w:val="20"/>
          <w:color w:val="auto"/>
        </w:rPr>
      </w:pPr>
      <w:r>
        <w:rPr>
          <w:rFonts w:ascii="Arial" w:cs="Arial" w:eastAsia="Arial" w:hAnsi="Arial"/>
          <w:sz w:val="18"/>
          <w:szCs w:val="18"/>
          <w:color w:val="auto"/>
        </w:rPr>
        <w:t>In connection with this opinion, we have assumed that: (i) all information contained in all documents reviewed by us is true and correct; (ii) all signatures on all documents examined by us are genuine; (iii) all documents submitted to us as originals are authentic and all documents submitted to us as copies conform to the originals of those documents; (iv) each natural person signing any document reviewed by us had the legal capacity to do so; (v) each person signing in a representative capacity (other than on behalf of the Company) any document reviewed by us had authority to sign in such capacity; (vi) the Registration Statement, and any amendments thereto (including post-effective amendments), will have become effective and comply with all applicable laws; (vii) a prospectus supplement will have been prepared and filed with the Commission describing the Securities offered thereby; (viii) all Securities will be issued and sold in compliance with applicable federal and state securities laws and in the manner stated in the Registration Statement and the applicable prospectus supplement; (ix) any supplemental indenture relating to a series of Debt Securities to be issued under the Indenture will be duly authorized, executed and delivered by the parties thereto in substantially the form reviewed by us; (x) a definitive purchase, underwriting or similar agreement with respect to any Securities offered will have been duly authorized and validly executed and delivered by the Company and the other parties thereto; (xi) any Securities issuable upon conversion, exchange or exercise of any Security being offered will have been duly authorized, created and, if appropriate, reserved for issuance upon such conversion, exchange or exercise; and (xii) with respect to shares of the Common Stock offered, that there will be sufficient shares of the Common Stock authorized under the Charter Documents and not otherwise reserved for issuance.</w:t>
      </w:r>
    </w:p>
    <w:p>
      <w:pPr>
        <w:spacing w:after="0" w:line="210" w:lineRule="exact"/>
        <w:rPr>
          <w:sz w:val="20"/>
          <w:szCs w:val="20"/>
          <w:color w:val="auto"/>
        </w:rPr>
      </w:pPr>
    </w:p>
    <w:p>
      <w:pPr>
        <w:ind w:left="644"/>
        <w:spacing w:after="0"/>
        <w:rPr>
          <w:sz w:val="20"/>
          <w:szCs w:val="20"/>
          <w:color w:val="auto"/>
        </w:rPr>
      </w:pPr>
      <w:r>
        <w:rPr>
          <w:rFonts w:ascii="Arial" w:cs="Arial" w:eastAsia="Arial" w:hAnsi="Arial"/>
          <w:sz w:val="18"/>
          <w:szCs w:val="18"/>
          <w:color w:val="auto"/>
        </w:rPr>
        <w:t>Based upon and subject to the foregoing, we are of the opinion that:</w:t>
      </w:r>
    </w:p>
    <w:p>
      <w:pPr>
        <w:spacing w:after="0" w:line="225" w:lineRule="exact"/>
        <w:rPr>
          <w:sz w:val="20"/>
          <w:szCs w:val="20"/>
          <w:color w:val="auto"/>
        </w:rPr>
      </w:pPr>
    </w:p>
    <w:p>
      <w:pPr>
        <w:jc w:val="both"/>
        <w:ind w:left="644" w:hanging="644"/>
        <w:spacing w:after="0" w:line="251" w:lineRule="auto"/>
        <w:tabs>
          <w:tab w:leader="none" w:pos="6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 respect to the Debt Securities to be issued under the Indenture, when (a) the applicable Indenture relating to the Debt Securities have been duly qualified under the Trust Indenture Act of 1939, as amended; (b)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(or a duly constituted and acting committee thereof) has taken all necessary corporate action to approve the issuance and terms of any such Debt Securities, the terms of the offering thereof and related matters; (c) the terms of such Debt Securities and of their issuance and sale have been duly established in conformity with the Indenture so as not to violate any applicable law or result in a default under or breach of any agreement or instrument binding upon the Company and so as to comply with any requirements or restrictions imposed by any court or governmental body having jurisdiction over the Company; (d) any shares of the Common Stock issuable upon the conversion of such Debt Securities, if applicable, have been duly and validly authorized for issuance; and (e) such Debt Securities have been duly executed and authenticated in accordance with the Indenture and issued and sold as contemplated in the applicable prospectus supplement and in accordance with the applicable definitive purchase, underwriting or similar agreement approved by the Board (or a duly constituted and acting committee thereof) and, upon payment of the consideration therefor provided for therein, such Debt Securities will be legally issued and will constitute valid and binding obligations of the Company enforceable against the Company in accordance with their terms and will be entitled to the benefits of the Indenture.</w:t>
      </w:r>
    </w:p>
    <w:p>
      <w:pPr>
        <w:spacing w:after="0" w:line="210" w:lineRule="exact"/>
        <w:rPr>
          <w:rFonts w:ascii="Arial" w:cs="Arial" w:eastAsia="Arial" w:hAnsi="Arial"/>
          <w:sz w:val="18"/>
          <w:szCs w:val="18"/>
          <w:color w:val="auto"/>
        </w:rPr>
      </w:pPr>
    </w:p>
    <w:p>
      <w:pPr>
        <w:jc w:val="both"/>
        <w:ind w:left="644" w:hanging="644"/>
        <w:spacing w:after="0" w:line="252" w:lineRule="auto"/>
        <w:tabs>
          <w:tab w:leader="none" w:pos="6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 respect to shares of the Common Stock, when (a) the Board (or a duly constituted and acting committee thereof) has taken all necessary corporate action to approve the issuance and terms of the offering thereof and related matters; and (b) the shares of the Common Stock have been duly registered and delivered either (i) in accordance with the applicable definitive purchase, underwriting or similar agreement approved by the Board (or a duly constituted and acting committee thereof) upon payment of the consideration therefor (not less than the par value of the Common Stock) provided for therein, or (ii) upon conversion, exchange or exercise of any other Security in accordance with the terms of the Security or the instrument governing the Security providing for the conversion, exchange or exercise as approved by the Board (or a duly constituted and</w:t>
      </w:r>
    </w:p>
    <w:p>
      <w:pPr>
        <w:sectPr>
          <w:pgSz w:w="11900" w:h="16865" w:orient="portrait"/>
          <w:cols w:equalWidth="0" w:num="1">
            <w:col w:w="10764"/>
          </w:cols>
          <w:pgMar w:left="896" w:top="118" w:right="239" w:bottom="0" w:gutter="0" w:footer="0" w:header="0"/>
        </w:sectPr>
      </w:pPr>
    </w:p>
    <w:bookmarkStart w:id="30" w:name="page31"/>
    <w:bookmarkEnd w:id="30"/>
    <w:p>
      <w:pPr>
        <w:jc w:val="both"/>
        <w:ind w:left="1160"/>
        <w:spacing w:after="0" w:line="255" w:lineRule="auto"/>
        <w:rPr>
          <w:sz w:val="20"/>
          <w:szCs w:val="20"/>
          <w:color w:val="auto"/>
        </w:rPr>
      </w:pPr>
      <w:r>
        <w:rPr>
          <w:rFonts w:ascii="Arial" w:cs="Arial" w:eastAsia="Arial" w:hAnsi="Arial"/>
          <w:sz w:val="18"/>
          <w:szCs w:val="18"/>
          <w:color w:val="auto"/>
        </w:rPr>
        <w:t>acting committee thereof), for the consideration (not less than the par value of the Common Stock) approved by the Board (or a duly constituted and acting committee thereof), such shares of the Common Stock will be legally issued, fully paid and non-assessable.</w:t>
      </w:r>
    </w:p>
    <w:p>
      <w:pPr>
        <w:spacing w:after="0" w:line="204" w:lineRule="exact"/>
        <w:rPr>
          <w:sz w:val="20"/>
          <w:szCs w:val="20"/>
          <w:color w:val="auto"/>
        </w:rPr>
      </w:pPr>
    </w:p>
    <w:p>
      <w:pPr>
        <w:jc w:val="both"/>
        <w:ind w:left="1160" w:hanging="644"/>
        <w:spacing w:after="0" w:line="252"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 respect to the Warrants, when (i) the Board (or a duly constituted and acting committee thereof) has taken all necessary corporate action to approve the creation of and the issuance and terms of the Warrants, the terms of the offering thereof and related matters; (ii) the warrant agreement or agreements relating to the Warrants have been duly authorized and validly executed and delivered by the Company and the warrant agent appointed by the Company; and (iii) the Warrants or certificates representing the Warrants have been duly executed, countersigned, registered and delivered in accordance with the appropriate warrant agreement or agreements and the applicable definitive purchase, underwriting or similar agreement approved by the Board (or a duly constituted and acting committee thereof) upon payment of the consideration therefor provided for therein, such Warrants will be legally issued.</w:t>
      </w:r>
    </w:p>
    <w:p>
      <w:pPr>
        <w:spacing w:after="0" w:line="206" w:lineRule="exact"/>
        <w:rPr>
          <w:rFonts w:ascii="Arial" w:cs="Arial" w:eastAsia="Arial" w:hAnsi="Arial"/>
          <w:sz w:val="18"/>
          <w:szCs w:val="18"/>
          <w:color w:val="auto"/>
        </w:rPr>
      </w:pPr>
    </w:p>
    <w:p>
      <w:pPr>
        <w:jc w:val="both"/>
        <w:ind w:left="1160" w:hanging="644"/>
        <w:spacing w:after="0" w:line="252"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 respect to Stock Purchase Contracts, when (i) the purchase agreement for the Stock Purchase Contracts has been duly authorized and validly executed by the parties thereto; (ii) the Board (or a duly constituted and acting committee thereof) has taken all necessary corporate action to approve and establish the terms of the Stock Purchase Contracts and to authorize and approve the issuance thereof, the terms of the offering and related matters; and (iii) the Stock Purchase Contracts have been duly executed and delivered in accordance with the purchase agreement and the applicable definitive purchase, underwriting or similar agreement approved by or on behalf of the Board (or a duly constituted and acting committee thereof) upon payment of the consideration therefor provided for therein, such Stock Purchase Contracts will be legally issued.</w:t>
      </w:r>
    </w:p>
    <w:p>
      <w:pPr>
        <w:spacing w:after="0" w:line="207" w:lineRule="exact"/>
        <w:rPr>
          <w:rFonts w:ascii="Arial" w:cs="Arial" w:eastAsia="Arial" w:hAnsi="Arial"/>
          <w:sz w:val="18"/>
          <w:szCs w:val="18"/>
          <w:color w:val="auto"/>
        </w:rPr>
      </w:pPr>
    </w:p>
    <w:p>
      <w:pPr>
        <w:jc w:val="both"/>
        <w:ind w:left="1160" w:hanging="644"/>
        <w:spacing w:after="0" w:line="252"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 respect to Stock Purchase Units, when (i) the purchase agreement for the Stock Purchase Units has been duly authorized and validly executed by the parties thereto; (ii) the Board (or a duly constituted and acting committee thereof) has taken all necessary corporate action to approve and establish the terms of the Stock Purchase Units and to authorize and approve the issuance thereof, the terms of the offering and related matters; and (iii) the Stock Purchase Units have been duly executed and delivered in accordance with the purchase agreement and the applicable definitive purchase, underwriting or similar agreement approved by or on behalf of the Board (or a duly constituted and acting committee thereof) upon payment of the consideration therefor provided therein, the Stock Purchase Units will be legally issued.</w:t>
      </w:r>
    </w:p>
    <w:p>
      <w:pPr>
        <w:spacing w:after="0" w:line="207" w:lineRule="exact"/>
        <w:rPr>
          <w:sz w:val="20"/>
          <w:szCs w:val="20"/>
          <w:color w:val="auto"/>
        </w:rPr>
      </w:pPr>
    </w:p>
    <w:p>
      <w:pPr>
        <w:jc w:val="both"/>
        <w:ind w:left="520" w:firstLine="648"/>
        <w:spacing w:after="0" w:line="252" w:lineRule="auto"/>
        <w:rPr>
          <w:sz w:val="20"/>
          <w:szCs w:val="20"/>
          <w:color w:val="auto"/>
        </w:rPr>
      </w:pPr>
      <w:r>
        <w:rPr>
          <w:rFonts w:ascii="Arial" w:cs="Arial" w:eastAsia="Arial" w:hAnsi="Arial"/>
          <w:sz w:val="18"/>
          <w:szCs w:val="18"/>
          <w:color w:val="auto"/>
        </w:rPr>
        <w:t>The foregoing opinions are qualified to the extent that the enforceability of any document, instrument or Security may be limited by or subject to (i) bankruptcy, insolvency, fraudulent transfer or conveyance, reorganization, moratorium or other similar laws relating to or affecting creditors’ rights generally, and general equitable or public policy principles, and (ii) with respect to any Debt Securities denominated in a currency other than United States dollars, the requirement that a claim (or a foreign currency judgment in respect of such a claim) with respect to such Securities be converted to United States dollars at a rate of exchange prevailing on a date determined pursuant to applicable law or governmental authority.</w:t>
      </w:r>
    </w:p>
    <w:p>
      <w:pPr>
        <w:spacing w:after="0" w:line="209" w:lineRule="exact"/>
        <w:rPr>
          <w:sz w:val="20"/>
          <w:szCs w:val="20"/>
          <w:color w:val="auto"/>
        </w:rPr>
      </w:pPr>
    </w:p>
    <w:p>
      <w:pPr>
        <w:jc w:val="both"/>
        <w:ind w:left="520" w:firstLine="648"/>
        <w:spacing w:after="0" w:line="252" w:lineRule="auto"/>
        <w:rPr>
          <w:sz w:val="20"/>
          <w:szCs w:val="20"/>
          <w:color w:val="auto"/>
        </w:rPr>
      </w:pPr>
      <w:r>
        <w:rPr>
          <w:rFonts w:ascii="Arial" w:cs="Arial" w:eastAsia="Arial" w:hAnsi="Arial"/>
          <w:sz w:val="18"/>
          <w:szCs w:val="18"/>
          <w:color w:val="auto"/>
        </w:rPr>
        <w:t>We express no opinions concerning (i) the validity or enforceability of any provisions contained in the Indenture that purport to waive or not give effect to rights to notices, defenses, subrogation or other rights or benefits that cannot be effectively waived under applicable law, (ii) the enforceability of indemnification provisions to the extent they purport to relate to liabilities resulting from or based upon negligence or any violation of federal or state securities or blue sky laws, or (iii) the validity or enforceability of provisions that limit the obligation of a guarantor based on the potential unenforceability, invalidity or voidability of a guarantee under any applicable law, including, without limitation, any state or federal fraudulent transfer or fraudulent conveyance laws.</w:t>
      </w:r>
    </w:p>
    <w:p>
      <w:pPr>
        <w:spacing w:after="0" w:line="209" w:lineRule="exact"/>
        <w:rPr>
          <w:sz w:val="20"/>
          <w:szCs w:val="20"/>
          <w:color w:val="auto"/>
        </w:rPr>
      </w:pPr>
    </w:p>
    <w:p>
      <w:pPr>
        <w:jc w:val="both"/>
        <w:ind w:left="520" w:firstLine="648"/>
        <w:spacing w:after="0" w:line="254" w:lineRule="auto"/>
        <w:rPr>
          <w:sz w:val="20"/>
          <w:szCs w:val="20"/>
          <w:color w:val="auto"/>
        </w:rPr>
      </w:pPr>
      <w:r>
        <w:rPr>
          <w:rFonts w:ascii="Arial" w:cs="Arial" w:eastAsia="Arial" w:hAnsi="Arial"/>
          <w:sz w:val="18"/>
          <w:szCs w:val="18"/>
          <w:color w:val="auto"/>
        </w:rPr>
        <w:t>The foregoing opinions are limited to the laws of the State of New York, the General Corporation Law of the State of Delaware (including the applicable provisions of the Delaware Constitution and the reported judicial decisions interpreting these laws) and the federal laws of the United States of America, and we are expressing no opinion as to the effect of the laws of any other jurisdiction, domestic or foreign.</w:t>
      </w:r>
    </w:p>
    <w:p>
      <w:pPr>
        <w:spacing w:after="0" w:line="204" w:lineRule="exact"/>
        <w:rPr>
          <w:sz w:val="20"/>
          <w:szCs w:val="20"/>
          <w:color w:val="auto"/>
        </w:rPr>
      </w:pPr>
    </w:p>
    <w:p>
      <w:pPr>
        <w:jc w:val="both"/>
        <w:ind w:left="520" w:firstLine="648"/>
        <w:spacing w:after="0" w:line="254"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use of our name in the prospectus forming a part of the Registration Statement under the caption “Legal Matters.” In giving this consent, we do not admit that we are within the category of persons whose consent is required under Section 7 of the Securities Act and the rules and regulations thereunder.</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Vinson &amp; Elkins L.L.P.</w:t>
      </w:r>
    </w:p>
    <w:p>
      <w:pPr>
        <w:sectPr>
          <w:pgSz w:w="11900" w:h="16838" w:orient="portrait"/>
          <w:cols w:equalWidth="0" w:num="1">
            <w:col w:w="11280"/>
          </w:cols>
          <w:pgMar w:left="380" w:top="140" w:right="239" w:bottom="1440" w:gutter="0" w:footer="0" w:header="0"/>
        </w:sectPr>
      </w:pPr>
    </w:p>
    <w:p>
      <w:pPr>
        <w:spacing w:after="0" w:line="40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Vinson &amp; Elkins LLP Attorneys at Law</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auto"/>
        </w:rPr>
        <w:t>Austin Beijing Dallas Dubai Hong Kong Houston London</w:t>
      </w:r>
    </w:p>
    <w:p>
      <w:pPr>
        <w:spacing w:after="0"/>
        <w:rPr>
          <w:sz w:val="20"/>
          <w:szCs w:val="20"/>
          <w:color w:val="auto"/>
        </w:rPr>
      </w:pPr>
      <w:r>
        <w:rPr>
          <w:rFonts w:ascii="Arial" w:cs="Arial" w:eastAsia="Arial" w:hAnsi="Arial"/>
          <w:sz w:val="10"/>
          <w:szCs w:val="10"/>
          <w:color w:val="auto"/>
        </w:rPr>
        <w:t>Moscow New York Palo Alto Richmond Riyadh San Francisco Taipei Tokyo Washington</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Trammell Crow Center, 2001 Ross Avenue, Suite 3700</w:t>
      </w:r>
    </w:p>
    <w:p>
      <w:pPr>
        <w:spacing w:after="0" w:line="230" w:lineRule="auto"/>
        <w:rPr>
          <w:sz w:val="20"/>
          <w:szCs w:val="20"/>
          <w:color w:val="auto"/>
        </w:rPr>
      </w:pPr>
      <w:r>
        <w:rPr>
          <w:rFonts w:ascii="Arial" w:cs="Arial" w:eastAsia="Arial" w:hAnsi="Arial"/>
          <w:sz w:val="11"/>
          <w:szCs w:val="11"/>
          <w:color w:val="auto"/>
        </w:rPr>
        <w:t>Dallas, TX 75201-2975</w:t>
      </w:r>
    </w:p>
    <w:p>
      <w:pPr>
        <w:spacing w:after="0"/>
        <w:rPr>
          <w:sz w:val="20"/>
          <w:szCs w:val="20"/>
          <w:color w:val="auto"/>
        </w:rPr>
      </w:pPr>
      <w:r>
        <w:rPr>
          <w:rFonts w:ascii="Arial" w:cs="Arial" w:eastAsia="Arial" w:hAnsi="Arial"/>
          <w:sz w:val="10"/>
          <w:szCs w:val="10"/>
          <w:b w:val="1"/>
          <w:bCs w:val="1"/>
          <w:color w:val="auto"/>
        </w:rPr>
        <w:t xml:space="preserve">Tel </w:t>
      </w:r>
      <w:r>
        <w:rPr>
          <w:rFonts w:ascii="Arial" w:cs="Arial" w:eastAsia="Arial" w:hAnsi="Arial"/>
          <w:sz w:val="10"/>
          <w:szCs w:val="10"/>
          <w:color w:val="auto"/>
        </w:rPr>
        <w:t>+1.214.220.7700</w:t>
      </w:r>
      <w:r>
        <w:rPr>
          <w:rFonts w:ascii="Arial" w:cs="Arial" w:eastAsia="Arial" w:hAnsi="Arial"/>
          <w:sz w:val="10"/>
          <w:szCs w:val="10"/>
          <w:b w:val="1"/>
          <w:bCs w:val="1"/>
          <w:color w:val="auto"/>
        </w:rPr>
        <w:t xml:space="preserve"> Fax </w:t>
      </w:r>
      <w:r>
        <w:rPr>
          <w:rFonts w:ascii="Arial" w:cs="Arial" w:eastAsia="Arial" w:hAnsi="Arial"/>
          <w:sz w:val="10"/>
          <w:szCs w:val="10"/>
          <w:color w:val="auto"/>
        </w:rPr>
        <w:t>+1.214.220.7716</w:t>
      </w:r>
      <w:r>
        <w:rPr>
          <w:rFonts w:ascii="Arial" w:cs="Arial" w:eastAsia="Arial" w:hAnsi="Arial"/>
          <w:sz w:val="10"/>
          <w:szCs w:val="10"/>
          <w:b w:val="1"/>
          <w:bCs w:val="1"/>
          <w:color w:val="auto"/>
        </w:rPr>
        <w:t xml:space="preserve"> www.velaw.com</w:t>
      </w:r>
    </w:p>
    <w:p>
      <w:pPr>
        <w:sectPr>
          <w:pgSz w:w="11900" w:h="16838" w:orient="portrait"/>
          <w:cols w:equalWidth="0" w:num="2">
            <w:col w:w="6340" w:space="720"/>
            <w:col w:w="4220"/>
          </w:cols>
          <w:pgMar w:left="380" w:top="140" w:right="239" w:bottom="1440" w:gutter="0" w:footer="0" w:header="0"/>
          <w:type w:val="continuous"/>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12.1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375" w:lineRule="exact"/>
        <w:rPr>
          <w:sz w:val="20"/>
          <w:szCs w:val="20"/>
          <w:color w:val="auto"/>
        </w:rPr>
      </w:pPr>
    </w:p>
    <w:tbl>
      <w:tblPr>
        <w:tblLayout w:type="fixed"/>
        <w:tblInd w:w="64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6"/>
          </w:tcPr>
          <w:p>
            <w:pPr>
              <w:ind w:left="560"/>
              <w:spacing w:after="0"/>
              <w:rPr>
                <w:sz w:val="20"/>
                <w:szCs w:val="20"/>
                <w:color w:val="auto"/>
              </w:rPr>
            </w:pPr>
            <w:r>
              <w:rPr>
                <w:rFonts w:ascii="Arial" w:cs="Arial" w:eastAsia="Arial" w:hAnsi="Arial"/>
                <w:sz w:val="14"/>
                <w:szCs w:val="14"/>
                <w:b w:val="1"/>
                <w:bCs w:val="1"/>
                <w:color w:val="auto"/>
              </w:rPr>
              <w:t>Year Ended September 30,</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600" w:type="dxa"/>
            <w:vAlign w:val="bottom"/>
            <w:tcBorders>
              <w:top w:val="single" w:sz="8" w:color="auto"/>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4"/>
        </w:trPr>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640" w:type="dxa"/>
            <w:vAlign w:val="bottom"/>
          </w:tcPr>
          <w:p>
            <w:pPr>
              <w:spacing w:after="0"/>
              <w:rPr>
                <w:sz w:val="20"/>
                <w:szCs w:val="20"/>
                <w:color w:val="auto"/>
              </w:rPr>
            </w:pPr>
            <w:r>
              <w:rPr>
                <w:rFonts w:ascii="Arial" w:cs="Arial" w:eastAsia="Arial" w:hAnsi="Arial"/>
                <w:sz w:val="16"/>
                <w:szCs w:val="16"/>
                <w:color w:val="auto"/>
              </w:rPr>
              <w:t>Earnings:</w:t>
            </w: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640" w:type="dxa"/>
            <w:vAlign w:val="bottom"/>
          </w:tcPr>
          <w:p>
            <w:pPr>
              <w:ind w:left="180"/>
              <w:spacing w:after="0"/>
              <w:rPr>
                <w:sz w:val="20"/>
                <w:szCs w:val="20"/>
                <w:color w:val="auto"/>
              </w:rPr>
            </w:pPr>
            <w:r>
              <w:rPr>
                <w:rFonts w:ascii="Arial" w:cs="Arial" w:eastAsia="Arial" w:hAnsi="Arial"/>
                <w:sz w:val="16"/>
                <w:szCs w:val="16"/>
                <w:color w:val="auto"/>
              </w:rPr>
              <w:t>Income (loss) from continuing</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640" w:type="dxa"/>
            <w:vAlign w:val="bottom"/>
          </w:tcPr>
          <w:p>
            <w:pPr>
              <w:ind w:left="180"/>
              <w:spacing w:after="0"/>
              <w:rPr>
                <w:sz w:val="20"/>
                <w:szCs w:val="20"/>
                <w:color w:val="auto"/>
              </w:rPr>
            </w:pPr>
            <w:r>
              <w:rPr>
                <w:rFonts w:ascii="Arial" w:cs="Arial" w:eastAsia="Arial" w:hAnsi="Arial"/>
                <w:sz w:val="16"/>
                <w:szCs w:val="16"/>
                <w:color w:val="auto"/>
              </w:rPr>
              <w:t>operations before income taxes</w:t>
            </w: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40" w:type="dxa"/>
            <w:vAlign w:val="bottom"/>
          </w:tcPr>
          <w:p>
            <w:pPr>
              <w:ind w:left="180"/>
              <w:spacing w:after="0"/>
              <w:rPr>
                <w:sz w:val="20"/>
                <w:szCs w:val="20"/>
                <w:color w:val="auto"/>
              </w:rPr>
            </w:pPr>
            <w:r>
              <w:rPr>
                <w:rFonts w:ascii="Arial" w:cs="Arial" w:eastAsia="Arial" w:hAnsi="Arial"/>
                <w:sz w:val="16"/>
                <w:szCs w:val="16"/>
                <w:color w:val="auto"/>
              </w:rPr>
              <w:t>(a)</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61"/>
              <w:spacing w:after="0"/>
              <w:rPr>
                <w:sz w:val="20"/>
                <w:szCs w:val="20"/>
                <w:color w:val="auto"/>
              </w:rPr>
            </w:pPr>
            <w:r>
              <w:rPr>
                <w:rFonts w:ascii="Arial" w:cs="Arial" w:eastAsia="Arial" w:hAnsi="Arial"/>
                <w:sz w:val="16"/>
                <w:szCs w:val="16"/>
                <w:color w:val="auto"/>
              </w:rPr>
              <w:t>13,048</w:t>
            </w:r>
          </w:p>
        </w:tc>
        <w:tc>
          <w:tcPr>
            <w:tcW w:w="10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(66,207)</w:t>
            </w:r>
          </w:p>
        </w:tc>
        <w:tc>
          <w:tcPr>
            <w:tcW w:w="100" w:type="dxa"/>
            <w:vAlign w:val="bottom"/>
          </w:tcPr>
          <w:p>
            <w:pPr>
              <w:spacing w:after="0"/>
              <w:rPr>
                <w:sz w:val="16"/>
                <w:szCs w:val="16"/>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7,889</w:t>
            </w:r>
          </w:p>
        </w:tc>
        <w:tc>
          <w:tcPr>
            <w:tcW w:w="120" w:type="dxa"/>
            <w:vAlign w:val="bottom"/>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29,687</w:t>
            </w:r>
          </w:p>
        </w:tc>
        <w:tc>
          <w:tcPr>
            <w:tcW w:w="10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146,139</w:t>
            </w:r>
          </w:p>
        </w:tc>
        <w:tc>
          <w:tcPr>
            <w:tcW w:w="0" w:type="dxa"/>
            <w:vAlign w:val="bottom"/>
          </w:tcPr>
          <w:p>
            <w:pPr>
              <w:spacing w:after="0"/>
              <w:rPr>
                <w:sz w:val="1"/>
                <w:szCs w:val="1"/>
                <w:color w:val="auto"/>
              </w:rPr>
            </w:pPr>
          </w:p>
        </w:tc>
      </w:tr>
      <w:tr>
        <w:trPr>
          <w:trHeight w:val="238"/>
        </w:trPr>
        <w:tc>
          <w:tcPr>
            <w:tcW w:w="2640" w:type="dxa"/>
            <w:vAlign w:val="bottom"/>
          </w:tcPr>
          <w:p>
            <w:pPr>
              <w:ind w:left="180"/>
              <w:spacing w:after="0"/>
              <w:rPr>
                <w:sz w:val="20"/>
                <w:szCs w:val="20"/>
                <w:color w:val="auto"/>
              </w:rPr>
            </w:pPr>
            <w:r>
              <w:rPr>
                <w:rFonts w:ascii="Arial" w:cs="Arial" w:eastAsia="Arial" w:hAnsi="Arial"/>
                <w:sz w:val="16"/>
                <w:szCs w:val="16"/>
                <w:color w:val="auto"/>
              </w:rPr>
              <w:t>(Income) loss from investments in</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640" w:type="dxa"/>
            <w:vAlign w:val="bottom"/>
          </w:tcPr>
          <w:p>
            <w:pPr>
              <w:ind w:left="180"/>
              <w:spacing w:after="0"/>
              <w:rPr>
                <w:sz w:val="20"/>
                <w:szCs w:val="20"/>
                <w:color w:val="auto"/>
              </w:rPr>
            </w:pPr>
            <w:r>
              <w:rPr>
                <w:rFonts w:ascii="Arial" w:cs="Arial" w:eastAsia="Arial" w:hAnsi="Arial"/>
                <w:sz w:val="16"/>
                <w:szCs w:val="16"/>
                <w:color w:val="auto"/>
              </w:rPr>
              <w:t>unconsolidated affiliates</w:t>
            </w:r>
          </w:p>
        </w:tc>
        <w:tc>
          <w:tcPr>
            <w:tcW w:w="120" w:type="dxa"/>
            <w:vAlign w:val="bottom"/>
          </w:tcPr>
          <w:p>
            <w:pPr>
              <w:spacing w:after="0"/>
              <w:rPr>
                <w:sz w:val="16"/>
                <w:szCs w:val="16"/>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(1,478)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5,473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(5,948)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(11,878)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(16,038)</w:t>
            </w:r>
          </w:p>
        </w:tc>
        <w:tc>
          <w:tcPr>
            <w:tcW w:w="0" w:type="dxa"/>
            <w:vAlign w:val="bottom"/>
          </w:tcPr>
          <w:p>
            <w:pPr>
              <w:spacing w:after="0"/>
              <w:rPr>
                <w:sz w:val="1"/>
                <w:szCs w:val="1"/>
                <w:color w:val="auto"/>
              </w:rPr>
            </w:pPr>
          </w:p>
        </w:tc>
      </w:tr>
      <w:tr>
        <w:trPr>
          <w:trHeight w:val="238"/>
        </w:trPr>
        <w:tc>
          <w:tcPr>
            <w:tcW w:w="2640" w:type="dxa"/>
            <w:vAlign w:val="bottom"/>
          </w:tcPr>
          <w:p>
            <w:pPr>
              <w:ind w:left="180"/>
              <w:spacing w:after="0"/>
              <w:rPr>
                <w:sz w:val="20"/>
                <w:szCs w:val="20"/>
                <w:color w:val="auto"/>
              </w:rPr>
            </w:pPr>
            <w:r>
              <w:rPr>
                <w:rFonts w:ascii="Arial" w:cs="Arial" w:eastAsia="Arial" w:hAnsi="Arial"/>
                <w:sz w:val="16"/>
                <w:szCs w:val="16"/>
                <w:color w:val="auto"/>
              </w:rPr>
              <w:t>Distributed income from</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640" w:type="dxa"/>
            <w:vAlign w:val="bottom"/>
          </w:tcPr>
          <w:p>
            <w:pPr>
              <w:ind w:left="180"/>
              <w:spacing w:after="0"/>
              <w:rPr>
                <w:sz w:val="20"/>
                <w:szCs w:val="20"/>
                <w:color w:val="auto"/>
              </w:rPr>
            </w:pPr>
            <w:r>
              <w:rPr>
                <w:rFonts w:ascii="Arial" w:cs="Arial" w:eastAsia="Arial" w:hAnsi="Arial"/>
                <w:sz w:val="16"/>
                <w:szCs w:val="16"/>
                <w:color w:val="auto"/>
              </w:rPr>
              <w:t>unconsolidated affiliates</w:t>
            </w:r>
          </w:p>
        </w:tc>
        <w:tc>
          <w:tcPr>
            <w:tcW w:w="120" w:type="dxa"/>
            <w:vAlign w:val="bottom"/>
          </w:tcPr>
          <w:p>
            <w:pPr>
              <w:spacing w:after="0"/>
              <w:rPr>
                <w:sz w:val="16"/>
                <w:szCs w:val="16"/>
                <w:color w:val="auto"/>
              </w:rPr>
            </w:pPr>
          </w:p>
        </w:tc>
        <w:tc>
          <w:tcPr>
            <w:tcW w:w="1600" w:type="dxa"/>
            <w:vAlign w:val="bottom"/>
          </w:tcPr>
          <w:p>
            <w:pPr>
              <w:jc w:val="right"/>
              <w:ind w:right="61"/>
              <w:spacing w:after="0"/>
              <w:rPr>
                <w:sz w:val="20"/>
                <w:szCs w:val="20"/>
                <w:color w:val="auto"/>
              </w:rPr>
            </w:pPr>
            <w:r>
              <w:rPr>
                <w:rFonts w:ascii="Arial" w:cs="Arial" w:eastAsia="Arial" w:hAnsi="Arial"/>
                <w:sz w:val="16"/>
                <w:szCs w:val="16"/>
                <w:color w:val="auto"/>
              </w:rPr>
              <w:t>1,153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2,197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4,842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5,129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10,632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5,560</w:t>
            </w:r>
          </w:p>
        </w:tc>
        <w:tc>
          <w:tcPr>
            <w:tcW w:w="0" w:type="dxa"/>
            <w:vAlign w:val="bottom"/>
          </w:tcPr>
          <w:p>
            <w:pPr>
              <w:spacing w:after="0"/>
              <w:rPr>
                <w:sz w:val="1"/>
                <w:szCs w:val="1"/>
                <w:color w:val="auto"/>
              </w:rPr>
            </w:pPr>
          </w:p>
        </w:tc>
      </w:tr>
      <w:tr>
        <w:trPr>
          <w:trHeight w:val="283"/>
        </w:trPr>
        <w:tc>
          <w:tcPr>
            <w:tcW w:w="2640" w:type="dxa"/>
            <w:vAlign w:val="bottom"/>
          </w:tcPr>
          <w:p>
            <w:pPr>
              <w:ind w:left="180"/>
              <w:spacing w:after="0"/>
              <w:rPr>
                <w:sz w:val="20"/>
                <w:szCs w:val="20"/>
                <w:color w:val="auto"/>
              </w:rPr>
            </w:pPr>
            <w:r>
              <w:rPr>
                <w:rFonts w:ascii="Arial" w:cs="Arial" w:eastAsia="Arial" w:hAnsi="Arial"/>
                <w:sz w:val="16"/>
                <w:szCs w:val="16"/>
                <w:color w:val="auto"/>
              </w:rPr>
              <w:t>Fixed charges</w:t>
            </w: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8,667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48,074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86,724</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75,743</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51,749</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31,103</w:t>
            </w:r>
          </w:p>
        </w:tc>
        <w:tc>
          <w:tcPr>
            <w:tcW w:w="0" w:type="dxa"/>
            <w:vAlign w:val="bottom"/>
          </w:tcPr>
          <w:p>
            <w:pPr>
              <w:spacing w:after="0"/>
              <w:rPr>
                <w:sz w:val="1"/>
                <w:szCs w:val="1"/>
                <w:color w:val="auto"/>
              </w:rPr>
            </w:pPr>
          </w:p>
        </w:tc>
      </w:tr>
      <w:tr>
        <w:trPr>
          <w:trHeight w:val="204"/>
        </w:trPr>
        <w:tc>
          <w:tcPr>
            <w:tcW w:w="2640" w:type="dxa"/>
            <w:vAlign w:val="bottom"/>
          </w:tcPr>
          <w:p>
            <w:pPr>
              <w:spacing w:after="0"/>
              <w:rPr>
                <w:sz w:val="20"/>
                <w:szCs w:val="20"/>
                <w:color w:val="auto"/>
              </w:rPr>
            </w:pPr>
            <w:r>
              <w:rPr>
                <w:rFonts w:ascii="Arial" w:cs="Arial" w:eastAsia="Arial" w:hAnsi="Arial"/>
                <w:sz w:val="16"/>
                <w:szCs w:val="16"/>
                <w:color w:val="auto"/>
              </w:rPr>
              <w:t>Total earnings available for fixed</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vMerge w:val="restart"/>
          </w:tcPr>
          <w:p>
            <w:pPr>
              <w:jc w:val="right"/>
              <w:ind w:right="61"/>
              <w:spacing w:after="0"/>
              <w:rPr>
                <w:sz w:val="20"/>
                <w:szCs w:val="20"/>
                <w:color w:val="auto"/>
              </w:rPr>
            </w:pPr>
            <w:r>
              <w:rPr>
                <w:rFonts w:ascii="Arial" w:cs="Arial" w:eastAsia="Arial" w:hAnsi="Arial"/>
                <w:sz w:val="16"/>
                <w:szCs w:val="16"/>
                <w:color w:val="auto"/>
              </w:rPr>
              <w:t>21,390</w:t>
            </w:r>
          </w:p>
        </w:tc>
        <w:tc>
          <w:tcPr>
            <w:tcW w:w="100" w:type="dxa"/>
            <w:vAlign w:val="bottom"/>
          </w:tcPr>
          <w:p>
            <w:pPr>
              <w:spacing w:after="0"/>
              <w:rPr>
                <w:sz w:val="17"/>
                <w:szCs w:val="17"/>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ind w:right="60"/>
              <w:spacing w:after="0"/>
              <w:rPr>
                <w:sz w:val="20"/>
                <w:szCs w:val="20"/>
                <w:color w:val="auto"/>
              </w:rPr>
            </w:pPr>
            <w:r>
              <w:rPr>
                <w:rFonts w:ascii="Arial" w:cs="Arial" w:eastAsia="Arial" w:hAnsi="Arial"/>
                <w:sz w:val="16"/>
                <w:szCs w:val="16"/>
                <w:color w:val="auto"/>
              </w:rPr>
              <w:t>50,889</w:t>
            </w:r>
          </w:p>
        </w:tc>
        <w:tc>
          <w:tcPr>
            <w:tcW w:w="10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21"/>
              <w:spacing w:after="0"/>
              <w:rPr>
                <w:sz w:val="20"/>
                <w:szCs w:val="20"/>
                <w:color w:val="auto"/>
              </w:rPr>
            </w:pPr>
            <w:r>
              <w:rPr>
                <w:rFonts w:ascii="Arial" w:cs="Arial" w:eastAsia="Arial" w:hAnsi="Arial"/>
                <w:sz w:val="16"/>
                <w:szCs w:val="16"/>
                <w:color w:val="auto"/>
              </w:rPr>
              <w:t>30,832</w:t>
            </w:r>
          </w:p>
        </w:tc>
        <w:tc>
          <w:tcPr>
            <w:tcW w:w="100" w:type="dxa"/>
            <w:vAlign w:val="bottom"/>
          </w:tcPr>
          <w:p>
            <w:pPr>
              <w:spacing w:after="0"/>
              <w:rPr>
                <w:sz w:val="17"/>
                <w:szCs w:val="17"/>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40"/>
              <w:spacing w:after="0"/>
              <w:rPr>
                <w:sz w:val="20"/>
                <w:szCs w:val="20"/>
                <w:color w:val="auto"/>
              </w:rPr>
            </w:pPr>
            <w:r>
              <w:rPr>
                <w:rFonts w:ascii="Arial" w:cs="Arial" w:eastAsia="Arial" w:hAnsi="Arial"/>
                <w:sz w:val="16"/>
                <w:szCs w:val="16"/>
                <w:color w:val="auto"/>
              </w:rPr>
              <w:t>82,813</w:t>
            </w:r>
          </w:p>
        </w:tc>
        <w:tc>
          <w:tcPr>
            <w:tcW w:w="120" w:type="dxa"/>
            <w:vAlign w:val="bottom"/>
          </w:tcPr>
          <w:p>
            <w:pPr>
              <w:spacing w:after="0"/>
              <w:rPr>
                <w:sz w:val="17"/>
                <w:szCs w:val="17"/>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ind w:right="60"/>
              <w:spacing w:after="0"/>
              <w:rPr>
                <w:sz w:val="20"/>
                <w:szCs w:val="20"/>
                <w:color w:val="auto"/>
              </w:rPr>
            </w:pPr>
            <w:r>
              <w:rPr>
                <w:rFonts w:ascii="Arial" w:cs="Arial" w:eastAsia="Arial" w:hAnsi="Arial"/>
                <w:sz w:val="16"/>
                <w:szCs w:val="16"/>
                <w:color w:val="auto"/>
              </w:rPr>
              <w:t>80,190</w:t>
            </w:r>
          </w:p>
        </w:tc>
        <w:tc>
          <w:tcPr>
            <w:tcW w:w="100" w:type="dxa"/>
            <w:vAlign w:val="bottom"/>
          </w:tcPr>
          <w:p>
            <w:pPr>
              <w:spacing w:after="0"/>
              <w:rPr>
                <w:sz w:val="17"/>
                <w:szCs w:val="17"/>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60"/>
              <w:spacing w:after="0"/>
              <w:rPr>
                <w:sz w:val="20"/>
                <w:szCs w:val="20"/>
                <w:color w:val="auto"/>
              </w:rPr>
            </w:pPr>
            <w:r>
              <w:rPr>
                <w:rFonts w:ascii="Arial" w:cs="Arial" w:eastAsia="Arial" w:hAnsi="Arial"/>
                <w:sz w:val="16"/>
                <w:szCs w:val="16"/>
                <w:color w:val="auto"/>
              </w:rPr>
              <w:t>166,764</w:t>
            </w:r>
          </w:p>
        </w:tc>
        <w:tc>
          <w:tcPr>
            <w:tcW w:w="0" w:type="dxa"/>
            <w:vAlign w:val="bottom"/>
          </w:tcPr>
          <w:p>
            <w:pPr>
              <w:spacing w:after="0"/>
              <w:rPr>
                <w:sz w:val="1"/>
                <w:szCs w:val="1"/>
                <w:color w:val="auto"/>
              </w:rPr>
            </w:pPr>
          </w:p>
        </w:tc>
      </w:tr>
      <w:tr>
        <w:trPr>
          <w:trHeight w:val="200"/>
        </w:trPr>
        <w:tc>
          <w:tcPr>
            <w:tcW w:w="2640" w:type="dxa"/>
            <w:vAlign w:val="bottom"/>
          </w:tcPr>
          <w:p>
            <w:pPr>
              <w:spacing w:after="0"/>
              <w:rPr>
                <w:sz w:val="20"/>
                <w:szCs w:val="20"/>
                <w:color w:val="auto"/>
              </w:rPr>
            </w:pPr>
            <w:r>
              <w:rPr>
                <w:rFonts w:ascii="Arial" w:cs="Arial" w:eastAsia="Arial" w:hAnsi="Arial"/>
                <w:sz w:val="16"/>
                <w:szCs w:val="16"/>
                <w:color w:val="auto"/>
              </w:rPr>
              <w:t>charges</w:t>
            </w:r>
          </w:p>
        </w:tc>
        <w:tc>
          <w:tcPr>
            <w:tcW w:w="12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6"/>
                <w:szCs w:val="16"/>
                <w:color w:val="auto"/>
              </w:rPr>
              <w:t>Fixed charges:</w:t>
            </w: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2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640" w:type="dxa"/>
            <w:vAlign w:val="bottom"/>
          </w:tcPr>
          <w:p>
            <w:pPr>
              <w:ind w:left="180"/>
              <w:spacing w:after="0"/>
              <w:rPr>
                <w:sz w:val="20"/>
                <w:szCs w:val="20"/>
                <w:color w:val="auto"/>
              </w:rPr>
            </w:pPr>
            <w:r>
              <w:rPr>
                <w:rFonts w:ascii="Arial" w:cs="Arial" w:eastAsia="Arial" w:hAnsi="Arial"/>
                <w:sz w:val="16"/>
                <w:szCs w:val="16"/>
                <w:color w:val="auto"/>
              </w:rPr>
              <w:t>Interest expense including</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640" w:type="dxa"/>
            <w:vAlign w:val="bottom"/>
          </w:tcPr>
          <w:p>
            <w:pPr>
              <w:ind w:left="180"/>
              <w:spacing w:after="0"/>
              <w:rPr>
                <w:sz w:val="20"/>
                <w:szCs w:val="20"/>
                <w:color w:val="auto"/>
              </w:rPr>
            </w:pPr>
            <w:r>
              <w:rPr>
                <w:rFonts w:ascii="Arial" w:cs="Arial" w:eastAsia="Arial" w:hAnsi="Arial"/>
                <w:sz w:val="16"/>
                <w:szCs w:val="16"/>
                <w:color w:val="auto"/>
              </w:rPr>
              <w:t>amortization of discounts and</w:t>
            </w: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tcPr>
          <w:p>
            <w:pPr>
              <w:ind w:left="180"/>
              <w:spacing w:after="0"/>
              <w:rPr>
                <w:sz w:val="20"/>
                <w:szCs w:val="20"/>
                <w:color w:val="auto"/>
              </w:rPr>
            </w:pPr>
            <w:r>
              <w:rPr>
                <w:rFonts w:ascii="Arial" w:cs="Arial" w:eastAsia="Arial" w:hAnsi="Arial"/>
                <w:sz w:val="16"/>
                <w:szCs w:val="16"/>
                <w:color w:val="auto"/>
              </w:rPr>
              <w:t>capitalized expenses related to</w:t>
            </w: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40" w:type="dxa"/>
            <w:vAlign w:val="bottom"/>
          </w:tcPr>
          <w:p>
            <w:pPr>
              <w:ind w:left="180"/>
              <w:spacing w:after="0"/>
              <w:rPr>
                <w:sz w:val="20"/>
                <w:szCs w:val="20"/>
                <w:color w:val="auto"/>
              </w:rPr>
            </w:pPr>
            <w:r>
              <w:rPr>
                <w:rFonts w:ascii="Arial" w:cs="Arial" w:eastAsia="Arial" w:hAnsi="Arial"/>
                <w:sz w:val="16"/>
                <w:szCs w:val="16"/>
                <w:color w:val="auto"/>
              </w:rPr>
              <w:t>indebtedness (b)</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61"/>
              <w:spacing w:after="0"/>
              <w:rPr>
                <w:sz w:val="20"/>
                <w:szCs w:val="20"/>
                <w:color w:val="auto"/>
              </w:rPr>
            </w:pPr>
            <w:r>
              <w:rPr>
                <w:rFonts w:ascii="Arial" w:cs="Arial" w:eastAsia="Arial" w:hAnsi="Arial"/>
                <w:sz w:val="16"/>
                <w:szCs w:val="16"/>
                <w:color w:val="auto"/>
              </w:rPr>
              <w:t>5,565</w:t>
            </w:r>
          </w:p>
        </w:tc>
        <w:tc>
          <w:tcPr>
            <w:tcW w:w="10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33,444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42,202</w:t>
            </w:r>
          </w:p>
        </w:tc>
        <w:tc>
          <w:tcPr>
            <w:tcW w:w="100" w:type="dxa"/>
            <w:vAlign w:val="bottom"/>
          </w:tcPr>
          <w:p>
            <w:pPr>
              <w:spacing w:after="0"/>
              <w:rPr>
                <w:sz w:val="16"/>
                <w:szCs w:val="16"/>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28,388</w:t>
            </w:r>
          </w:p>
        </w:tc>
        <w:tc>
          <w:tcPr>
            <w:tcW w:w="120" w:type="dxa"/>
            <w:vAlign w:val="bottom"/>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16,190</w:t>
            </w:r>
          </w:p>
        </w:tc>
        <w:tc>
          <w:tcPr>
            <w:tcW w:w="10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38"/>
        </w:trPr>
        <w:tc>
          <w:tcPr>
            <w:tcW w:w="2640" w:type="dxa"/>
            <w:vAlign w:val="bottom"/>
          </w:tcPr>
          <w:p>
            <w:pPr>
              <w:ind w:left="180"/>
              <w:spacing w:after="0"/>
              <w:rPr>
                <w:sz w:val="20"/>
                <w:szCs w:val="20"/>
                <w:color w:val="auto"/>
              </w:rPr>
            </w:pPr>
            <w:r>
              <w:rPr>
                <w:rFonts w:ascii="Arial" w:cs="Arial" w:eastAsia="Arial" w:hAnsi="Arial"/>
                <w:sz w:val="16"/>
                <w:szCs w:val="16"/>
                <w:color w:val="auto"/>
              </w:rPr>
              <w:t>Estimated interest portion of</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640" w:type="dxa"/>
            <w:vAlign w:val="bottom"/>
          </w:tcPr>
          <w:p>
            <w:pPr>
              <w:ind w:left="180"/>
              <w:spacing w:after="0"/>
              <w:rPr>
                <w:sz w:val="20"/>
                <w:szCs w:val="20"/>
                <w:color w:val="auto"/>
              </w:rPr>
            </w:pPr>
            <w:r>
              <w:rPr>
                <w:rFonts w:ascii="Arial" w:cs="Arial" w:eastAsia="Arial" w:hAnsi="Arial"/>
                <w:sz w:val="16"/>
                <w:szCs w:val="16"/>
                <w:color w:val="auto"/>
              </w:rPr>
              <w:t>rental expense</w:t>
            </w:r>
          </w:p>
        </w:tc>
        <w:tc>
          <w:tcPr>
            <w:tcW w:w="120" w:type="dxa"/>
            <w:vAlign w:val="bottom"/>
          </w:tcPr>
          <w:p>
            <w:pPr>
              <w:spacing w:after="0"/>
              <w:rPr>
                <w:sz w:val="16"/>
                <w:szCs w:val="16"/>
                <w:color w:val="auto"/>
              </w:rPr>
            </w:pPr>
          </w:p>
        </w:tc>
        <w:tc>
          <w:tcPr>
            <w:tcW w:w="1600" w:type="dxa"/>
            <w:vAlign w:val="bottom"/>
          </w:tcPr>
          <w:p>
            <w:pPr>
              <w:jc w:val="right"/>
              <w:ind w:right="61"/>
              <w:spacing w:after="0"/>
              <w:rPr>
                <w:sz w:val="20"/>
                <w:szCs w:val="20"/>
                <w:color w:val="auto"/>
              </w:rPr>
            </w:pPr>
            <w:r>
              <w:rPr>
                <w:rFonts w:ascii="Arial" w:cs="Arial" w:eastAsia="Arial" w:hAnsi="Arial"/>
                <w:sz w:val="16"/>
                <w:szCs w:val="16"/>
                <w:color w:val="auto"/>
              </w:rPr>
              <w:t>3,102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12,828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15,450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12,645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10,863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7,674</w:t>
            </w:r>
          </w:p>
        </w:tc>
        <w:tc>
          <w:tcPr>
            <w:tcW w:w="0" w:type="dxa"/>
            <w:vAlign w:val="bottom"/>
          </w:tcPr>
          <w:p>
            <w:pPr>
              <w:spacing w:after="0"/>
              <w:rPr>
                <w:sz w:val="1"/>
                <w:szCs w:val="1"/>
                <w:color w:val="auto"/>
              </w:rPr>
            </w:pPr>
          </w:p>
        </w:tc>
      </w:tr>
      <w:tr>
        <w:trPr>
          <w:trHeight w:val="283"/>
        </w:trPr>
        <w:tc>
          <w:tcPr>
            <w:tcW w:w="2640" w:type="dxa"/>
            <w:vAlign w:val="bottom"/>
          </w:tcPr>
          <w:p>
            <w:pPr>
              <w:ind w:left="180"/>
              <w:spacing w:after="0"/>
              <w:rPr>
                <w:sz w:val="20"/>
                <w:szCs w:val="20"/>
                <w:color w:val="auto"/>
              </w:rPr>
            </w:pPr>
            <w:r>
              <w:rPr>
                <w:rFonts w:ascii="Arial" w:cs="Arial" w:eastAsia="Arial" w:hAnsi="Arial"/>
                <w:sz w:val="16"/>
                <w:szCs w:val="16"/>
                <w:color w:val="auto"/>
              </w:rPr>
              <w:t>Losses under guarantees, net (c)</w:t>
            </w:r>
          </w:p>
        </w:tc>
        <w:tc>
          <w:tcPr>
            <w:tcW w:w="120" w:type="dxa"/>
            <w:vAlign w:val="bottom"/>
          </w:tcPr>
          <w:p>
            <w:pPr>
              <w:spacing w:after="0"/>
              <w:rPr>
                <w:sz w:val="24"/>
                <w:szCs w:val="24"/>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1,802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29,072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34,710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24,696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24,171</w:t>
            </w: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r>
              <w:rPr>
                <w:rFonts w:ascii="Arial" w:cs="Arial" w:eastAsia="Arial" w:hAnsi="Arial"/>
                <w:sz w:val="16"/>
                <w:szCs w:val="16"/>
                <w:color w:val="auto"/>
              </w:rPr>
              <w:t>Total fixed charges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8,667</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48,074</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86,724</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75,743</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51,749</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31,103</w:t>
            </w: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6"/>
                <w:szCs w:val="16"/>
                <w:b w:val="1"/>
                <w:bCs w:val="1"/>
                <w:color w:val="auto"/>
              </w:rPr>
              <w:t>Ratio of earnings to fixed</w:t>
            </w: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8"/>
        </w:trPr>
        <w:tc>
          <w:tcPr>
            <w:tcW w:w="2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vMerge w:val="restart"/>
          </w:tcPr>
          <w:p>
            <w:pPr>
              <w:ind w:left="1140"/>
              <w:spacing w:after="0"/>
              <w:rPr>
                <w:sz w:val="20"/>
                <w:szCs w:val="20"/>
                <w:color w:val="auto"/>
              </w:rPr>
            </w:pPr>
            <w:r>
              <w:rPr>
                <w:rFonts w:ascii="Arial" w:cs="Arial" w:eastAsia="Arial" w:hAnsi="Arial"/>
                <w:sz w:val="16"/>
                <w:szCs w:val="16"/>
                <w:b w:val="1"/>
                <w:bCs w:val="1"/>
                <w:color w:val="auto"/>
              </w:rPr>
              <w:t>2.47x</w:t>
            </w:r>
          </w:p>
        </w:tc>
        <w:tc>
          <w:tcPr>
            <w:tcW w:w="260" w:type="dxa"/>
            <w:vAlign w:val="bottom"/>
          </w:tcPr>
          <w:p>
            <w:pPr>
              <w:spacing w:after="0"/>
              <w:rPr>
                <w:sz w:val="24"/>
                <w:szCs w:val="24"/>
                <w:color w:val="auto"/>
              </w:rPr>
            </w:pPr>
          </w:p>
        </w:tc>
        <w:tc>
          <w:tcPr>
            <w:tcW w:w="980" w:type="dxa"/>
            <w:vAlign w:val="bottom"/>
            <w:gridSpan w:val="2"/>
            <w:vMerge w:val="restart"/>
          </w:tcPr>
          <w:p>
            <w:pPr>
              <w:ind w:left="440"/>
              <w:spacing w:after="0"/>
              <w:rPr>
                <w:sz w:val="20"/>
                <w:szCs w:val="20"/>
                <w:color w:val="auto"/>
              </w:rPr>
            </w:pPr>
            <w:r>
              <w:rPr>
                <w:rFonts w:ascii="Arial" w:cs="Arial" w:eastAsia="Arial" w:hAnsi="Arial"/>
                <w:sz w:val="16"/>
                <w:szCs w:val="16"/>
                <w:b w:val="1"/>
                <w:bCs w:val="1"/>
                <w:color w:val="auto"/>
              </w:rPr>
              <w:t>1.06x</w:t>
            </w:r>
          </w:p>
        </w:tc>
        <w:tc>
          <w:tcPr>
            <w:tcW w:w="160" w:type="dxa"/>
            <w:vAlign w:val="bottom"/>
          </w:tcPr>
          <w:p>
            <w:pPr>
              <w:spacing w:after="0"/>
              <w:rPr>
                <w:sz w:val="24"/>
                <w:szCs w:val="24"/>
                <w:color w:val="auto"/>
              </w:rPr>
            </w:pPr>
          </w:p>
        </w:tc>
        <w:tc>
          <w:tcPr>
            <w:tcW w:w="960" w:type="dxa"/>
            <w:vAlign w:val="bottom"/>
            <w:gridSpan w:val="2"/>
            <w:vMerge w:val="restart"/>
          </w:tcPr>
          <w:p>
            <w:pPr>
              <w:ind w:left="540"/>
              <w:spacing w:after="0"/>
              <w:rPr>
                <w:sz w:val="20"/>
                <w:szCs w:val="20"/>
                <w:color w:val="auto"/>
              </w:rPr>
            </w:pPr>
            <w:r>
              <w:rPr>
                <w:rFonts w:ascii="Arial" w:cs="Arial" w:eastAsia="Arial" w:hAnsi="Arial"/>
                <w:sz w:val="16"/>
                <w:szCs w:val="16"/>
                <w:b w:val="1"/>
                <w:bCs w:val="1"/>
                <w:color w:val="auto"/>
              </w:rPr>
              <w:t>(d)</w:t>
            </w:r>
          </w:p>
        </w:tc>
        <w:tc>
          <w:tcPr>
            <w:tcW w:w="240" w:type="dxa"/>
            <w:vAlign w:val="bottom"/>
          </w:tcPr>
          <w:p>
            <w:pPr>
              <w:spacing w:after="0"/>
              <w:rPr>
                <w:sz w:val="24"/>
                <w:szCs w:val="24"/>
                <w:color w:val="auto"/>
              </w:rPr>
            </w:pPr>
          </w:p>
        </w:tc>
        <w:tc>
          <w:tcPr>
            <w:tcW w:w="92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1.09x</w:t>
            </w:r>
          </w:p>
        </w:tc>
        <w:tc>
          <w:tcPr>
            <w:tcW w:w="300" w:type="dxa"/>
            <w:vAlign w:val="bottom"/>
          </w:tcPr>
          <w:p>
            <w:pPr>
              <w:spacing w:after="0"/>
              <w:rPr>
                <w:sz w:val="24"/>
                <w:szCs w:val="24"/>
                <w:color w:val="auto"/>
              </w:rPr>
            </w:pPr>
          </w:p>
        </w:tc>
        <w:tc>
          <w:tcPr>
            <w:tcW w:w="84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1.55x</w:t>
            </w:r>
          </w:p>
        </w:tc>
        <w:tc>
          <w:tcPr>
            <w:tcW w:w="22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5.36x</w:t>
            </w:r>
          </w:p>
        </w:tc>
        <w:tc>
          <w:tcPr>
            <w:tcW w:w="0" w:type="dxa"/>
            <w:vAlign w:val="bottom"/>
          </w:tcPr>
          <w:p>
            <w:pPr>
              <w:spacing w:after="0"/>
              <w:rPr>
                <w:sz w:val="1"/>
                <w:szCs w:val="1"/>
                <w:color w:val="auto"/>
              </w:rPr>
            </w:pPr>
          </w:p>
        </w:tc>
      </w:tr>
      <w:tr>
        <w:trPr>
          <w:trHeight w:val="218"/>
        </w:trPr>
        <w:tc>
          <w:tcPr>
            <w:tcW w:w="2640" w:type="dxa"/>
            <w:vAlign w:val="bottom"/>
          </w:tcPr>
          <w:p>
            <w:pPr>
              <w:spacing w:after="0"/>
              <w:rPr>
                <w:sz w:val="20"/>
                <w:szCs w:val="20"/>
                <w:color w:val="auto"/>
              </w:rPr>
            </w:pPr>
            <w:r>
              <w:rPr>
                <w:rFonts w:ascii="Arial" w:cs="Arial" w:eastAsia="Arial" w:hAnsi="Arial"/>
                <w:sz w:val="16"/>
                <w:szCs w:val="16"/>
                <w:b w:val="1"/>
                <w:bCs w:val="1"/>
                <w:color w:val="auto"/>
              </w:rPr>
              <w:t>charges</w:t>
            </w:r>
          </w:p>
        </w:tc>
        <w:tc>
          <w:tcPr>
            <w:tcW w:w="12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360045</wp:posOffset>
            </wp:positionV>
            <wp:extent cx="5918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Amounts are presented as recast to exclude the results of operations discontinued in fiscal 2016 and prior.</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There was no significant interest associated with uncertain tax positions for any period presented.</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Amounts are presented net of recoveries of previous losses.</w:t>
      </w:r>
    </w:p>
    <w:p>
      <w:pPr>
        <w:spacing w:after="0" w:line="55" w:lineRule="exact"/>
        <w:rPr>
          <w:rFonts w:ascii="Arial" w:cs="Arial" w:eastAsia="Arial" w:hAnsi="Arial"/>
          <w:sz w:val="14"/>
          <w:szCs w:val="14"/>
          <w:color w:val="auto"/>
        </w:rPr>
      </w:pPr>
    </w:p>
    <w:p>
      <w:pPr>
        <w:ind w:left="340" w:right="200" w:hanging="332"/>
        <w:spacing w:after="0" w:line="258"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ratio as computed for fiscal 2015 was less than 1.0 as earnings were not adequate to cover fixed charges. Additional earnings of approximately $56 million would have been necessary to bring the ratio to 1.0.</w:t>
      </w:r>
    </w:p>
    <w:p>
      <w:pPr>
        <w:sectPr>
          <w:pgSz w:w="11900" w:h="16838" w:orient="portrait"/>
          <w:cols w:equalWidth="0" w:num="1">
            <w:col w:w="11420"/>
          </w:cols>
          <w:pgMar w:left="240" w:top="118"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hereby consent to the incorporation by reference in this Pre-Effective Amendment No. 1 to Registration Statement No. 333-202626 on Form S-3 of our reports dated December 14, 2016, relating to the consolidated financial statements and the effectiveness of EZCORP, Inc.’s internal control over financial reporting appearing in the Company’s Annual Report on Form 10 -K for the year ended September 30, 2016. We also have audited the retrospective adjustments for the 2014 financial statements related to the discontinued operations of Grupo Finmart.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BDO USA, LLP</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3, 2017</w:t>
      </w:r>
    </w:p>
    <w:p>
      <w:pPr>
        <w:sectPr>
          <w:pgSz w:w="11900" w:h="16838" w:orient="portrait"/>
          <w:cols w:equalWidth="0" w:num="1">
            <w:col w:w="11420"/>
          </w:cols>
          <w:pgMar w:left="240" w:top="118"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consent to the incorporation by reference in this Amendment No. 1 to Registration No. 333-202626 on Form S-3 of our report dated November 26, 2014 (November 9, 2015 as to the effects of the restatement discussed in Note 22; December 23, 2015 as to Note 3 (relating to the adjustments for discontinued operations arising in 2015) and Note 18 (relating to the change in reportable segments in 2015); December 13, 2016 as to the effects of the restatement discussed in Note 2.), relating to the consolidated statements of operations, comprehensive loss, stockholders’ equity and cash flows for the year ended September 30, 2014 (the “2014 financial statements”) (before the retrospective adjustments to the 2014 financial statements for the adoption of ASU 2014-08 ) (not presented herein) of EZCORP, Inc. and subsidiaries (which report expresses an unqualified opinion; includes an explanatory paragraph that the retrospective adjustments to the 2014 financial statements for the adoption of ASU 2014-08 were audited by other auditors; and includes an explanatory paragraph related to the restatement of the 2014 consolidated financial statements), appearing in the Annual Report on Form 10-K of EZCORP, Inc. for the year ended September 30, 2016, and to the reference to us under the heading "Experts" in the Prospectus, which is part of this Registration Statement.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3, 2017</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lvl w:ilvl="1">
      <w:lvlJc w:val="left"/>
      <w:lvlText w:val="(%2)"/>
      <w:numFmt w:val="decimal"/>
      <w:start w:val="2"/>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lowerLetter"/>
      <w:start w:val="1"/>
    </w:lvl>
    <w:lvl w:ilvl="1">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13"/>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2"/>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1"/>
    </w:lvl>
    <w:lvl w:ilvl="1">
      <w:lvlJc w:val="left"/>
      <w:lvlText w:val="(%2)"/>
      <w:numFmt w:val="lowerLetter"/>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2"/>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lowerLetter"/>
      <w:start w:val="1"/>
    </w:lvl>
  </w:abstractNum>
  <w:abstractNum w:abstractNumId="27">
    <w:nsid w:val="4516DDE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8">
    <w:nsid w:val="3006C83E"/>
    <w:multiLevelType w:val="hybridMultilevel"/>
    <w:lvl w:ilvl="0">
      <w:lvlJc w:val="left"/>
      <w:lvlText w:val="(%1)"/>
      <w:numFmt w:val="lowerRoman"/>
      <w:start w:val="3"/>
    </w:lvl>
  </w:abstractNum>
  <w:abstractNum w:abstractNumId="29">
    <w:nsid w:val="614FD4A1"/>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2"/>
    </w:lvl>
  </w:abstractNum>
  <w:abstractNum w:abstractNumId="30">
    <w:nsid w:val="419AC241"/>
    <w:multiLevelType w:val="hybridMultilevel"/>
    <w:lvl w:ilvl="0">
      <w:lvlJc w:val="left"/>
      <w:lvlText w:val="(%1)"/>
      <w:numFmt w:val="lowerRoman"/>
      <w:start w:val="1"/>
    </w:lvl>
  </w:abstractNum>
  <w:abstractNum w:abstractNumId="31">
    <w:nsid w:val="5577F8E1"/>
    <w:multiLevelType w:val="hybridMultilevel"/>
    <w:lvl w:ilvl="0">
      <w:lvlJc w:val="left"/>
      <w:lvlText w:val="%1"/>
      <w:numFmt w:val="lowerLetter"/>
      <w:start w:val="1"/>
    </w:lvl>
    <w:lvl w:ilvl="1">
      <w:lvlJc w:val="left"/>
      <w:lvlText w:val="(%2)"/>
      <w:numFmt w:val="lowerRoman"/>
      <w:start w:val="4"/>
    </w:lvl>
  </w:abstractNum>
  <w:abstractNum w:abstractNumId="32">
    <w:nsid w:val="440BADFC"/>
    <w:multiLevelType w:val="hybridMultilevel"/>
    <w:lvl w:ilvl="0">
      <w:lvlJc w:val="left"/>
      <w:lvlText w:val="(%1)"/>
      <w:numFmt w:val="lowerLetter"/>
      <w:start w:val="2"/>
    </w:lvl>
    <w:lvl w:ilvl="1">
      <w:lvlJc w:val="left"/>
      <w:lvlText w:val="%2"/>
      <w:numFmt w:val="lowerRoman"/>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3"/>
    </w:lvl>
  </w:abstractNum>
  <w:abstractNum w:abstractNumId="37">
    <w:nsid w:val="5C482A9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2020-01-16T03:57:18Z</dcterms:created>
  <dcterms:modified xsi:type="dcterms:W3CDTF">2020-01-16T03:57:18Z</dcterms:modified>
</cp:coreProperties>
</file>