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40" w:before="0" w:after="0"/>
        <w:jc w:val="center"/>
        <w:rPr>
          <w:rFonts w:ascii="inherit" w:hAnsi="inherit"/>
          <w:b/>
          <w:sz w:val="15"/>
        </w:rPr>
      </w:pPr>
      <w:bookmarkStart w:id="0" w:name="sD33EEB9C8325262232189EADD203DC60"/>
      <w:bookmarkStart w:id="1" w:name="a2013109-2010ltipformsx8ez.htm"/>
      <w:bookmarkStart w:id="2" w:name="ksa20131092010ltipformsx8ez"/>
      <w:bookmarkEnd w:id="0"/>
      <w:bookmarkEnd w:id="1"/>
      <w:bookmarkEnd w:id="2"/>
      <w:r>
        <w:rPr>
          <w:rFonts w:ascii="inherit" w:hAnsi="inherit"/>
          <w:b/>
          <w:sz w:val="15"/>
        </w:rPr>
        <w:t>As filed with the Securities and Exchange Commission on October 10, 2013</w:t>
      </w:r>
    </w:p>
    <w:p>
      <w:pPr>
        <w:pStyle w:val="TextBody"/>
        <w:spacing w:lineRule="auto" w:line="240" w:before="0" w:after="0"/>
        <w:jc w:val="right"/>
        <w:rPr>
          <w:rFonts w:ascii="inherit" w:hAnsi="inherit"/>
          <w:b/>
          <w:sz w:val="15"/>
        </w:rPr>
      </w:pPr>
      <w:r>
        <w:rPr>
          <w:rFonts w:ascii="inherit" w:hAnsi="inherit"/>
          <w:b/>
          <w:sz w:val="15"/>
        </w:rPr>
        <w:t>Registration No. 333-         </w:t>
      </w:r>
    </w:p>
    <w:tbl>
      <w:tblPr>
        <w:tblW w:w="309" w:type="dxa"/>
        <w:jc w:val="center"/>
        <w:tblInd w:w="0" w:type="dxa"/>
        <w:tblCellMar>
          <w:top w:w="0" w:type="dxa"/>
          <w:left w:w="0" w:type="dxa"/>
          <w:bottom w:w="0" w:type="dxa"/>
          <w:right w:w="0" w:type="dxa"/>
        </w:tblCellMar>
      </w:tblPr>
      <w:tblGrid>
        <w:gridCol w:w="105"/>
        <w:gridCol w:w="102"/>
        <w:gridCol w:w="102"/>
      </w:tblGrid>
      <w:tr>
        <w:trPr/>
        <w:tc>
          <w:tcPr>
            <w:tcW w:w="309"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2"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2"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sz w:val="23"/>
        </w:rPr>
      </w:pPr>
      <w:r>
        <w:rPr>
          <w:rFonts w:ascii="inherit" w:hAnsi="inherit"/>
          <w:b/>
          <w:sz w:val="23"/>
        </w:rPr>
        <w:t>UNITED STATES</w:t>
      </w:r>
      <w:r>
        <w:rPr>
          <w:sz w:val="23"/>
        </w:rPr>
        <w:t xml:space="preserve"> </w:t>
      </w:r>
      <w:r>
        <w:rPr>
          <w:rFonts w:ascii="inherit" w:hAnsi="inherit"/>
          <w:sz w:val="17"/>
        </w:rPr>
        <w:br/>
      </w:r>
      <w:r>
        <w:rPr>
          <w:rFonts w:ascii="inherit" w:hAnsi="inherit"/>
          <w:b/>
          <w:sz w:val="23"/>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rFonts w:ascii="inherit" w:hAnsi="inherit"/>
          <w:b/>
          <w:sz w:val="33"/>
        </w:rPr>
      </w:pPr>
      <w:r>
        <w:rPr>
          <w:rFonts w:ascii="inherit" w:hAnsi="inherit"/>
          <w:b/>
          <w:sz w:val="33"/>
        </w:rPr>
        <w:t>FORM S</w:t>
        <w:noBreakHyphen/>
        <w:t xml:space="preserve">8 </w:t>
      </w:r>
    </w:p>
    <w:p>
      <w:pPr>
        <w:pStyle w:val="TextBody"/>
        <w:spacing w:lineRule="auto" w:line="240" w:before="0" w:after="0"/>
        <w:jc w:val="center"/>
        <w:rPr>
          <w:sz w:val="17"/>
        </w:rPr>
      </w:pPr>
      <w:r>
        <w:rPr>
          <w:rFonts w:ascii="inherit" w:hAnsi="inherit"/>
          <w:b/>
          <w:sz w:val="17"/>
        </w:rPr>
        <w:t>REGISTRATION STATEMENT</w:t>
      </w:r>
      <w:r>
        <w:rPr>
          <w:sz w:val="17"/>
        </w:rPr>
        <w:t xml:space="preserve"> </w:t>
      </w:r>
      <w:r>
        <w:rPr>
          <w:rFonts w:ascii="inherit" w:hAnsi="inherit"/>
          <w:sz w:val="17"/>
        </w:rPr>
        <w:br/>
      </w:r>
      <w:r>
        <w:rPr>
          <w:rFonts w:ascii="inherit" w:hAnsi="inherit"/>
          <w:b/>
          <w:sz w:val="17"/>
        </w:rPr>
        <w:t>UNDER</w:t>
      </w:r>
      <w:r>
        <w:rPr>
          <w:sz w:val="17"/>
        </w:rPr>
        <w:t xml:space="preserve"> </w:t>
      </w:r>
      <w:r>
        <w:rPr>
          <w:rFonts w:ascii="inherit" w:hAnsi="inherit"/>
          <w:sz w:val="17"/>
        </w:rPr>
        <w:br/>
      </w:r>
      <w:r>
        <w:rPr>
          <w:rFonts w:ascii="inherit" w:hAnsi="inherit"/>
          <w:b/>
          <w:sz w:val="17"/>
        </w:rPr>
        <w:t>THE SECURITIES ACT OF 1933</w:t>
      </w:r>
    </w:p>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40" w:before="0" w:after="0"/>
        <w:jc w:val="center"/>
        <w:rPr>
          <w:rFonts w:ascii="inherit" w:hAnsi="inherit"/>
          <w:b/>
          <w:sz w:val="20"/>
        </w:rPr>
      </w:pPr>
      <w:r>
        <w:rPr>
          <w:rFonts w:ascii="inherit" w:hAnsi="inherit"/>
          <w:b/>
          <w:sz w:val="20"/>
        </w:rPr>
        <w:t>EZCORP, INC.</w:t>
      </w:r>
    </w:p>
    <w:p>
      <w:pPr>
        <w:pStyle w:val="TextBody"/>
        <w:spacing w:lineRule="auto" w:line="240" w:before="0" w:after="0"/>
        <w:jc w:val="center"/>
        <w:rPr>
          <w:rFonts w:ascii="inherit" w:hAnsi="inherit"/>
          <w:i/>
          <w:sz w:val="13"/>
        </w:rPr>
      </w:pPr>
      <w:r>
        <w:rPr>
          <w:rFonts w:ascii="inherit" w:hAnsi="inherit"/>
          <w:i/>
          <w:sz w:val="13"/>
        </w:rPr>
        <w:t>(Exact name of registrant as specified in its charter)</w:t>
      </w:r>
    </w:p>
    <w:p>
      <w:pPr>
        <w:pStyle w:val="TextBody"/>
        <w:spacing w:lineRule="auto" w:line="240" w:before="0" w:after="0"/>
        <w:jc w:val="center"/>
        <w:rPr>
          <w:rFonts w:ascii="inherit" w:hAnsi="inherit"/>
          <w:sz w:val="13"/>
        </w:rPr>
      </w:pPr>
      <w:r>
        <w:rPr>
          <w:rFonts w:ascii="inherit" w:hAnsi="inherit"/>
          <w:sz w:val="13"/>
        </w:rPr>
      </w:r>
    </w:p>
    <w:tbl>
      <w:tblPr>
        <w:tblW w:w="5764" w:type="dxa"/>
        <w:jc w:val="left"/>
        <w:tblInd w:w="0" w:type="dxa"/>
        <w:tblCellMar>
          <w:top w:w="0" w:type="dxa"/>
          <w:left w:w="0" w:type="dxa"/>
          <w:bottom w:w="0" w:type="dxa"/>
          <w:right w:w="0" w:type="dxa"/>
        </w:tblCellMar>
      </w:tblPr>
      <w:tblGrid>
        <w:gridCol w:w="2882"/>
        <w:gridCol w:w="2882"/>
      </w:tblGrid>
      <w:tr>
        <w:trPr/>
        <w:tc>
          <w:tcPr>
            <w:tcW w:w="5764" w:type="dxa"/>
            <w:gridSpan w:val="2"/>
            <w:tcBorders/>
            <w:shd w:fill="auto" w:val="clear"/>
            <w:vAlign w:val="center"/>
          </w:tcPr>
          <w:p>
            <w:pPr>
              <w:pStyle w:val="TableContents"/>
              <w:spacing w:before="0" w:after="283"/>
              <w:rPr>
                <w:sz w:val="4"/>
                <w:szCs w:val="4"/>
              </w:rPr>
            </w:pPr>
            <w:r>
              <w:rPr>
                <w:sz w:val="4"/>
                <w:szCs w:val="4"/>
              </w:rPr>
            </w:r>
          </w:p>
        </w:tc>
      </w:tr>
      <w:tr>
        <w:trPr/>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ind w:left="0" w:right="0" w:firstLine="30"/>
              <w:jc w:val="center"/>
              <w:rPr>
                <w:rFonts w:ascii="inherit" w:hAnsi="inherit"/>
                <w:i/>
                <w:sz w:val="13"/>
              </w:rPr>
            </w:pPr>
            <w:r>
              <w:rPr>
                <w:rFonts w:ascii="inherit" w:hAnsi="inherit"/>
                <w:i/>
                <w:sz w:val="13"/>
              </w:rPr>
              <w:t xml:space="preserve">(State or other jurisdiction </w:t>
              <w:br/>
              <w:t>of incorporation or organization)</w:t>
            </w:r>
          </w:p>
        </w:tc>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74</w:t>
              <w:noBreakHyphen/>
              <w:t>2540145</w:t>
            </w:r>
          </w:p>
          <w:p>
            <w:pPr>
              <w:pStyle w:val="TableContents"/>
              <w:spacing w:before="0" w:after="0"/>
              <w:ind w:left="0" w:right="0" w:firstLine="30"/>
              <w:jc w:val="center"/>
              <w:rPr>
                <w:rFonts w:ascii="inherit" w:hAnsi="inherit"/>
                <w:i/>
                <w:sz w:val="13"/>
              </w:rPr>
            </w:pPr>
            <w:r>
              <w:rPr>
                <w:rFonts w:ascii="inherit" w:hAnsi="inherit"/>
                <w:i/>
                <w:sz w:val="13"/>
              </w:rPr>
              <w:t xml:space="preserve">(I.R.S. Employer </w:t>
              <w:br/>
              <w:t>Identification Number)</w:t>
            </w:r>
          </w:p>
        </w:tc>
      </w:tr>
      <w:tr>
        <w:trPr/>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1901 Capital Parkway </w:t>
              <w:br/>
              <w:t>Austin, Texas</w:t>
            </w:r>
          </w:p>
          <w:p>
            <w:pPr>
              <w:pStyle w:val="TableContents"/>
              <w:spacing w:before="0" w:after="0"/>
              <w:ind w:left="0" w:right="0" w:firstLine="30"/>
              <w:jc w:val="center"/>
              <w:rPr>
                <w:rFonts w:ascii="inherit" w:hAnsi="inherit"/>
                <w:i/>
                <w:sz w:val="13"/>
              </w:rPr>
            </w:pPr>
            <w:r>
              <w:rPr>
                <w:rFonts w:ascii="inherit" w:hAnsi="inherit"/>
                <w:i/>
                <w:sz w:val="13"/>
              </w:rPr>
              <w:t>(Address of principal executive offices)</w:t>
            </w:r>
          </w:p>
        </w:tc>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78746</w:t>
            </w:r>
          </w:p>
          <w:p>
            <w:pPr>
              <w:pStyle w:val="TableContents"/>
              <w:spacing w:before="0" w:after="0"/>
              <w:jc w:val="center"/>
              <w:rPr>
                <w:rFonts w:ascii="inherit" w:hAnsi="inherit"/>
                <w:i/>
                <w:sz w:val="13"/>
              </w:rPr>
            </w:pPr>
            <w:r>
              <w:rPr>
                <w:rFonts w:ascii="inherit" w:hAnsi="inherit"/>
                <w:i/>
                <w:sz w:val="13"/>
              </w:rPr>
              <w:t>(Zip Code)</w:t>
            </w:r>
          </w:p>
        </w:tc>
      </w:tr>
    </w:tbl>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40" w:before="0" w:after="0"/>
        <w:jc w:val="center"/>
        <w:rPr>
          <w:sz w:val="17"/>
        </w:rPr>
      </w:pPr>
      <w:r>
        <w:rPr>
          <w:rFonts w:ascii="inherit" w:hAnsi="inherit"/>
          <w:b/>
          <w:sz w:val="13"/>
        </w:rPr>
        <w:t>EZCORP, Inc. 2010 Long-Term Incentive Plan</w:t>
      </w:r>
      <w:r>
        <w:rPr>
          <w:sz w:val="17"/>
        </w:rPr>
        <w:t xml:space="preserve"> </w:t>
      </w:r>
      <w:r>
        <w:rPr>
          <w:rFonts w:ascii="inherit" w:hAnsi="inherit"/>
          <w:sz w:val="17"/>
        </w:rPr>
        <w:br/>
      </w:r>
      <w:r>
        <w:rPr>
          <w:rFonts w:ascii="inherit" w:hAnsi="inherit"/>
          <w:i/>
          <w:sz w:val="13"/>
        </w:rPr>
        <w:t>(Full title of plan)</w:t>
      </w:r>
    </w:p>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40" w:before="0" w:after="0"/>
        <w:jc w:val="center"/>
        <w:rPr>
          <w:sz w:val="17"/>
        </w:rPr>
      </w:pPr>
      <w:r>
        <w:rPr>
          <w:rFonts w:ascii="inherit" w:hAnsi="inherit"/>
          <w:b/>
          <w:sz w:val="13"/>
        </w:rPr>
        <w:t>Thomas H. Welch, Jr.</w:t>
      </w:r>
      <w:r>
        <w:rPr>
          <w:sz w:val="17"/>
        </w:rPr>
        <w:t xml:space="preserve"> </w:t>
      </w:r>
      <w:r>
        <w:rPr>
          <w:rFonts w:ascii="inherit" w:hAnsi="inherit"/>
          <w:sz w:val="17"/>
        </w:rPr>
        <w:br/>
      </w:r>
      <w:r>
        <w:rPr>
          <w:rFonts w:ascii="inherit" w:hAnsi="inherit"/>
          <w:b/>
          <w:sz w:val="13"/>
        </w:rPr>
        <w:t>1901 Capital Parkway</w:t>
      </w:r>
      <w:r>
        <w:rPr>
          <w:sz w:val="17"/>
        </w:rPr>
        <w:t xml:space="preserve"> </w:t>
      </w:r>
      <w:r>
        <w:rPr>
          <w:rFonts w:ascii="inherit" w:hAnsi="inherit"/>
          <w:sz w:val="17"/>
        </w:rPr>
        <w:br/>
      </w:r>
      <w:r>
        <w:rPr>
          <w:rFonts w:ascii="inherit" w:hAnsi="inherit"/>
          <w:b/>
          <w:sz w:val="13"/>
        </w:rPr>
        <w:t>Austin, Texas 78746</w:t>
      </w:r>
    </w:p>
    <w:p>
      <w:pPr>
        <w:pStyle w:val="TextBody"/>
        <w:spacing w:lineRule="auto" w:line="240" w:before="0" w:after="0"/>
        <w:jc w:val="center"/>
        <w:rPr>
          <w:sz w:val="17"/>
        </w:rPr>
      </w:pPr>
      <w:r>
        <w:rPr>
          <w:rFonts w:ascii="inherit" w:hAnsi="inherit"/>
          <w:i/>
          <w:sz w:val="13"/>
        </w:rPr>
        <w:t>(Name and address of agent for service)</w:t>
      </w:r>
      <w:r>
        <w:rPr>
          <w:sz w:val="17"/>
        </w:rPr>
        <w:t xml:space="preserve"> </w:t>
      </w:r>
      <w:r>
        <w:rPr>
          <w:rFonts w:ascii="inherit" w:hAnsi="inherit"/>
          <w:sz w:val="17"/>
        </w:rPr>
        <w:br/>
      </w:r>
      <w:r>
        <w:rPr>
          <w:rFonts w:ascii="inherit" w:hAnsi="inherit"/>
          <w:b/>
          <w:sz w:val="13"/>
        </w:rPr>
        <w:t>(512) 314</w:t>
        <w:noBreakHyphen/>
        <w:t>3400</w:t>
      </w:r>
      <w:r>
        <w:rPr>
          <w:sz w:val="17"/>
        </w:rPr>
        <w:t xml:space="preserve"> </w:t>
      </w:r>
      <w:r>
        <w:rPr>
          <w:rFonts w:ascii="inherit" w:hAnsi="inherit"/>
          <w:sz w:val="17"/>
        </w:rPr>
        <w:br/>
      </w:r>
      <w:r>
        <w:rPr>
          <w:rFonts w:ascii="inherit" w:hAnsi="inherit"/>
          <w:i/>
          <w:sz w:val="13"/>
        </w:rPr>
        <w:t>(Telephone number, including area code, for agent of service)</w:t>
      </w:r>
    </w:p>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5"/>
        </w:rPr>
      </w:pPr>
      <w:r>
        <w:rPr>
          <w:rFonts w:ascii="inherit" w:hAnsi="inherit"/>
          <w:sz w:val="15"/>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10205" w:type="dxa"/>
        <w:jc w:val="center"/>
        <w:tblInd w:w="0" w:type="dxa"/>
        <w:tblCellMar>
          <w:top w:w="0" w:type="dxa"/>
          <w:left w:w="0" w:type="dxa"/>
          <w:bottom w:w="0" w:type="dxa"/>
          <w:right w:w="0" w:type="dxa"/>
        </w:tblCellMar>
      </w:tblPr>
      <w:tblGrid>
        <w:gridCol w:w="2149"/>
        <w:gridCol w:w="398"/>
        <w:gridCol w:w="2149"/>
        <w:gridCol w:w="398"/>
        <w:gridCol w:w="2183"/>
        <w:gridCol w:w="398"/>
        <w:gridCol w:w="2324"/>
        <w:gridCol w:w="20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214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49" w:type="dxa"/>
            <w:tcBorders/>
            <w:shd w:fill="auto" w:val="clear"/>
            <w:vAlign w:val="center"/>
          </w:tcPr>
          <w:p>
            <w:pPr>
              <w:pStyle w:val="TableContents"/>
              <w:spacing w:before="0" w:after="0"/>
              <w:ind w:left="0" w:right="0" w:firstLine="30"/>
              <w:rPr>
                <w:sz w:val="15"/>
              </w:rPr>
            </w:pPr>
            <w:r>
              <w:rPr>
                <w:rFonts w:ascii="inherit" w:hAnsi="inherit"/>
                <w:b/>
                <w:sz w:val="15"/>
              </w:rPr>
              <w:t xml:space="preserve">Large accelerated filer </w:t>
            </w:r>
            <w:r>
              <w:rPr>
                <w:rFonts w:ascii="Wingdings" w:hAnsi="Wingdings"/>
                <w:sz w:val="15"/>
              </w:rPr>
              <w:t>x</w:t>
            </w:r>
          </w:p>
        </w:tc>
        <w:tc>
          <w:tcPr>
            <w:tcW w:w="398" w:type="dxa"/>
            <w:tcBorders/>
            <w:shd w:fill="auto" w:val="clear"/>
            <w:vAlign w:val="center"/>
          </w:tcPr>
          <w:p>
            <w:pPr>
              <w:pStyle w:val="TableContents"/>
              <w:spacing w:before="0" w:after="0"/>
              <w:ind w:left="0" w:right="0" w:firstLine="30"/>
              <w:rPr/>
            </w:pPr>
            <w:r>
              <w:rPr/>
              <w:t> </w:t>
            </w:r>
          </w:p>
        </w:tc>
        <w:tc>
          <w:tcPr>
            <w:tcW w:w="2149" w:type="dxa"/>
            <w:tcBorders/>
            <w:shd w:fill="auto" w:val="clear"/>
            <w:vAlign w:val="center"/>
          </w:tcPr>
          <w:p>
            <w:pPr>
              <w:pStyle w:val="TableContents"/>
              <w:spacing w:before="0" w:after="0"/>
              <w:ind w:left="0" w:right="0" w:firstLine="30"/>
              <w:rPr>
                <w:sz w:val="15"/>
              </w:rPr>
            </w:pPr>
            <w:r>
              <w:rPr>
                <w:rFonts w:ascii="inherit" w:hAnsi="inherit"/>
                <w:b/>
                <w:sz w:val="15"/>
              </w:rPr>
              <w:t xml:space="preserve">Accelerated filer </w:t>
            </w:r>
            <w:r>
              <w:rPr>
                <w:rFonts w:ascii="Wingdings" w:hAnsi="Wingdings"/>
                <w:sz w:val="15"/>
              </w:rPr>
              <w:t>o</w:t>
            </w:r>
          </w:p>
        </w:tc>
        <w:tc>
          <w:tcPr>
            <w:tcW w:w="398" w:type="dxa"/>
            <w:tcBorders/>
            <w:shd w:fill="auto" w:val="clear"/>
            <w:vAlign w:val="center"/>
          </w:tcPr>
          <w:p>
            <w:pPr>
              <w:pStyle w:val="TableContents"/>
              <w:spacing w:before="0" w:after="0"/>
              <w:ind w:left="0" w:right="0" w:firstLine="30"/>
              <w:rPr/>
            </w:pPr>
            <w:r>
              <w:rPr/>
              <w:t> </w:t>
            </w:r>
          </w:p>
        </w:tc>
        <w:tc>
          <w:tcPr>
            <w:tcW w:w="2183" w:type="dxa"/>
            <w:tcBorders/>
            <w:shd w:fill="auto" w:val="clear"/>
            <w:vAlign w:val="center"/>
          </w:tcPr>
          <w:p>
            <w:pPr>
              <w:pStyle w:val="TableContents"/>
              <w:spacing w:before="0" w:after="0"/>
              <w:ind w:left="0" w:right="0" w:firstLine="30"/>
              <w:rPr>
                <w:sz w:val="15"/>
              </w:rPr>
            </w:pPr>
            <w:r>
              <w:rPr>
                <w:rFonts w:ascii="inherit" w:hAnsi="inherit"/>
                <w:b/>
                <w:sz w:val="15"/>
              </w:rPr>
              <w:t xml:space="preserve">Non-accelerated filer  </w:t>
            </w:r>
            <w:r>
              <w:rPr>
                <w:rFonts w:ascii="Wingdings" w:hAnsi="Wingdings"/>
                <w:sz w:val="15"/>
              </w:rPr>
              <w:t>o</w:t>
            </w:r>
          </w:p>
        </w:tc>
        <w:tc>
          <w:tcPr>
            <w:tcW w:w="398" w:type="dxa"/>
            <w:tcBorders/>
            <w:shd w:fill="auto" w:val="clear"/>
            <w:vAlign w:val="center"/>
          </w:tcPr>
          <w:p>
            <w:pPr>
              <w:pStyle w:val="TableContents"/>
              <w:spacing w:before="0" w:after="0"/>
              <w:ind w:left="0" w:right="0" w:firstLine="30"/>
              <w:rPr/>
            </w:pPr>
            <w:r>
              <w:rPr/>
              <w:t> </w:t>
            </w:r>
          </w:p>
        </w:tc>
        <w:tc>
          <w:tcPr>
            <w:tcW w:w="2324" w:type="dxa"/>
            <w:tcBorders/>
            <w:shd w:fill="auto" w:val="clear"/>
            <w:vAlign w:val="center"/>
          </w:tcPr>
          <w:p>
            <w:pPr>
              <w:pStyle w:val="TableContents"/>
              <w:spacing w:before="0" w:after="0"/>
              <w:ind w:left="0" w:right="0" w:firstLine="30"/>
              <w:rPr>
                <w:sz w:val="15"/>
              </w:rPr>
            </w:pPr>
            <w:r>
              <w:rPr>
                <w:rFonts w:ascii="inherit" w:hAnsi="inherit"/>
                <w:b/>
                <w:sz w:val="15"/>
              </w:rPr>
              <w:t xml:space="preserve">Smaller reporting company </w:t>
            </w:r>
            <w:r>
              <w:rPr>
                <w:rFonts w:ascii="Wingdings" w:hAnsi="Wingdings"/>
                <w:sz w:val="15"/>
              </w:rPr>
              <w:t>o</w:t>
            </w:r>
          </w:p>
        </w:tc>
        <w:tc>
          <w:tcPr>
            <w:tcW w:w="206"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CALCULATION OF REGISTRATION FEE</w:t>
      </w:r>
    </w:p>
    <w:tbl>
      <w:tblPr>
        <w:tblW w:w="10205" w:type="dxa"/>
        <w:jc w:val="center"/>
        <w:tblInd w:w="0" w:type="dxa"/>
        <w:tblCellMar>
          <w:top w:w="0" w:type="dxa"/>
          <w:left w:w="0" w:type="dxa"/>
          <w:bottom w:w="0" w:type="dxa"/>
          <w:right w:w="0" w:type="dxa"/>
        </w:tblCellMar>
      </w:tblPr>
      <w:tblGrid>
        <w:gridCol w:w="3438"/>
        <w:gridCol w:w="1646"/>
        <w:gridCol w:w="1545"/>
        <w:gridCol w:w="1881"/>
        <w:gridCol w:w="1695"/>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3438"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38"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Title Of Securities </w:t>
              <w:br/>
              <w:t>To Be Registered</w:t>
            </w:r>
          </w:p>
        </w:tc>
        <w:tc>
          <w:tcPr>
            <w:tcW w:w="1646"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Amount To Be </w:t>
              <w:br/>
              <w:t>Registered(1)</w:t>
            </w:r>
          </w:p>
        </w:tc>
        <w:tc>
          <w:tcPr>
            <w:tcW w:w="1545"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Proposed Maximum Offering Price Per Share(2)</w:t>
            </w:r>
          </w:p>
        </w:tc>
        <w:tc>
          <w:tcPr>
            <w:tcW w:w="1881"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Proposed Maximum Aggregate </w:t>
              <w:br/>
              <w:t>Offering Price(2)</w:t>
            </w:r>
          </w:p>
        </w:tc>
        <w:tc>
          <w:tcPr>
            <w:tcW w:w="1695" w:type="dxa"/>
            <w:tcBorders>
              <w:top w:val="double" w:sz="6"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Amount Of </w:t>
              <w:br/>
              <w:t>Registration Fee</w:t>
            </w:r>
          </w:p>
        </w:tc>
      </w:tr>
      <w:tr>
        <w:trPr/>
        <w:tc>
          <w:tcPr>
            <w:tcW w:w="3438"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$0.01 per share</w:t>
            </w:r>
          </w:p>
        </w:tc>
        <w:tc>
          <w:tcPr>
            <w:tcW w:w="1646"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jc w:val="center"/>
              <w:rPr>
                <w:rFonts w:ascii="inherit" w:hAnsi="inherit"/>
                <w:sz w:val="15"/>
              </w:rPr>
            </w:pPr>
            <w:r>
              <w:rPr>
                <w:rFonts w:ascii="inherit" w:hAnsi="inherit"/>
                <w:sz w:val="15"/>
              </w:rPr>
            </w:r>
          </w:p>
          <w:p>
            <w:pPr>
              <w:pStyle w:val="TableContents"/>
              <w:spacing w:before="0" w:after="0"/>
              <w:ind w:left="0" w:right="0" w:firstLine="30"/>
              <w:jc w:val="center"/>
              <w:rPr>
                <w:rFonts w:ascii="inherit" w:hAnsi="inherit"/>
                <w:sz w:val="15"/>
              </w:rPr>
            </w:pPr>
            <w:r>
              <w:rPr>
                <w:rFonts w:ascii="inherit" w:hAnsi="inherit"/>
                <w:sz w:val="15"/>
              </w:rPr>
              <w:t>945,313</w:t>
            </w:r>
          </w:p>
        </w:tc>
        <w:tc>
          <w:tcPr>
            <w:tcW w:w="1545"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5"/>
              </w:rPr>
            </w:pPr>
            <w:r>
              <w:rPr>
                <w:rFonts w:ascii="inherit" w:hAnsi="inherit"/>
                <w:sz w:val="15"/>
              </w:rPr>
              <w:t>$15.83</w:t>
            </w:r>
          </w:p>
        </w:tc>
        <w:tc>
          <w:tcPr>
            <w:tcW w:w="1881"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5"/>
              </w:rPr>
            </w:pPr>
            <w:r>
              <w:rPr>
                <w:rFonts w:ascii="inherit" w:hAnsi="inherit"/>
                <w:sz w:val="15"/>
              </w:rPr>
              <w:t>$14,964,304</w:t>
            </w:r>
          </w:p>
        </w:tc>
        <w:tc>
          <w:tcPr>
            <w:tcW w:w="1695"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jc w:val="center"/>
              <w:rPr>
                <w:rFonts w:ascii="inherit" w:hAnsi="inherit"/>
                <w:sz w:val="15"/>
              </w:rPr>
            </w:pPr>
            <w:r>
              <w:rPr>
                <w:rFonts w:ascii="inherit" w:hAnsi="inherit"/>
                <w:sz w:val="15"/>
              </w:rPr>
              <w:t>$1,927.40</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5"/>
        </w:rPr>
      </w:pPr>
      <w:r>
        <w:rPr>
          <w:rFonts w:ascii="inherit" w:hAnsi="inherit"/>
          <w:sz w:val="15"/>
        </w:rPr>
        <w:t xml:space="preserve">(1) Pursuant to Rule 416 under the Securities Act of 1933, as amended (the “Securities Act”), this Registration Statement shall also cover any of the Registrant’s additional shares of Class A Non-Voting Common Stock that become issuable under the EZCORP, Inc. 2010 Long-Term Incentive Plan, as amended from time to time (the “Plan”) as a result of the antidilution provisions under the Plan.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t xml:space="preserve">(2) Estimated solely for the purpose of calculating the registration fee pursuant to Rules 457(c) and 457(h) under the Securities Act on the basis of the average of the high and low sales prices of the Class A Non-Voting Common Stock reported on The NASDAQ Global Select Market on October 7, 2013.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40" w:before="0" w:after="0"/>
        <w:jc w:val="left"/>
        <w:rPr>
          <w:rFonts w:ascii="inherit" w:hAnsi="inherit"/>
          <w:sz w:val="12"/>
        </w:rPr>
      </w:pPr>
      <w:r>
        <w:rPr>
          <w:rFonts w:ascii="inherit" w:hAnsi="inherit"/>
          <w:sz w:val="12"/>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jc w:val="left"/>
        <w:rPr>
          <w:rFonts w:ascii="inherit" w:hAnsi="inherit"/>
          <w:sz w:val="13"/>
        </w:rPr>
      </w:pPr>
      <w:r>
        <w:rPr>
          <w:rFonts w:ascii="inherit" w:hAnsi="inherit"/>
          <w:sz w:val="13"/>
        </w:rPr>
      </w:r>
      <w:r>
        <w:br w:type="page"/>
      </w:r>
    </w:p>
    <w:p>
      <w:pPr>
        <w:pStyle w:val="TextBody"/>
        <w:spacing w:lineRule="auto" w:line="288" w:before="0" w:after="0"/>
        <w:jc w:val="left"/>
        <w:rPr>
          <w:rFonts w:ascii="inherit" w:hAnsi="inherit"/>
          <w:sz w:val="17"/>
        </w:rPr>
      </w:pPr>
      <w:r>
        <w:rPr>
          <w:rFonts w:ascii="inherit" w:hAnsi="inherit"/>
          <w:sz w:val="17"/>
        </w:rPr>
      </w:r>
      <w:bookmarkStart w:id="3" w:name="sE6DA086C906FEE1081109EADD2347260"/>
      <w:bookmarkStart w:id="4" w:name="sE6DA086C906FEE1081109EADD2347260"/>
      <w:bookmarkEnd w:id="4"/>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EXPLANATORY NOTE</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On October 2, 2013, pursuant to the Agreement and Plan of Merger, dated as of October 1, 2013 (the “Merger Agreement”), between EZCORP, Inc., a Delaware corporation (“Old EZCORP”), and EZMergeco, Inc., a Delaware corporation and a newly formed direct wholly owned subsidiary of Old EZCORP (“MergeCo”), in an internal reorganization transaction structured as a merger, Old EZCORP merged with and into MergeCo, with MergeCo continuing as the surviving corporation (the “Reorganization”). At the effective time of the Reorganization, MergeCo changed its name to “EZCORP, Inc.” (referred to herein as “EZCORP” or the “Registrant”) and succeeded to all of the assets and liabilities of Old EZCORP. In connection with the Reorganization, each outstanding and unexercised option, grant, right to purchase or other right to acquire Old EZCORP Class A Non-Voting Common Stock, par value $0.01 per share (“Old EZCORP Class A Non-Voting Common Stock”), granted under the Plan and outstanding as of the effective time of the Reorganization was converted into the same option, grant, right to purchase or other right to acquire shares of EZCORP Class A Non-Voting Common Stock, par value $0.01 per share (the “Class A Non-Voting Common Stock”). This Registration Statement on Form S-8 (this “Registration Statement”) registers the aggregate number of shares of Class A Non-Voting Common Stock that may be issued on the exercise of such outstanding awards. As of the effective time of the Reorganization, EZCORP assumed the obligations of Old EZCORP under the Plan as to outstanding awards.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PART I</w:t>
      </w:r>
    </w:p>
    <w:p>
      <w:pPr>
        <w:pStyle w:val="TextBody"/>
        <w:spacing w:lineRule="auto" w:line="288" w:before="0" w:after="0"/>
        <w:jc w:val="center"/>
        <w:rPr>
          <w:rFonts w:ascii="inherit" w:hAnsi="inherit"/>
          <w:b/>
          <w:sz w:val="17"/>
        </w:rPr>
      </w:pPr>
      <w:r>
        <w:rPr>
          <w:rFonts w:ascii="inherit" w:hAnsi="inherit"/>
          <w:b/>
          <w:sz w:val="17"/>
        </w:rPr>
        <w:t>INFORMATION REQUIRED IN THE SECTION 10(a) PROSPECTUS</w:t>
      </w:r>
    </w:p>
    <w:p>
      <w:pPr>
        <w:pStyle w:val="TextBody"/>
        <w:spacing w:lineRule="auto" w:line="288" w:before="0" w:after="0"/>
        <w:jc w:val="both"/>
        <w:rPr>
          <w:rFonts w:ascii="inherit" w:hAnsi="inherit"/>
          <w:sz w:val="17"/>
        </w:rPr>
      </w:pPr>
      <w:r>
        <w:rPr>
          <w:rFonts w:ascii="inherit" w:hAnsi="inherit"/>
          <w:sz w:val="17"/>
        </w:rPr>
        <w:t xml:space="preserve">EZCORP will send or give to all participants in the Plan the document(s) containing information required by Part I of Form S-8, as specified in Rule 428(b)(1) promulgated by the Securities and Exchange Commission (the “Commission”) under the Securities Act. EZCORP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jc w:val="center"/>
        <w:rPr>
          <w:rFonts w:ascii="inherit" w:hAnsi="inherit"/>
          <w:b/>
          <w:sz w:val="17"/>
        </w:rPr>
      </w:pPr>
      <w:r>
        <w:rPr>
          <w:rFonts w:ascii="inherit" w:hAnsi="inherit"/>
          <w:b/>
          <w:sz w:val="17"/>
        </w:rPr>
        <w:t>INFORMATION REQUIRED IN THE REGISTRATION STATEMENT</w:t>
      </w:r>
    </w:p>
    <w:p>
      <w:pPr>
        <w:pStyle w:val="TextBody"/>
        <w:spacing w:lineRule="auto" w:line="288" w:before="0" w:after="0"/>
        <w:jc w:val="both"/>
        <w:rPr>
          <w:rFonts w:ascii="inherit" w:hAnsi="inherit"/>
          <w:b/>
          <w:sz w:val="17"/>
        </w:rPr>
      </w:pPr>
      <w:r>
        <w:rPr>
          <w:rFonts w:ascii="inherit" w:hAnsi="inherit"/>
          <w:b/>
          <w:sz w:val="17"/>
        </w:rPr>
        <w:t>Item 3.    Incorporation of Documents by Reference.</w:t>
      </w:r>
    </w:p>
    <w:p>
      <w:pPr>
        <w:pStyle w:val="TextBody"/>
        <w:spacing w:lineRule="auto" w:line="288" w:before="0" w:after="0"/>
        <w:jc w:val="both"/>
        <w:rPr>
          <w:rFonts w:ascii="inherit" w:hAnsi="inherit"/>
          <w:sz w:val="17"/>
        </w:rPr>
      </w:pPr>
      <w:r>
        <w:rPr>
          <w:rFonts w:ascii="inherit" w:hAnsi="inherit"/>
          <w:sz w:val="17"/>
        </w:rPr>
        <w:t>Except to the extent that information is deemed furnished and not filed pursuant to securities laws and regulations, the following documents have been filed by Old EZCORP or EZCORP, as applicable, with the Commission and are incorporated by reference into this Registration Statement and will be deemed to be a part hereof:</w:t>
      </w:r>
    </w:p>
    <w:tbl>
      <w:tblPr>
        <w:tblW w:w="10205" w:type="dxa"/>
        <w:jc w:val="left"/>
        <w:tblInd w:w="0" w:type="dxa"/>
        <w:tblCellMar>
          <w:top w:w="0" w:type="dxa"/>
          <w:left w:w="0" w:type="dxa"/>
          <w:bottom w:w="0" w:type="dxa"/>
          <w:right w:w="0" w:type="dxa"/>
        </w:tblCellMar>
      </w:tblPr>
      <w:tblGrid>
        <w:gridCol w:w="513"/>
        <w:gridCol w:w="9692"/>
      </w:tblGrid>
      <w:tr>
        <w:trPr/>
        <w:tc>
          <w:tcPr>
            <w:tcW w:w="513" w:type="dxa"/>
            <w:tcBorders/>
            <w:shd w:fill="auto" w:val="clear"/>
            <w:vAlign w:val="center"/>
          </w:tcPr>
          <w:p>
            <w:pPr>
              <w:pStyle w:val="TableContents"/>
              <w:spacing w:before="0" w:after="283"/>
              <w:rPr>
                <w:sz w:val="4"/>
                <w:szCs w:val="4"/>
              </w:rPr>
            </w:pPr>
            <w:r>
              <w:rPr>
                <w:sz w:val="4"/>
                <w:szCs w:val="4"/>
              </w:rPr>
            </w:r>
          </w:p>
        </w:tc>
        <w:tc>
          <w:tcPr>
            <w:tcW w:w="9692" w:type="dxa"/>
            <w:tcBorders/>
            <w:shd w:fill="auto" w:val="clear"/>
            <w:vAlign w:val="center"/>
          </w:tcPr>
          <w:p>
            <w:pPr>
              <w:pStyle w:val="TableContents"/>
              <w:spacing w:before="0" w:after="283"/>
              <w:rPr>
                <w:sz w:val="4"/>
                <w:szCs w:val="4"/>
              </w:rPr>
            </w:pPr>
            <w:r>
              <w:rPr>
                <w:sz w:val="4"/>
                <w:szCs w:val="4"/>
              </w:rPr>
            </w:r>
          </w:p>
        </w:tc>
      </w:tr>
      <w:tr>
        <w:trPr/>
        <w:tc>
          <w:tcPr>
            <w:tcW w:w="513"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a)</w:t>
            </w:r>
          </w:p>
        </w:tc>
        <w:tc>
          <w:tcPr>
            <w:tcW w:w="969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Annual Report on Form 10-K for the fiscal year ended September 30, 2012 (excluding the information contained therein under “Item 1. Business,” “Item 2. Properties,” “Item 6. Selected Financial Data,” “Item 7. Management’s Discussion and Analysis of Financial Condition and Results of Operations” and “Item 8. Financial Statements and Supplementary Data” as updated by EZCORP’s Current Report on Form 8-K filed with the Commission on October 3, 2013);</w:t>
            </w:r>
          </w:p>
        </w:tc>
      </w:tr>
    </w:tbl>
    <w:tbl>
      <w:tblPr>
        <w:tblW w:w="10205" w:type="dxa"/>
        <w:jc w:val="left"/>
        <w:tblInd w:w="0" w:type="dxa"/>
        <w:tblCellMar>
          <w:top w:w="0" w:type="dxa"/>
          <w:left w:w="0" w:type="dxa"/>
          <w:bottom w:w="0" w:type="dxa"/>
          <w:right w:w="0" w:type="dxa"/>
        </w:tblCellMar>
      </w:tblPr>
      <w:tblGrid>
        <w:gridCol w:w="558"/>
        <w:gridCol w:w="9647"/>
      </w:tblGrid>
      <w:tr>
        <w:trPr/>
        <w:tc>
          <w:tcPr>
            <w:tcW w:w="558" w:type="dxa"/>
            <w:tcBorders/>
            <w:shd w:fill="auto" w:val="clear"/>
            <w:vAlign w:val="center"/>
          </w:tcPr>
          <w:p>
            <w:pPr>
              <w:pStyle w:val="TableContents"/>
              <w:spacing w:before="0" w:after="283"/>
              <w:rPr>
                <w:sz w:val="4"/>
                <w:szCs w:val="4"/>
              </w:rPr>
            </w:pPr>
            <w:r>
              <w:rPr>
                <w:sz w:val="4"/>
                <w:szCs w:val="4"/>
              </w:rPr>
            </w:r>
          </w:p>
        </w:tc>
        <w:tc>
          <w:tcPr>
            <w:tcW w:w="9647" w:type="dxa"/>
            <w:tcBorders/>
            <w:shd w:fill="auto" w:val="clear"/>
            <w:vAlign w:val="center"/>
          </w:tcPr>
          <w:p>
            <w:pPr>
              <w:pStyle w:val="TableContents"/>
              <w:spacing w:before="0" w:after="283"/>
              <w:rPr>
                <w:sz w:val="4"/>
                <w:szCs w:val="4"/>
              </w:rPr>
            </w:pPr>
            <w:r>
              <w:rPr>
                <w:sz w:val="4"/>
                <w:szCs w:val="4"/>
              </w:rPr>
            </w:r>
          </w:p>
        </w:tc>
      </w:tr>
      <w:tr>
        <w:trPr/>
        <w:tc>
          <w:tcPr>
            <w:tcW w:w="558"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b)</w:t>
            </w:r>
          </w:p>
        </w:tc>
        <w:tc>
          <w:tcPr>
            <w:tcW w:w="964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Quarterly Reports on Form 10-Q for the fiscal quarters ended December 31, 2012, March 31, 2013 and June 30, 2013; </w:t>
            </w:r>
          </w:p>
        </w:tc>
      </w:tr>
    </w:tbl>
    <w:tbl>
      <w:tblPr>
        <w:tblW w:w="10205" w:type="dxa"/>
        <w:jc w:val="left"/>
        <w:tblInd w:w="0" w:type="dxa"/>
        <w:tblCellMar>
          <w:top w:w="0" w:type="dxa"/>
          <w:left w:w="0" w:type="dxa"/>
          <w:bottom w:w="0" w:type="dxa"/>
          <w:right w:w="0" w:type="dxa"/>
        </w:tblCellMar>
      </w:tblPr>
      <w:tblGrid>
        <w:gridCol w:w="510"/>
        <w:gridCol w:w="9695"/>
      </w:tblGrid>
      <w:tr>
        <w:trPr/>
        <w:tc>
          <w:tcPr>
            <w:tcW w:w="510"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c)</w:t>
            </w:r>
          </w:p>
        </w:tc>
        <w:tc>
          <w:tcPr>
            <w:tcW w:w="96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Current Reports on Form 8-K filed on October 4, 2012, October 29, 2012, November 27, 2012, December 4, 2012, December 13, 2012, December 20, 2012 (2), February 25, 2013, June 5, 2013, July 1, 2013, August 1, 2013, October 2, 2013 and October 3, 2013; and</w:t>
            </w:r>
          </w:p>
        </w:tc>
      </w:tr>
    </w:tbl>
    <w:tbl>
      <w:tblPr>
        <w:tblW w:w="10205" w:type="dxa"/>
        <w:jc w:val="left"/>
        <w:tblInd w:w="0" w:type="dxa"/>
        <w:tblCellMar>
          <w:top w:w="0" w:type="dxa"/>
          <w:left w:w="0" w:type="dxa"/>
          <w:bottom w:w="0" w:type="dxa"/>
          <w:right w:w="0" w:type="dxa"/>
        </w:tblCellMar>
      </w:tblPr>
      <w:tblGrid>
        <w:gridCol w:w="532"/>
        <w:gridCol w:w="9673"/>
      </w:tblGrid>
      <w:tr>
        <w:trPr/>
        <w:tc>
          <w:tcPr>
            <w:tcW w:w="532" w:type="dxa"/>
            <w:tcBorders/>
            <w:shd w:fill="auto" w:val="clear"/>
            <w:vAlign w:val="center"/>
          </w:tcPr>
          <w:p>
            <w:pPr>
              <w:pStyle w:val="TableContents"/>
              <w:spacing w:before="0" w:after="283"/>
              <w:rPr>
                <w:sz w:val="4"/>
                <w:szCs w:val="4"/>
              </w:rPr>
            </w:pPr>
            <w:r>
              <w:rPr>
                <w:sz w:val="4"/>
                <w:szCs w:val="4"/>
              </w:rPr>
            </w:r>
          </w:p>
        </w:tc>
        <w:tc>
          <w:tcPr>
            <w:tcW w:w="9673" w:type="dxa"/>
            <w:tcBorders/>
            <w:shd w:fill="auto" w:val="clear"/>
            <w:vAlign w:val="center"/>
          </w:tcPr>
          <w:p>
            <w:pPr>
              <w:pStyle w:val="TableContents"/>
              <w:spacing w:before="0" w:after="283"/>
              <w:rPr>
                <w:sz w:val="4"/>
                <w:szCs w:val="4"/>
              </w:rPr>
            </w:pPr>
            <w:r>
              <w:rPr>
                <w:sz w:val="4"/>
                <w:szCs w:val="4"/>
              </w:rPr>
            </w:r>
          </w:p>
        </w:tc>
      </w:tr>
      <w:tr>
        <w:trPr/>
        <w:tc>
          <w:tcPr>
            <w:tcW w:w="532"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d)</w:t>
            </w:r>
          </w:p>
        </w:tc>
        <w:tc>
          <w:tcPr>
            <w:tcW w:w="967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description of the Class A Non-Voting Common Stock filed as Exhibit 4.1 to the Current Report on Form 8-K filed on October 2, 2013, including any amendment or report filed to update such description.</w:t>
            </w:r>
          </w:p>
        </w:tc>
      </w:tr>
    </w:tbl>
    <w:p>
      <w:pPr>
        <w:pStyle w:val="TextBody"/>
        <w:spacing w:lineRule="auto" w:line="288" w:before="0" w:after="0"/>
        <w:jc w:val="both"/>
        <w:rPr>
          <w:rFonts w:ascii="inherit" w:hAnsi="inherit"/>
          <w:sz w:val="17"/>
        </w:rPr>
      </w:pPr>
      <w:r>
        <w:rPr>
          <w:rFonts w:ascii="inherit" w:hAnsi="inherit"/>
          <w:sz w:val="17"/>
        </w:rPr>
        <w:t xml:space="preserve">Except to the extent that information is deemed furnished and not filed pursuant to securities laws and regulations, all documents subsequently filed by EZCORP pursuant to Sections 13(a), 13(c), 14 and 15(d) of the Securities Exchange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left"/>
        <w:rPr>
          <w:rFonts w:ascii="inherit" w:hAnsi="inherit"/>
          <w:sz w:val="17"/>
        </w:rPr>
      </w:pPr>
      <w:r>
        <w:rPr>
          <w:rFonts w:ascii="inherit" w:hAnsi="inherit"/>
          <w:sz w:val="17"/>
        </w:rPr>
      </w:r>
      <w:bookmarkStart w:id="5" w:name="sE6DA086C906FEE1081109EADD23472601"/>
      <w:bookmarkStart w:id="6" w:name="sE6DA086C906FEE1081109EADD23472601"/>
      <w:bookmarkEnd w:id="6"/>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Act of 1934 (the “Exchange Act”)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pStyle w:val="TextBody"/>
        <w:spacing w:lineRule="auto" w:line="288" w:before="0" w:after="0"/>
        <w:jc w:val="both"/>
        <w:rPr>
          <w:rFonts w:ascii="inherit" w:hAnsi="inherit"/>
          <w:b/>
          <w:sz w:val="17"/>
        </w:rPr>
      </w:pPr>
      <w:r>
        <w:rPr>
          <w:rFonts w:ascii="inherit" w:hAnsi="inherit"/>
          <w:b/>
          <w:sz w:val="17"/>
        </w:rPr>
        <w:t>Item 4.    Description of Securities.</w:t>
      </w:r>
    </w:p>
    <w:p>
      <w:pPr>
        <w:pStyle w:val="TextBody"/>
        <w:spacing w:lineRule="auto" w:line="288" w:before="0" w:after="0"/>
        <w:jc w:val="both"/>
        <w:rPr>
          <w:rFonts w:ascii="inherit" w:hAnsi="inherit"/>
          <w:sz w:val="17"/>
        </w:rPr>
      </w:pPr>
      <w:r>
        <w:rPr>
          <w:rFonts w:ascii="inherit" w:hAnsi="inherit"/>
          <w:sz w:val="17"/>
        </w:rPr>
        <w:t xml:space="preserve">Not applicable. </w:t>
      </w:r>
    </w:p>
    <w:p>
      <w:pPr>
        <w:pStyle w:val="TextBody"/>
        <w:spacing w:lineRule="auto" w:line="288" w:before="0" w:after="0"/>
        <w:jc w:val="both"/>
        <w:rPr/>
      </w:pPr>
      <w:r>
        <w:rPr/>
        <w:t> </w:t>
      </w:r>
    </w:p>
    <w:p>
      <w:pPr>
        <w:pStyle w:val="TextBody"/>
        <w:spacing w:lineRule="auto" w:line="288" w:before="0" w:after="0"/>
        <w:jc w:val="both"/>
        <w:rPr>
          <w:rFonts w:ascii="inherit" w:hAnsi="inherit"/>
          <w:b/>
          <w:sz w:val="17"/>
        </w:rPr>
      </w:pPr>
      <w:r>
        <w:rPr>
          <w:rFonts w:ascii="inherit" w:hAnsi="inherit"/>
          <w:b/>
          <w:sz w:val="17"/>
        </w:rPr>
        <w:t>Item 5.    Interests of Named Experts and Counsel.</w:t>
      </w:r>
    </w:p>
    <w:p>
      <w:pPr>
        <w:pStyle w:val="TextBody"/>
        <w:spacing w:lineRule="auto" w:line="288" w:before="0" w:after="0"/>
        <w:jc w:val="both"/>
        <w:rPr>
          <w:rFonts w:ascii="inherit" w:hAnsi="inherit"/>
          <w:sz w:val="17"/>
        </w:rPr>
      </w:pPr>
      <w:r>
        <w:rPr>
          <w:rFonts w:ascii="inherit" w:hAnsi="inherit"/>
          <w:sz w:val="17"/>
        </w:rPr>
        <w:t>Not applicable.</w:t>
      </w:r>
    </w:p>
    <w:p>
      <w:pPr>
        <w:pStyle w:val="TextBody"/>
        <w:spacing w:lineRule="auto" w:line="288" w:before="0" w:after="0"/>
        <w:jc w:val="both"/>
        <w:rPr>
          <w:rFonts w:ascii="inherit" w:hAnsi="inherit"/>
          <w:b/>
          <w:sz w:val="17"/>
        </w:rPr>
      </w:pPr>
      <w:r>
        <w:rPr>
          <w:rFonts w:ascii="inherit" w:hAnsi="inherit"/>
          <w:b/>
          <w:sz w:val="17"/>
        </w:rPr>
        <w:t xml:space="preserve">Item 6.    Indemnification of Directors and Officers. </w:t>
      </w:r>
    </w:p>
    <w:p>
      <w:pPr>
        <w:pStyle w:val="TextBody"/>
        <w:spacing w:lineRule="auto" w:line="288" w:before="0" w:after="0"/>
        <w:jc w:val="both"/>
        <w:rPr>
          <w:rFonts w:ascii="inherit" w:hAnsi="inherit"/>
          <w:sz w:val="17"/>
        </w:rPr>
      </w:pPr>
      <w:r>
        <w:rPr>
          <w:rFonts w:ascii="inherit" w:hAnsi="inherit"/>
          <w:sz w:val="17"/>
        </w:rPr>
        <w:t>Article Eighth of EZCORP’s Amended and Restated Certificate of Incorporation provides that EZCORP shall indemnify its present or former directors and officers, and may indemnify any employee or agent of EZCORP, to the fullest extent permitted by law, including under the Delaware General Corporation Law (the “DGCL”).</w:t>
      </w:r>
    </w:p>
    <w:p>
      <w:pPr>
        <w:pStyle w:val="TextBody"/>
        <w:spacing w:lineRule="auto" w:line="288" w:before="0" w:after="0"/>
        <w:jc w:val="both"/>
        <w:rPr>
          <w:rFonts w:ascii="inherit" w:hAnsi="inherit"/>
          <w:sz w:val="17"/>
        </w:rPr>
      </w:pPr>
      <w:r>
        <w:rPr>
          <w:rFonts w:ascii="inherit" w:hAnsi="inherit"/>
          <w:sz w:val="17"/>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he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spacing w:lineRule="auto" w:line="288" w:before="0" w:after="0"/>
        <w:jc w:val="both"/>
        <w:rPr>
          <w:rFonts w:ascii="inherit" w:hAnsi="inherit"/>
          <w:sz w:val="17"/>
        </w:rPr>
      </w:pPr>
      <w:r>
        <w:rPr>
          <w:rFonts w:ascii="inherit" w:hAnsi="inherit"/>
          <w:sz w:val="17"/>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w:t>
      </w:r>
    </w:p>
    <w:p>
      <w:pPr>
        <w:pStyle w:val="TextBody"/>
        <w:spacing w:lineRule="auto" w:line="288" w:before="0" w:after="0"/>
        <w:jc w:val="both"/>
        <w:rPr>
          <w:rFonts w:ascii="inherit" w:hAnsi="inherit"/>
          <w:sz w:val="17"/>
        </w:rPr>
      </w:pPr>
      <w:r>
        <w:rPr>
          <w:rFonts w:ascii="inherit" w:hAnsi="inherit"/>
          <w:sz w:val="17"/>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w:t>
      </w:r>
    </w:p>
    <w:p>
      <w:pPr>
        <w:pStyle w:val="TextBody"/>
        <w:spacing w:lineRule="auto" w:line="288" w:before="0" w:after="0"/>
        <w:jc w:val="both"/>
        <w:rPr>
          <w:rFonts w:ascii="inherit" w:hAnsi="inherit"/>
          <w:sz w:val="17"/>
        </w:rPr>
      </w:pPr>
      <w:r>
        <w:rPr>
          <w:rFonts w:ascii="inherit" w:hAnsi="inherit"/>
          <w:sz w:val="17"/>
        </w:rPr>
        <w:t xml:space="preserve">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of the corporation at the time of such determination, (1) by a majority vote of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jc w:val="left"/>
        <w:rPr>
          <w:rFonts w:ascii="inherit" w:hAnsi="inherit"/>
          <w:sz w:val="17"/>
        </w:rPr>
      </w:pPr>
      <w:r>
        <w:rPr>
          <w:rFonts w:ascii="inherit" w:hAnsi="inherit"/>
          <w:sz w:val="17"/>
        </w:rPr>
      </w:r>
      <w:bookmarkStart w:id="7" w:name="sE6DA086C906FEE1081109EADD23472602"/>
      <w:bookmarkStart w:id="8" w:name="sE6DA086C906FEE1081109EADD23472602"/>
      <w:bookmarkEnd w:id="8"/>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pStyle w:val="TextBody"/>
        <w:spacing w:lineRule="auto" w:line="288" w:before="0" w:after="0"/>
        <w:jc w:val="both"/>
        <w:rPr>
          <w:rFonts w:ascii="inherit" w:hAnsi="inherit"/>
          <w:sz w:val="17"/>
        </w:rPr>
      </w:pPr>
      <w:r>
        <w:rPr>
          <w:rFonts w:ascii="inherit" w:hAnsi="inherit"/>
          <w:sz w:val="17"/>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under Section 145. The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those terms and conditions, if any, as the corporation deems appropriate.</w:t>
      </w:r>
    </w:p>
    <w:p>
      <w:pPr>
        <w:pStyle w:val="TextBody"/>
        <w:spacing w:lineRule="auto" w:line="288" w:before="0" w:after="0"/>
        <w:jc w:val="both"/>
        <w:rPr>
          <w:rFonts w:ascii="inherit" w:hAnsi="inherit"/>
          <w:sz w:val="17"/>
        </w:rPr>
      </w:pPr>
      <w:r>
        <w:rPr>
          <w:rFonts w:ascii="inherit" w:hAnsi="inherit"/>
          <w:sz w:val="17"/>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w:t>
      </w:r>
    </w:p>
    <w:p>
      <w:pPr>
        <w:pStyle w:val="TextBody"/>
        <w:spacing w:lineRule="auto" w:line="288" w:before="0" w:after="0"/>
        <w:jc w:val="both"/>
        <w:rPr>
          <w:rFonts w:ascii="inherit" w:hAnsi="inherit"/>
          <w:sz w:val="17"/>
        </w:rPr>
      </w:pPr>
      <w:r>
        <w:rPr>
          <w:rFonts w:ascii="inherit" w:hAnsi="inherit"/>
          <w:sz w:val="17"/>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EZCORP maintains directors’ and officers’ liability insurance for the benefit of its directors and officers.</w:t>
      </w:r>
    </w:p>
    <w:p>
      <w:pPr>
        <w:pStyle w:val="TextBody"/>
        <w:spacing w:lineRule="auto" w:line="288" w:before="0" w:after="0"/>
        <w:jc w:val="both"/>
        <w:rPr>
          <w:rFonts w:ascii="inherit" w:hAnsi="inherit"/>
          <w:sz w:val="17"/>
        </w:rPr>
      </w:pPr>
      <w:r>
        <w:rPr>
          <w:rFonts w:ascii="inherit" w:hAnsi="inherit"/>
          <w:sz w:val="17"/>
        </w:rPr>
        <w:t>Section 145(j) of the DGCL provides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spacing w:lineRule="auto" w:line="288" w:before="0" w:after="0"/>
        <w:ind w:left="0" w:right="0" w:firstLine="720"/>
        <w:jc w:val="both"/>
        <w:rPr>
          <w:rFonts w:ascii="inherit" w:hAnsi="inherit"/>
          <w:sz w:val="17"/>
        </w:rPr>
      </w:pPr>
      <w:r>
        <w:rPr>
          <w:rFonts w:ascii="inherit" w:hAnsi="inherit"/>
          <w:sz w:val="17"/>
        </w:rPr>
        <w:t>The above discussion of EZCORP’s Amended and Restated Certificate of Incorporation and the DGCL is not intended to be exhaustive and is respectively qualified by entirety to EZCORP’s Amended and Restated Certificate of Incorporation and the DGCL.</w:t>
      </w:r>
    </w:p>
    <w:p>
      <w:pPr>
        <w:pStyle w:val="TextBody"/>
        <w:spacing w:lineRule="auto" w:line="288" w:before="0" w:after="0"/>
        <w:jc w:val="both"/>
        <w:rPr>
          <w:rFonts w:ascii="inherit" w:hAnsi="inherit"/>
          <w:b/>
          <w:sz w:val="17"/>
        </w:rPr>
      </w:pPr>
      <w:r>
        <w:rPr>
          <w:rFonts w:ascii="inherit" w:hAnsi="inherit"/>
          <w:b/>
          <w:sz w:val="17"/>
        </w:rPr>
        <w:t>Item 7.    Exemption from Registration Claimed.</w:t>
      </w:r>
    </w:p>
    <w:p>
      <w:pPr>
        <w:pStyle w:val="TextBody"/>
        <w:spacing w:lineRule="auto" w:line="288" w:before="0" w:after="0"/>
        <w:jc w:val="both"/>
        <w:rPr>
          <w:rFonts w:ascii="inherit" w:hAnsi="inherit"/>
          <w:sz w:val="17"/>
        </w:rPr>
      </w:pPr>
      <w:r>
        <w:rPr>
          <w:rFonts w:ascii="inherit" w:hAnsi="inherit"/>
          <w:sz w:val="17"/>
        </w:rPr>
        <w:t>Not applicable.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left"/>
        <w:rPr>
          <w:rFonts w:ascii="inherit" w:hAnsi="inherit"/>
          <w:sz w:val="17"/>
        </w:rPr>
      </w:pPr>
      <w:r>
        <w:rPr>
          <w:rFonts w:ascii="inherit" w:hAnsi="inherit"/>
          <w:sz w:val="17"/>
        </w:rPr>
      </w:r>
      <w:bookmarkStart w:id="9" w:name="sE6DA086C906FEE1081109EADD23472603"/>
      <w:bookmarkStart w:id="10" w:name="sE6DA086C906FEE1081109EADD23472603"/>
      <w:bookmarkEnd w:id="10"/>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Item 8.    Exhibits.</w:t>
      </w:r>
    </w:p>
    <w:p>
      <w:pPr>
        <w:pStyle w:val="TextBody"/>
        <w:spacing w:lineRule="auto" w:line="288" w:before="0" w:after="0"/>
        <w:ind w:left="0" w:right="0" w:hanging="36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Unless otherwise indicated below as being incorporated by reference to another filing of Old EZCORP or EZCORP with the Commission, each of the following exhibits is filed herewith: </w:t>
      </w:r>
    </w:p>
    <w:tbl>
      <w:tblPr>
        <w:tblW w:w="10205" w:type="dxa"/>
        <w:jc w:val="left"/>
        <w:tblInd w:w="0" w:type="dxa"/>
        <w:tblCellMar>
          <w:top w:w="0" w:type="dxa"/>
          <w:left w:w="0" w:type="dxa"/>
          <w:bottom w:w="0" w:type="dxa"/>
          <w:right w:w="0" w:type="dxa"/>
        </w:tblCellMar>
      </w:tblPr>
      <w:tblGrid>
        <w:gridCol w:w="238"/>
        <w:gridCol w:w="680"/>
        <w:gridCol w:w="258"/>
        <w:gridCol w:w="416"/>
        <w:gridCol w:w="106"/>
        <w:gridCol w:w="8507"/>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5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76"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Exhibit </w:t>
              <w:br/>
              <w:t>Number</w:t>
            </w:r>
          </w:p>
        </w:tc>
        <w:tc>
          <w:tcPr>
            <w:tcW w:w="522" w:type="dxa"/>
            <w:gridSpan w:val="2"/>
            <w:tcBorders/>
            <w:shd w:fill="auto" w:val="clear"/>
            <w:vAlign w:val="center"/>
          </w:tcPr>
          <w:p>
            <w:pPr>
              <w:pStyle w:val="TableContents"/>
              <w:spacing w:before="0" w:after="0"/>
              <w:ind w:left="0" w:right="0" w:firstLine="30"/>
              <w:rPr/>
            </w:pPr>
            <w:r>
              <w:rPr/>
              <w:t> </w:t>
            </w:r>
          </w:p>
        </w:tc>
        <w:tc>
          <w:tcPr>
            <w:tcW w:w="8507"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Description</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Amended and Restated Certificate of Incorporation of EZCORP, Inc. (incorporated herein by reference to Exhibit 3.1 of EZCORP’s Current Report on Form 8-K filed on October 2, 2013 (File No. 001-19424))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By-Laws of EZCORP, Inc. (incorporated herein by reference to Exhibit 3.2 of EZCORP’s Current Report on Form 8-K filed on October 2, 2013 (File No. 001-19424))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Specimen of Class A Non-Voting Common Stock certificate (incorporated herein by reference to Exhibit 4.1 to Old EZCORP’s Registration Statement on Form S-1 effective August 23, 1991 (File No. 33-41317))</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2010 Long-Term Incentive Plan (incorporated herein by reference to Exhibit 99.1 to Old EZCORP’s Registration Statement on Form S-8 effective May 19, 2010 (File No. 333-166950))</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Form of Restricted Stock Award for executive officers (incorporated herein by reference to Exhibit 10.16 to Old EZCORP’s Annual Report on Form 10-K for the year ended September 30, 2010 (File No. 0-19424))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4.6</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Form of Restricted Stock Award for non-employee directors (incorporated herein by reference to Exhibit 10.17 to Old EZCORP’s Annual Report on Form 10-K for the year ended September 30, 2010 (File No. 0-19424))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Opinion of Vinson &amp; Elkins L.L.P.</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Independent Registered Public Accounting Firm</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Vinson &amp; Elkins L.L.P. (contained in Exhibit 5.1)</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hanging="210"/>
              <w:jc w:val="both"/>
              <w:rPr>
                <w:rFonts w:ascii="inherit" w:hAnsi="inherit"/>
                <w:sz w:val="17"/>
              </w:rPr>
            </w:pPr>
            <w:r>
              <w:rPr>
                <w:rFonts w:ascii="inherit" w:hAnsi="inherit"/>
                <w:sz w:val="17"/>
              </w:rPr>
              <w:t>Power of Attorney (included on signature page of this Registration Statement)</w:t>
            </w:r>
          </w:p>
        </w:tc>
      </w:tr>
    </w:tbl>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tbl>
      <w:tblPr>
        <w:tblW w:w="1375" w:type="dxa"/>
        <w:jc w:val="left"/>
        <w:tblInd w:w="0" w:type="dxa"/>
        <w:tblCellMar>
          <w:top w:w="0" w:type="dxa"/>
          <w:left w:w="0" w:type="dxa"/>
          <w:bottom w:w="0" w:type="dxa"/>
          <w:right w:w="0" w:type="dxa"/>
        </w:tblCellMar>
      </w:tblPr>
      <w:tblGrid>
        <w:gridCol w:w="125"/>
        <w:gridCol w:w="1250"/>
      </w:tblGrid>
      <w:tr>
        <w:trPr/>
        <w:tc>
          <w:tcPr>
            <w:tcW w:w="12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 xml:space="preserve">Item 9.    Undertakings.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undersigned Registrant hereby undertakes:</w:t>
      </w:r>
    </w:p>
    <w:tbl>
      <w:tblPr>
        <w:tblW w:w="10205" w:type="dxa"/>
        <w:jc w:val="left"/>
        <w:tblInd w:w="0" w:type="dxa"/>
        <w:tblCellMar>
          <w:top w:w="0" w:type="dxa"/>
          <w:left w:w="0" w:type="dxa"/>
          <w:bottom w:w="0" w:type="dxa"/>
          <w:right w:w="0" w:type="dxa"/>
        </w:tblCellMar>
      </w:tblPr>
      <w:tblGrid>
        <w:gridCol w:w="1688"/>
        <w:gridCol w:w="8517"/>
      </w:tblGrid>
      <w:tr>
        <w:trPr/>
        <w:tc>
          <w:tcPr>
            <w:tcW w:w="1688" w:type="dxa"/>
            <w:tcBorders/>
            <w:shd w:fill="auto" w:val="clear"/>
            <w:vAlign w:val="center"/>
          </w:tcPr>
          <w:p>
            <w:pPr>
              <w:pStyle w:val="TableContents"/>
              <w:spacing w:before="0" w:after="283"/>
              <w:rPr>
                <w:sz w:val="4"/>
                <w:szCs w:val="4"/>
              </w:rPr>
            </w:pPr>
            <w:r>
              <w:rPr>
                <w:sz w:val="4"/>
                <w:szCs w:val="4"/>
              </w:rPr>
            </w:r>
          </w:p>
        </w:tc>
        <w:tc>
          <w:tcPr>
            <w:tcW w:w="8517" w:type="dxa"/>
            <w:tcBorders/>
            <w:shd w:fill="auto" w:val="clear"/>
            <w:vAlign w:val="center"/>
          </w:tcPr>
          <w:p>
            <w:pPr>
              <w:pStyle w:val="TableContents"/>
              <w:spacing w:before="0" w:after="283"/>
              <w:rPr>
                <w:sz w:val="4"/>
                <w:szCs w:val="4"/>
              </w:rPr>
            </w:pPr>
            <w:r>
              <w:rPr>
                <w:sz w:val="4"/>
                <w:szCs w:val="4"/>
              </w:rPr>
            </w:r>
          </w:p>
        </w:tc>
      </w:tr>
      <w:tr>
        <w:trPr/>
        <w:tc>
          <w:tcPr>
            <w:tcW w:w="1688"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17" w:type="dxa"/>
            <w:tcBorders/>
            <w:shd w:fill="auto" w:val="clear"/>
            <w:vAlign w:val="center"/>
          </w:tcPr>
          <w:p>
            <w:pPr>
              <w:pStyle w:val="TableContents"/>
              <w:spacing w:lineRule="auto" w:line="288" w:before="0" w:after="0"/>
              <w:ind w:left="0" w:right="0" w:hanging="1440"/>
              <w:jc w:val="left"/>
              <w:rPr>
                <w:rFonts w:ascii="inherit" w:hAnsi="inherit"/>
                <w:sz w:val="17"/>
              </w:rPr>
            </w:pPr>
            <w:r>
              <w:rPr>
                <w:rFonts w:ascii="inherit" w:hAnsi="inherit"/>
                <w:sz w:val="17"/>
              </w:rPr>
              <w:t>To file, during any period in which offers or sales are being made, a post-effective amendment to this Registration Statement:</w:t>
            </w:r>
          </w:p>
        </w:tc>
      </w:tr>
    </w:tbl>
    <w:p>
      <w:pPr>
        <w:pStyle w:val="TextBody"/>
        <w:spacing w:lineRule="auto" w:line="288" w:before="0" w:after="0"/>
        <w:jc w:val="left"/>
        <w:rPr>
          <w:rFonts w:ascii="inherit" w:hAnsi="inherit"/>
          <w:sz w:val="17"/>
        </w:rPr>
      </w:pPr>
      <w:r>
        <w:rPr>
          <w:rFonts w:ascii="inherit" w:hAnsi="inherit"/>
          <w:sz w:val="17"/>
        </w:rPr>
      </w:r>
    </w:p>
    <w:tbl>
      <w:tblPr>
        <w:tblW w:w="8740" w:type="dxa"/>
        <w:jc w:val="left"/>
        <w:tblInd w:w="0" w:type="dxa"/>
        <w:tblCellMar>
          <w:top w:w="0" w:type="dxa"/>
          <w:left w:w="0" w:type="dxa"/>
          <w:bottom w:w="0" w:type="dxa"/>
          <w:right w:w="0" w:type="dxa"/>
        </w:tblCellMar>
      </w:tblPr>
      <w:tblGrid>
        <w:gridCol w:w="2360"/>
        <w:gridCol w:w="6380"/>
      </w:tblGrid>
      <w:tr>
        <w:trPr/>
        <w:tc>
          <w:tcPr>
            <w:tcW w:w="2360" w:type="dxa"/>
            <w:tcBorders/>
            <w:shd w:fill="auto" w:val="clear"/>
            <w:vAlign w:val="center"/>
          </w:tcPr>
          <w:p>
            <w:pPr>
              <w:pStyle w:val="TableContents"/>
              <w:spacing w:before="0" w:after="283"/>
              <w:rPr>
                <w:sz w:val="4"/>
                <w:szCs w:val="4"/>
              </w:rPr>
            </w:pPr>
            <w:r>
              <w:rPr>
                <w:sz w:val="4"/>
                <w:szCs w:val="4"/>
              </w:rPr>
            </w:r>
          </w:p>
        </w:tc>
        <w:tc>
          <w:tcPr>
            <w:tcW w:w="6380" w:type="dxa"/>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w:t>
            </w:r>
          </w:p>
        </w:tc>
        <w:tc>
          <w:tcPr>
            <w:tcW w:w="6380"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include any prospectus required by Section 10(a)(3) of the Securities Act;</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364"/>
        <w:gridCol w:w="7841"/>
      </w:tblGrid>
      <w:tr>
        <w:trPr/>
        <w:tc>
          <w:tcPr>
            <w:tcW w:w="2364" w:type="dxa"/>
            <w:tcBorders/>
            <w:shd w:fill="auto" w:val="clear"/>
            <w:vAlign w:val="center"/>
          </w:tcPr>
          <w:p>
            <w:pPr>
              <w:pStyle w:val="TableContents"/>
              <w:spacing w:before="0" w:after="283"/>
              <w:rPr>
                <w:sz w:val="4"/>
                <w:szCs w:val="4"/>
              </w:rPr>
            </w:pPr>
            <w:r>
              <w:rPr>
                <w:sz w:val="4"/>
                <w:szCs w:val="4"/>
              </w:rPr>
            </w:r>
          </w:p>
        </w:tc>
        <w:tc>
          <w:tcPr>
            <w:tcW w:w="7841" w:type="dxa"/>
            <w:tcBorders/>
            <w:shd w:fill="auto" w:val="clear"/>
            <w:vAlign w:val="center"/>
          </w:tcPr>
          <w:p>
            <w:pPr>
              <w:pStyle w:val="TableContents"/>
              <w:spacing w:before="0" w:after="283"/>
              <w:rPr>
                <w:sz w:val="4"/>
                <w:szCs w:val="4"/>
              </w:rPr>
            </w:pPr>
            <w:r>
              <w:rPr>
                <w:sz w:val="4"/>
                <w:szCs w:val="4"/>
              </w:rPr>
            </w:r>
          </w:p>
        </w:tc>
      </w:tr>
      <w:tr>
        <w:trPr/>
        <w:tc>
          <w:tcPr>
            <w:tcW w:w="2364"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(ii)</w:t>
            </w:r>
          </w:p>
        </w:tc>
        <w:tc>
          <w:tcPr>
            <w:tcW w:w="7841"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17"/>
        <w:gridCol w:w="7788"/>
      </w:tblGrid>
      <w:tr>
        <w:trPr/>
        <w:tc>
          <w:tcPr>
            <w:tcW w:w="2417" w:type="dxa"/>
            <w:tcBorders/>
            <w:shd w:fill="auto" w:val="clear"/>
            <w:vAlign w:val="center"/>
          </w:tcPr>
          <w:p>
            <w:pPr>
              <w:pStyle w:val="TableContents"/>
              <w:spacing w:before="0" w:after="283"/>
              <w:rPr>
                <w:sz w:val="4"/>
                <w:szCs w:val="4"/>
              </w:rPr>
            </w:pPr>
            <w:r>
              <w:rPr>
                <w:sz w:val="4"/>
                <w:szCs w:val="4"/>
              </w:rPr>
            </w:r>
          </w:p>
        </w:tc>
        <w:tc>
          <w:tcPr>
            <w:tcW w:w="7788" w:type="dxa"/>
            <w:tcBorders/>
            <w:shd w:fill="auto" w:val="clear"/>
            <w:vAlign w:val="center"/>
          </w:tcPr>
          <w:p>
            <w:pPr>
              <w:pStyle w:val="TableContents"/>
              <w:spacing w:before="0" w:after="283"/>
              <w:rPr>
                <w:sz w:val="4"/>
                <w:szCs w:val="4"/>
              </w:rPr>
            </w:pPr>
            <w:r>
              <w:rPr>
                <w:sz w:val="4"/>
                <w:szCs w:val="4"/>
              </w:rPr>
            </w:r>
          </w:p>
        </w:tc>
      </w:tr>
      <w:tr>
        <w:trPr/>
        <w:tc>
          <w:tcPr>
            <w:tcW w:w="2417"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(iii)</w:t>
            </w:r>
          </w:p>
        </w:tc>
        <w:tc>
          <w:tcPr>
            <w:tcW w:w="7788"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include any material information with respect to the plan of distribution not previously disclosed in this Registration Statement or any material change to such information in this Registration Statement;</w:t>
            </w:r>
          </w:p>
        </w:tc>
      </w:tr>
    </w:tbl>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1440"/>
        <w:jc w:val="left"/>
        <w:rPr>
          <w:sz w:val="17"/>
        </w:rPr>
      </w:pPr>
      <w:r>
        <w:rPr>
          <w:rFonts w:ascii="inherit" w:hAnsi="inherit"/>
          <w:i/>
          <w:sz w:val="17"/>
        </w:rPr>
        <w:t>provided, however</w:t>
      </w:r>
      <w:r>
        <w:rPr>
          <w:rFonts w:ascii="inherit" w:hAnsi="inherit"/>
          <w:sz w:val="17"/>
        </w:rPr>
        <w:t xml:space="preserve">, that paragraphs (a)(i) and (a)(ii) above do not apply if the information required to be included in a post-effective amendment by those paragraphs is contained in periodic reports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left"/>
        <w:rPr>
          <w:rFonts w:ascii="inherit" w:hAnsi="inherit"/>
          <w:sz w:val="17"/>
        </w:rPr>
      </w:pPr>
      <w:r>
        <w:rPr>
          <w:rFonts w:ascii="inherit" w:hAnsi="inherit"/>
          <w:sz w:val="17"/>
        </w:rPr>
      </w:r>
      <w:bookmarkStart w:id="11" w:name="sE6DA086C906FEE1081109EADD23472604"/>
      <w:bookmarkStart w:id="12" w:name="sE6DA086C906FEE1081109EADD23472604"/>
      <w:bookmarkEnd w:id="12"/>
    </w:p>
    <w:p>
      <w:pPr>
        <w:pStyle w:val="TextBody"/>
        <w:spacing w:before="0" w:after="0"/>
        <w:rPr/>
      </w:pPr>
      <w:r>
        <w:rPr/>
      </w:r>
    </w:p>
    <w:p>
      <w:pPr>
        <w:pStyle w:val="TextBody"/>
        <w:spacing w:lineRule="auto" w:line="288" w:before="0" w:after="0"/>
        <w:ind w:left="0" w:right="0" w:firstLine="1440"/>
        <w:jc w:val="left"/>
        <w:rPr>
          <w:rFonts w:ascii="inherit" w:hAnsi="inherit"/>
          <w:sz w:val="17"/>
        </w:rPr>
      </w:pPr>
      <w:r>
        <w:rPr>
          <w:rFonts w:ascii="inherit" w:hAnsi="inherit"/>
          <w:sz w:val="17"/>
        </w:rPr>
        <w:t>filed by the Registrant pursuant to Section 13 or Section 15(d) of the Exchange Act that are incorporated by reference in this Registration Statement.</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659"/>
        <w:gridCol w:w="8546"/>
      </w:tblGrid>
      <w:tr>
        <w:trPr/>
        <w:tc>
          <w:tcPr>
            <w:tcW w:w="1659" w:type="dxa"/>
            <w:tcBorders/>
            <w:shd w:fill="auto" w:val="clear"/>
            <w:vAlign w:val="center"/>
          </w:tcPr>
          <w:p>
            <w:pPr>
              <w:pStyle w:val="TableContents"/>
              <w:spacing w:before="0" w:after="283"/>
              <w:rPr>
                <w:sz w:val="4"/>
                <w:szCs w:val="4"/>
              </w:rPr>
            </w:pPr>
            <w:r>
              <w:rPr>
                <w:sz w:val="4"/>
                <w:szCs w:val="4"/>
              </w:rPr>
            </w:r>
          </w:p>
        </w:tc>
        <w:tc>
          <w:tcPr>
            <w:tcW w:w="8546" w:type="dxa"/>
            <w:tcBorders/>
            <w:shd w:fill="auto" w:val="clear"/>
            <w:vAlign w:val="center"/>
          </w:tcPr>
          <w:p>
            <w:pPr>
              <w:pStyle w:val="TableContents"/>
              <w:spacing w:before="0" w:after="283"/>
              <w:rPr>
                <w:sz w:val="4"/>
                <w:szCs w:val="4"/>
              </w:rPr>
            </w:pPr>
            <w:r>
              <w:rPr>
                <w:sz w:val="4"/>
                <w:szCs w:val="4"/>
              </w:rPr>
            </w:r>
          </w:p>
        </w:tc>
      </w:tr>
      <w:tr>
        <w:trPr/>
        <w:tc>
          <w:tcPr>
            <w:tcW w:w="1659"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46" w:type="dxa"/>
            <w:tcBorders/>
            <w:shd w:fill="auto" w:val="clear"/>
            <w:vAlign w:val="center"/>
          </w:tcPr>
          <w:p>
            <w:pPr>
              <w:pStyle w:val="TableContents"/>
              <w:spacing w:lineRule="auto" w:line="288" w:before="0" w:after="0"/>
              <w:ind w:left="0" w:right="0" w:hanging="1440"/>
              <w:jc w:val="left"/>
              <w:rPr>
                <w:sz w:val="17"/>
              </w:rPr>
            </w:pPr>
            <w:r>
              <w:rPr>
                <w:rFonts w:ascii="inherit" w:hAnsi="inherit"/>
                <w:sz w:val="17"/>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inherit" w:hAnsi="inherit"/>
                <w:i/>
                <w:sz w:val="17"/>
              </w:rPr>
              <w:t xml:space="preserve">bona fide </w:t>
            </w:r>
            <w:r>
              <w:rPr>
                <w:rFonts w:ascii="inherit" w:hAnsi="inherit"/>
                <w:sz w:val="17"/>
              </w:rPr>
              <w:t>offering thereof.</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662"/>
        <w:gridCol w:w="8543"/>
      </w:tblGrid>
      <w:tr>
        <w:trPr/>
        <w:tc>
          <w:tcPr>
            <w:tcW w:w="1662" w:type="dxa"/>
            <w:tcBorders/>
            <w:shd w:fill="auto" w:val="clear"/>
            <w:vAlign w:val="center"/>
          </w:tcPr>
          <w:p>
            <w:pPr>
              <w:pStyle w:val="TableContents"/>
              <w:spacing w:before="0" w:after="283"/>
              <w:rPr>
                <w:sz w:val="4"/>
                <w:szCs w:val="4"/>
              </w:rPr>
            </w:pPr>
            <w:r>
              <w:rPr>
                <w:sz w:val="4"/>
                <w:szCs w:val="4"/>
              </w:rPr>
            </w:r>
          </w:p>
        </w:tc>
        <w:tc>
          <w:tcPr>
            <w:tcW w:w="8543" w:type="dxa"/>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43" w:type="dxa"/>
            <w:tcBorders/>
            <w:shd w:fill="auto" w:val="clear"/>
            <w:vAlign w:val="center"/>
          </w:tcPr>
          <w:p>
            <w:pPr>
              <w:pStyle w:val="TableContents"/>
              <w:spacing w:lineRule="auto" w:line="288" w:before="0" w:after="0"/>
              <w:ind w:left="0" w:right="0" w:hanging="1440"/>
              <w:jc w:val="left"/>
              <w:rPr>
                <w:rFonts w:ascii="inherit" w:hAnsi="inherit"/>
                <w:sz w:val="17"/>
              </w:rPr>
            </w:pPr>
            <w:r>
              <w:rPr>
                <w:rFonts w:ascii="inherit" w:hAnsi="inherit"/>
                <w:sz w:val="17"/>
              </w:rPr>
              <w:t>To remove from registration by means of a post-effective amendment any of the securities being registered which remain unsold at the termination of the offering.</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the time shall be deemed to be the initial bona fide offering thereof.</w:t>
      </w:r>
    </w:p>
    <w:p>
      <w:pPr>
        <w:pStyle w:val="TextBody"/>
        <w:spacing w:lineRule="auto" w:line="288" w:before="0" w:after="0"/>
        <w:jc w:val="left"/>
        <w:rPr>
          <w:rFonts w:ascii="inherit" w:hAnsi="inherit"/>
          <w:sz w:val="17"/>
        </w:rPr>
      </w:pPr>
      <w:r>
        <w:rPr>
          <w:rFonts w:ascii="inherit" w:hAnsi="inherit"/>
          <w:sz w:val="17"/>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left"/>
        <w:rPr>
          <w:rFonts w:ascii="inherit" w:hAnsi="inherit"/>
          <w:sz w:val="17"/>
        </w:rPr>
      </w:pPr>
      <w:r>
        <w:rPr>
          <w:rFonts w:ascii="inherit" w:hAnsi="inherit"/>
          <w:sz w:val="17"/>
        </w:rPr>
      </w:r>
      <w:bookmarkStart w:id="13" w:name="sE6DA086C906FEE1081109EADD23472605"/>
      <w:bookmarkStart w:id="14" w:name="sE6DA086C906FEE1081109EADD23472605"/>
      <w:bookmarkEnd w:id="14"/>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both"/>
        <w:rPr>
          <w:sz w:val="17"/>
        </w:rPr>
      </w:pPr>
      <w:r>
        <w:rPr>
          <w:rFonts w:ascii="inherit" w:hAnsi="inherit"/>
          <w:sz w:val="17"/>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10</w:t>
      </w:r>
      <w:r>
        <w:rPr>
          <w:rFonts w:ascii="inherit" w:hAnsi="inherit"/>
          <w:sz w:val="12"/>
        </w:rPr>
        <w:t>th</w:t>
      </w:r>
      <w:r>
        <w:rPr>
          <w:sz w:val="17"/>
        </w:rPr>
        <w:t xml:space="preserve"> </w:t>
      </w:r>
      <w:r>
        <w:rPr>
          <w:rFonts w:ascii="inherit" w:hAnsi="inherit"/>
          <w:sz w:val="17"/>
        </w:rPr>
        <w:t xml:space="preserve">day of October, 2013. </w:t>
      </w:r>
    </w:p>
    <w:tbl>
      <w:tblPr>
        <w:tblW w:w="9510" w:type="dxa"/>
        <w:jc w:val="center"/>
        <w:tblInd w:w="0" w:type="dxa"/>
        <w:tblCellMar>
          <w:top w:w="0" w:type="dxa"/>
          <w:left w:w="0" w:type="dxa"/>
          <w:bottom w:w="0" w:type="dxa"/>
          <w:right w:w="0" w:type="dxa"/>
        </w:tblCellMar>
      </w:tblPr>
      <w:tblGrid>
        <w:gridCol w:w="1902"/>
        <w:gridCol w:w="3519"/>
        <w:gridCol w:w="380"/>
        <w:gridCol w:w="3234"/>
        <w:gridCol w:w="475"/>
      </w:tblGrid>
      <w:tr>
        <w:trPr/>
        <w:tc>
          <w:tcPr>
            <w:tcW w:w="9510" w:type="dxa"/>
            <w:gridSpan w:val="5"/>
            <w:tcBorders/>
            <w:shd w:fill="auto" w:val="clear"/>
            <w:vAlign w:val="center"/>
          </w:tcPr>
          <w:p>
            <w:pPr>
              <w:pStyle w:val="TableContents"/>
              <w:spacing w:before="0" w:after="283"/>
              <w:rPr>
                <w:sz w:val="4"/>
                <w:szCs w:val="4"/>
              </w:rPr>
            </w:pPr>
            <w:r>
              <w:rPr>
                <w:sz w:val="4"/>
                <w:szCs w:val="4"/>
              </w:rPr>
            </w:r>
          </w:p>
        </w:tc>
      </w:tr>
      <w:tr>
        <w:trPr/>
        <w:tc>
          <w:tcPr>
            <w:tcW w:w="1902" w:type="dxa"/>
            <w:tcBorders/>
            <w:shd w:fill="auto" w:val="clear"/>
            <w:vAlign w:val="center"/>
          </w:tcPr>
          <w:p>
            <w:pPr>
              <w:pStyle w:val="TableContents"/>
              <w:spacing w:before="0" w:after="283"/>
              <w:rPr>
                <w:sz w:val="4"/>
                <w:szCs w:val="4"/>
              </w:rPr>
            </w:pPr>
            <w:r>
              <w:rPr>
                <w:sz w:val="4"/>
                <w:szCs w:val="4"/>
              </w:rPr>
            </w:r>
          </w:p>
        </w:tc>
        <w:tc>
          <w:tcPr>
            <w:tcW w:w="351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3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61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rPr/>
            </w:pPr>
            <w:r>
              <w:rPr/>
              <w:t> </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2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c>
          <w:tcPr>
            <w:tcW w:w="475" w:type="dxa"/>
            <w:tcBorders/>
            <w:shd w:fill="auto" w:val="clear"/>
            <w:vAlign w:val="center"/>
          </w:tcPr>
          <w:p>
            <w:pPr>
              <w:pStyle w:val="TableContents"/>
              <w:spacing w:before="0" w:after="0"/>
              <w:rPr/>
            </w:pPr>
            <w:r>
              <w:rPr/>
              <w:t> </w:t>
            </w:r>
          </w:p>
        </w:tc>
      </w:tr>
    </w:tbl>
    <w:p>
      <w:pPr>
        <w:pStyle w:val="TextBody"/>
        <w:spacing w:lineRule="auto" w:line="288" w:before="0" w:after="0"/>
        <w:ind w:left="0" w:right="0" w:hanging="54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 xml:space="preserve">POWER OF ATTORNEY </w:t>
      </w:r>
    </w:p>
    <w:p>
      <w:pPr>
        <w:pStyle w:val="TextBody"/>
        <w:spacing w:lineRule="auto" w:line="288" w:before="0" w:after="0"/>
        <w:jc w:val="both"/>
        <w:rPr>
          <w:rFonts w:ascii="inherit" w:hAnsi="inherit"/>
          <w:sz w:val="17"/>
        </w:rPr>
      </w:pPr>
      <w:r>
        <w:rPr>
          <w:rFonts w:ascii="inherit" w:hAnsi="inherit"/>
          <w:sz w:val="17"/>
        </w:rPr>
        <w:t xml:space="preserve">Each person whose signature appears below appoints Thomas H. Welch, Jr.,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would do in person, hereby ratifying and confirming all that said attorney-in-fact and agent or his substitute and substitutes, may lawfully do or cause to be done by virtue hereof. </w:t>
      </w:r>
    </w:p>
    <w:p>
      <w:pPr>
        <w:pStyle w:val="TextBody"/>
        <w:spacing w:lineRule="auto" w:line="288" w:before="0" w:after="0"/>
        <w:jc w:val="both"/>
        <w:rPr>
          <w:sz w:val="17"/>
        </w:rPr>
      </w:pPr>
      <w:r>
        <w:rPr>
          <w:rFonts w:ascii="inherit" w:hAnsi="inherit"/>
          <w:sz w:val="17"/>
        </w:rPr>
        <w:t>Pursuant to the requirements of the Securities Act of 1933, this Registration Statement has been signed below by the following persons in the capacities indicated on this 10</w:t>
      </w:r>
      <w:r>
        <w:rPr>
          <w:rFonts w:ascii="inherit" w:hAnsi="inherit"/>
          <w:sz w:val="12"/>
        </w:rPr>
        <w:t>th</w:t>
      </w:r>
      <w:r>
        <w:rPr>
          <w:sz w:val="17"/>
        </w:rPr>
        <w:t xml:space="preserve"> </w:t>
      </w:r>
      <w:r>
        <w:rPr>
          <w:rFonts w:ascii="inherit" w:hAnsi="inherit"/>
          <w:sz w:val="17"/>
        </w:rPr>
        <w:t xml:space="preserve">day of October, 2013. </w:t>
      </w:r>
    </w:p>
    <w:tbl>
      <w:tblPr>
        <w:tblW w:w="10205" w:type="dxa"/>
        <w:jc w:val="center"/>
        <w:tblInd w:w="0" w:type="dxa"/>
        <w:tblCellMar>
          <w:top w:w="0" w:type="dxa"/>
          <w:left w:w="0" w:type="dxa"/>
          <w:bottom w:w="0" w:type="dxa"/>
          <w:right w:w="0" w:type="dxa"/>
        </w:tblCellMar>
      </w:tblPr>
      <w:tblGrid>
        <w:gridCol w:w="5020"/>
        <w:gridCol w:w="121"/>
        <w:gridCol w:w="506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0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0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121" w:type="dxa"/>
            <w:tcBorders/>
            <w:shd w:fill="auto" w:val="clear"/>
            <w:vAlign w:val="center"/>
          </w:tcPr>
          <w:p>
            <w:pPr>
              <w:pStyle w:val="TableContents"/>
              <w:spacing w:before="0" w:after="0"/>
              <w:ind w:left="0" w:right="0" w:firstLine="30"/>
              <w:rPr/>
            </w:pPr>
            <w:r>
              <w:rPr/>
              <w:t> </w:t>
            </w:r>
          </w:p>
        </w:tc>
        <w:tc>
          <w:tcPr>
            <w:tcW w:w="506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5020" w:type="dxa"/>
            <w:tcBorders/>
            <w:shd w:fill="auto" w:val="clear"/>
            <w:vAlign w:val="center"/>
          </w:tcPr>
          <w:p>
            <w:pPr>
              <w:pStyle w:val="TableContents"/>
              <w:spacing w:before="0" w:after="0"/>
              <w:jc w:val="center"/>
              <w:rPr>
                <w:rFonts w:ascii="inherit" w:hAnsi="inherit"/>
                <w:sz w:val="17"/>
              </w:rPr>
            </w:pPr>
            <w:r>
              <w:rPr>
                <w:rFonts w:ascii="inherit" w:hAnsi="inherit"/>
                <w:sz w:val="17"/>
              </w:rPr>
            </w:r>
          </w:p>
          <w:p>
            <w:pPr>
              <w:pStyle w:val="TableContents"/>
              <w:spacing w:before="0" w:after="0"/>
              <w:ind w:left="0" w:right="0" w:firstLine="30"/>
              <w:jc w:val="center"/>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Paul E. Rothamel</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rPr>
                <w:rFonts w:ascii="inherit" w:hAnsi="inherit"/>
                <w:sz w:val="17"/>
              </w:rPr>
            </w:pPr>
            <w:r>
              <w:rPr>
                <w:rFonts w:ascii="inherit" w:hAnsi="inherit"/>
                <w:sz w:val="17"/>
              </w:rPr>
              <w:t>President and Chief Executive Officer</w:t>
            </w:r>
          </w:p>
          <w:p>
            <w:pPr>
              <w:pStyle w:val="TableContents"/>
              <w:spacing w:before="0" w:after="0"/>
              <w:ind w:left="0" w:right="0" w:firstLine="30"/>
              <w:rPr>
                <w:rFonts w:ascii="inherit" w:hAnsi="inherit"/>
                <w:i/>
                <w:sz w:val="17"/>
              </w:rPr>
            </w:pPr>
            <w:r>
              <w:rPr>
                <w:rFonts w:ascii="inherit" w:hAnsi="inherit"/>
                <w:i/>
                <w:sz w:val="17"/>
              </w:rPr>
              <w:t>(Principal Executive Officer)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Paul E. Rothamel</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jc w:val="center"/>
              <w:rPr>
                <w:rFonts w:ascii="inherit" w:hAnsi="inherit"/>
                <w:sz w:val="17"/>
              </w:rPr>
            </w:pPr>
            <w:r>
              <w:rPr>
                <w:rFonts w:ascii="inherit" w:hAnsi="inherit"/>
                <w:sz w:val="17"/>
              </w:rPr>
            </w:r>
          </w:p>
          <w:p>
            <w:pPr>
              <w:pStyle w:val="TableContents"/>
              <w:spacing w:before="0" w:after="0"/>
              <w:ind w:left="0" w:right="0" w:firstLine="30"/>
              <w:jc w:val="center"/>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Mark Kuchenrither</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ind w:left="0" w:right="0" w:firstLine="30"/>
              <w:rPr>
                <w:sz w:val="17"/>
              </w:rPr>
            </w:pPr>
            <w:r>
              <w:rPr>
                <w:rFonts w:ascii="inherit" w:hAnsi="inherit"/>
                <w:sz w:val="17"/>
              </w:rPr>
              <w:t>Executive Vice President and Chief Financial Officer</w:t>
            </w:r>
            <w:r>
              <w:rPr>
                <w:rFonts w:ascii="inherit" w:hAnsi="inherit"/>
                <w:i/>
                <w:sz w:val="17"/>
              </w:rPr>
              <w:t>(Principal Financial Officer)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Mark Kuchenrither</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Jeffrey S. Byal</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rPr>
                <w:sz w:val="17"/>
              </w:rPr>
            </w:pPr>
            <w:r>
              <w:rPr>
                <w:rFonts w:ascii="inherit" w:hAnsi="inherit"/>
                <w:sz w:val="17"/>
              </w:rPr>
              <w:t>Senior Vice President and Chief Accounting Officer</w:t>
            </w:r>
            <w:r>
              <w:rPr>
                <w:rFonts w:ascii="inherit" w:hAnsi="inherit"/>
                <w:i/>
                <w:sz w:val="17"/>
              </w:rPr>
              <w:t>(Principal Accounting Officer)</w:t>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Jeffrey S. Byal</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Sterling B. Brinkley</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Chairman of the Board</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Sterling B. Brinkley</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Joseph J. Beal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Joseph J. Beal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Pablo Lagos Espinosa</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Pablo Lagos Espinosa</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John Farrell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John Farrell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left"/>
        <w:rPr>
          <w:rFonts w:ascii="inherit" w:hAnsi="inherit"/>
          <w:sz w:val="17"/>
        </w:rPr>
      </w:pPr>
      <w:r>
        <w:rPr>
          <w:rFonts w:ascii="inherit" w:hAnsi="inherit"/>
          <w:sz w:val="17"/>
        </w:rPr>
      </w:r>
      <w:bookmarkStart w:id="15" w:name="sE6DA086C906FEE1081109EADD23472606"/>
      <w:bookmarkStart w:id="16" w:name="sE6DA086C906FEE1081109EADD23472606"/>
      <w:bookmarkEnd w:id="16"/>
    </w:p>
    <w:p>
      <w:pPr>
        <w:pStyle w:val="TextBody"/>
        <w:spacing w:before="0" w:after="0"/>
        <w:rPr/>
      </w:pPr>
      <w:r>
        <w:rPr/>
      </w:r>
    </w:p>
    <w:tbl>
      <w:tblPr>
        <w:tblW w:w="9132" w:type="dxa"/>
        <w:jc w:val="center"/>
        <w:tblInd w:w="0" w:type="dxa"/>
        <w:tblCellMar>
          <w:top w:w="0" w:type="dxa"/>
          <w:left w:w="0" w:type="dxa"/>
          <w:bottom w:w="0" w:type="dxa"/>
          <w:right w:w="0" w:type="dxa"/>
        </w:tblCellMar>
      </w:tblPr>
      <w:tblGrid>
        <w:gridCol w:w="4475"/>
        <w:gridCol w:w="91"/>
        <w:gridCol w:w="4566"/>
      </w:tblGrid>
      <w:tr>
        <w:trPr/>
        <w:tc>
          <w:tcPr>
            <w:tcW w:w="9132" w:type="dxa"/>
            <w:gridSpan w:val="3"/>
            <w:tcBorders/>
            <w:shd w:fill="auto" w:val="clear"/>
            <w:vAlign w:val="center"/>
          </w:tcPr>
          <w:p>
            <w:pPr>
              <w:pStyle w:val="TableContents"/>
              <w:spacing w:before="0" w:after="283"/>
              <w:rPr>
                <w:sz w:val="4"/>
                <w:szCs w:val="4"/>
              </w:rPr>
            </w:pPr>
            <w:r>
              <w:rPr>
                <w:sz w:val="4"/>
                <w:szCs w:val="4"/>
              </w:rPr>
            </w:r>
          </w:p>
        </w:tc>
      </w:tr>
      <w:tr>
        <w:trPr/>
        <w:tc>
          <w:tcPr>
            <w:tcW w:w="447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45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William C. Love</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4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William C. Love</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rPr/>
            </w:pPr>
            <w:r>
              <w:rPr/>
              <w:t> </w:t>
            </w:r>
          </w:p>
        </w:tc>
      </w:tr>
      <w:tr>
        <w:trPr/>
        <w:tc>
          <w:tcPr>
            <w:tcW w:w="4475" w:type="dxa"/>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44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Thomas C. Roberts</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4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Thomas C. Roberts</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rPr/>
            </w:pPr>
            <w:r>
              <w:rPr/>
              <w:t> </w:t>
            </w:r>
          </w:p>
        </w:tc>
      </w:tr>
      <w:tr>
        <w:trPr/>
        <w:tc>
          <w:tcPr>
            <w:tcW w:w="4475" w:type="dxa"/>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left"/>
        <w:rPr>
          <w:rFonts w:ascii="inherit" w:hAnsi="inherit"/>
          <w:sz w:val="17"/>
        </w:rPr>
      </w:pPr>
      <w:r>
        <w:rPr>
          <w:rFonts w:ascii="inherit" w:hAnsi="inherit"/>
          <w:sz w:val="17"/>
        </w:rPr>
      </w:r>
      <w:bookmarkStart w:id="17" w:name="sE142FFCDE6B4CF5F92329EADD2522FF9"/>
      <w:bookmarkStart w:id="18" w:name="sE142FFCDE6B4CF5F92329EADD2522FF9"/>
      <w:bookmarkEnd w:id="18"/>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238"/>
        <w:gridCol w:w="680"/>
        <w:gridCol w:w="258"/>
        <w:gridCol w:w="416"/>
        <w:gridCol w:w="106"/>
        <w:gridCol w:w="8507"/>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3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5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Exhibit </w:t>
              <w:br/>
              <w:t>Number</w:t>
            </w:r>
          </w:p>
        </w:tc>
        <w:tc>
          <w:tcPr>
            <w:tcW w:w="522" w:type="dxa"/>
            <w:gridSpan w:val="2"/>
            <w:tcBorders/>
            <w:shd w:fill="auto" w:val="clear"/>
            <w:vAlign w:val="center"/>
          </w:tcPr>
          <w:p>
            <w:pPr>
              <w:pStyle w:val="TableContents"/>
              <w:spacing w:before="0" w:after="0"/>
              <w:ind w:left="0" w:right="0" w:firstLine="30"/>
              <w:rPr/>
            </w:pPr>
            <w:r>
              <w:rPr/>
              <w:t> </w:t>
            </w:r>
          </w:p>
        </w:tc>
        <w:tc>
          <w:tcPr>
            <w:tcW w:w="850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Description</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258" w:type="dxa"/>
            <w:tcBorders/>
            <w:shd w:fill="auto" w:val="clear"/>
            <w:vAlign w:val="center"/>
          </w:tcPr>
          <w:p>
            <w:pPr>
              <w:pStyle w:val="TableContents"/>
              <w:spacing w:before="0" w:after="0"/>
              <w:ind w:left="0" w:right="0" w:firstLine="30"/>
              <w:rPr/>
            </w:pPr>
            <w:r>
              <w:rPr/>
              <w:t> </w:t>
            </w:r>
          </w:p>
        </w:tc>
        <w:tc>
          <w:tcPr>
            <w:tcW w:w="522" w:type="dxa"/>
            <w:gridSpan w:val="2"/>
            <w:tcBorders/>
            <w:shd w:fill="auto" w:val="clear"/>
            <w:vAlign w:val="center"/>
          </w:tcPr>
          <w:p>
            <w:pPr>
              <w:pStyle w:val="TableContents"/>
              <w:spacing w:before="0" w:after="0"/>
              <w:ind w:left="0" w:right="0" w:firstLine="30"/>
              <w:jc w:val="center"/>
              <w:rPr/>
            </w:pPr>
            <w:r>
              <w:rPr/>
              <w:t>—</w:t>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Amended and Restated Certificate of Incorporation of EZCORP, Inc. (incorporated herein by reference to Exhibit 3.1 of EZCORP’s Current Report on Form 8-K filed on October 2, 2013 (File No. 001-19424))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By-Laws of EZCORP, Inc. (incorporated herein by reference to Exhibit 3.2 of EZCORP’s Current Report on Form 8-K filed on October 2, 2013 (File No. 001-19424))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Specimen of Class A Non-Voting Common Stock certificate (incorporated herein by reference to Exhibit 4.1 to Old EZCORP’s Registration Statement on Form S-1 effective August 23, 1991 (File No. 33-41317))</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2010 Long-Term Incentive Plan (incorporated herein by reference to Exhibit 99.1 to Old EZCORP’s Registration Statement on Form S-8 effective May 19, 2010 (File No. 333-166950))</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Form of Restricted Stock Award for executive officers (incorporated herein by reference to Exhibit 10.16 to Old EZCORP’s Annual Report on Form 10-K for the year ended September 30, 2010 (File No. 0-19424))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4.6</w:t>
            </w:r>
          </w:p>
        </w:tc>
        <w:tc>
          <w:tcPr>
            <w:tcW w:w="258" w:type="dxa"/>
            <w:tcBorders/>
            <w:shd w:fill="auto" w:val="clear"/>
            <w:vAlign w:val="center"/>
          </w:tcPr>
          <w:p>
            <w:pPr>
              <w:pStyle w:val="TableContents"/>
              <w:spacing w:before="0" w:after="0"/>
              <w:ind w:left="0" w:right="0" w:firstLine="30"/>
              <w:rPr/>
            </w:pPr>
            <w:r>
              <w:rPr/>
              <w:t> </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Form of Restricted Stock Award for non-employee directors (incorporated herein by reference to Exhibit 10.17 to Old EZCORP’s Annual Report on Form 10-K for the year ended September 30, 2010 (File No. 0-19424))</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Opinion of Vinson &amp; Elkins L.L.P.</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Independent Registered Public Accounting Firm</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Vinson &amp; Elkins L.L.P. (contained in Exhibit 5.1)</w:t>
            </w:r>
          </w:p>
        </w:tc>
      </w:tr>
      <w:tr>
        <w:trPr/>
        <w:tc>
          <w:tcPr>
            <w:tcW w:w="238"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2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6"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07" w:type="dxa"/>
            <w:tcBorders/>
            <w:shd w:fill="auto" w:val="clear"/>
            <w:vAlign w:val="center"/>
          </w:tcPr>
          <w:p>
            <w:pPr>
              <w:pStyle w:val="TableContents"/>
              <w:spacing w:before="0" w:after="0"/>
              <w:ind w:left="0" w:right="0" w:hanging="210"/>
              <w:jc w:val="both"/>
              <w:rPr>
                <w:rFonts w:ascii="inherit" w:hAnsi="inherit"/>
                <w:sz w:val="17"/>
              </w:rPr>
            </w:pPr>
            <w:r>
              <w:rPr>
                <w:rFonts w:ascii="inherit" w:hAnsi="inherit"/>
                <w:sz w:val="17"/>
              </w:rPr>
              <w:t>Power of Attorney (included on signature page of this Registration Statement)</w:t>
            </w:r>
          </w:p>
        </w:tc>
      </w:tr>
    </w:tbl>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tbl>
      <w:tblPr>
        <w:tblW w:w="1375" w:type="dxa"/>
        <w:jc w:val="left"/>
        <w:tblInd w:w="0" w:type="dxa"/>
        <w:tblCellMar>
          <w:top w:w="0" w:type="dxa"/>
          <w:left w:w="0" w:type="dxa"/>
          <w:bottom w:w="0" w:type="dxa"/>
          <w:right w:w="0" w:type="dxa"/>
        </w:tblCellMar>
      </w:tblPr>
      <w:tblGrid>
        <w:gridCol w:w="125"/>
        <w:gridCol w:w="1250"/>
      </w:tblGrid>
      <w:tr>
        <w:trPr/>
        <w:tc>
          <w:tcPr>
            <w:tcW w:w="12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40" w:before="0" w:after="0"/>
        <w:jc w:val="left"/>
        <w:rPr/>
      </w:pPr>
      <w:bookmarkStart w:id="19" w:name="s213458266C45CC8F1A659EAB4DE8F1DF"/>
      <w:bookmarkStart w:id="20" w:name="s-8opinionletter2010ltip.htm"/>
      <w:bookmarkStart w:id="21" w:name="kss8opinionletter2010ltip"/>
      <w:bookmarkEnd w:id="19"/>
      <w:bookmarkEnd w:id="20"/>
      <w:bookmarkEnd w:id="21"/>
      <w:r>
        <w:rPr/>
        <w:drawing>
          <wp:inline distT="0" distB="0" distL="0" distR="0">
            <wp:extent cx="16192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190500"/>
                    </a:xfrm>
                    <a:prstGeom prst="rect">
                      <a:avLst/>
                    </a:prstGeom>
                  </pic:spPr>
                </pic:pic>
              </a:graphicData>
            </a:graphic>
          </wp:inline>
        </w:drawing>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jc w:val="right"/>
        <w:rPr>
          <w:rFonts w:ascii="inherit" w:hAnsi="inherit"/>
          <w:b/>
          <w:sz w:val="17"/>
          <w:u w:val="single"/>
        </w:rPr>
      </w:pPr>
      <w:r>
        <w:rPr>
          <w:rFonts w:ascii="inherit" w:hAnsi="inherit"/>
          <w:b/>
          <w:sz w:val="17"/>
          <w:u w:val="single"/>
        </w:rPr>
        <w:t>Exhibit 5.1</w:t>
      </w:r>
    </w:p>
    <w:p>
      <w:pPr>
        <w:pStyle w:val="TextBody"/>
        <w:spacing w:lineRule="auto" w:line="240" w:before="0" w:after="0"/>
        <w:jc w:val="right"/>
        <w:rPr>
          <w:rFonts w:ascii="inherit" w:hAnsi="inherit"/>
          <w:sz w:val="17"/>
        </w:rPr>
      </w:pPr>
      <w:r>
        <w:rPr>
          <w:rFonts w:ascii="inherit" w:hAnsi="inherit"/>
          <w:sz w:val="17"/>
        </w:rPr>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40" w:before="0" w:after="0"/>
        <w:ind w:left="0" w:right="0" w:firstLine="5040"/>
        <w:jc w:val="right"/>
        <w:rPr/>
      </w:pPr>
      <w:r>
        <w:rPr/>
        <w:t>                            </w:t>
      </w:r>
    </w:p>
    <w:p>
      <w:pPr>
        <w:pStyle w:val="TextBody"/>
        <w:spacing w:lineRule="auto" w:line="240" w:before="0" w:after="0"/>
        <w:jc w:val="righ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October 10, 2013</w:t>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1901 Capital Parkway</w:t>
      </w:r>
    </w:p>
    <w:p>
      <w:pPr>
        <w:pStyle w:val="TextBody"/>
        <w:spacing w:lineRule="auto" w:line="288" w:before="0" w:after="0"/>
        <w:jc w:val="both"/>
        <w:rPr>
          <w:rFonts w:ascii="inherit" w:hAnsi="inherit"/>
          <w:sz w:val="17"/>
        </w:rPr>
      </w:pPr>
      <w:r>
        <w:rPr>
          <w:rFonts w:ascii="inherit" w:hAnsi="inherit"/>
          <w:sz w:val="17"/>
        </w:rPr>
        <w:t>Austin, Texas 78746</w:t>
      </w:r>
    </w:p>
    <w:p>
      <w:pPr>
        <w:pStyle w:val="TextBody"/>
        <w:spacing w:lineRule="auto" w:line="288" w:before="0" w:after="0"/>
        <w:jc w:val="both"/>
        <w:rPr>
          <w:rFonts w:ascii="inherit" w:hAnsi="inherit"/>
          <w:sz w:val="17"/>
        </w:rPr>
      </w:pPr>
      <w:r>
        <w:rPr>
          <w:rFonts w:ascii="inherit" w:hAnsi="inherit"/>
          <w:sz w:val="17"/>
        </w:rPr>
        <w:t>Ladies and Gentlemen:</w:t>
      </w:r>
    </w:p>
    <w:p>
      <w:pPr>
        <w:pStyle w:val="TextBody"/>
        <w:spacing w:lineRule="auto" w:line="288" w:before="0" w:after="0"/>
        <w:ind w:left="0" w:right="0" w:firstLine="720"/>
        <w:jc w:val="both"/>
        <w:rPr>
          <w:sz w:val="17"/>
        </w:rPr>
      </w:pPr>
      <w:r>
        <w:rPr>
          <w:rFonts w:ascii="inherit" w:hAnsi="inherit"/>
          <w:sz w:val="17"/>
        </w:rPr>
        <w:t xml:space="preserve">We have acted as counsel for EZCORP, Inc., a Delaware corporation (the “Company”), in connection with the Company’s registration under the Securities Act of 1933, as amended (the “Securities Act”), of the offer and sale of an aggregate of up to </w:t>
      </w:r>
      <w:r>
        <w:rPr>
          <w:rFonts w:ascii="inherit" w:hAnsi="inherit"/>
          <w:sz w:val="15"/>
        </w:rPr>
        <w:t>945,313</w:t>
      </w:r>
      <w:r>
        <w:rPr>
          <w:sz w:val="17"/>
        </w:rPr>
        <w:t xml:space="preserve"> </w:t>
      </w:r>
      <w:r>
        <w:rPr>
          <w:rFonts w:ascii="inherit" w:hAnsi="inherit"/>
          <w:sz w:val="17"/>
        </w:rPr>
        <w:t xml:space="preserve">shares of the Company’s Class A Non-Voting Common Stock, $.01 par value per share (the “Class A Common Stock”), pursuant to the Company’s registration statement on Form S-8 (the “Registration Statement”) to be filed with the Securities and Exchange Commission (the “Commission”) on October 10, 2013, which shares of Class A Common Stock may be issued from time to time in accordance with the terms of the EZCORP, Inc. 2010 Long-Term Incentive Plan (the “Plan”). </w:t>
      </w:r>
    </w:p>
    <w:p>
      <w:pPr>
        <w:pStyle w:val="TextBody"/>
        <w:spacing w:lineRule="auto" w:line="288" w:before="0" w:after="0"/>
        <w:ind w:left="0" w:right="0" w:firstLine="720"/>
        <w:jc w:val="both"/>
        <w:rPr>
          <w:rFonts w:ascii="inherit" w:hAnsi="inherit"/>
          <w:sz w:val="17"/>
        </w:rPr>
      </w:pPr>
      <w:r>
        <w:rPr>
          <w:rFonts w:ascii="inherit" w:hAnsi="inherit"/>
          <w:sz w:val="17"/>
        </w:rPr>
        <w:t xml:space="preserve">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(iv)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Company. </w:t>
      </w:r>
    </w:p>
    <w:p>
      <w:pPr>
        <w:pStyle w:val="TextBody"/>
        <w:spacing w:lineRule="auto" w:line="288" w:before="0" w:after="0"/>
        <w:ind w:left="0" w:right="0" w:firstLine="720"/>
        <w:jc w:val="both"/>
        <w:rPr>
          <w:rFonts w:ascii="inherit" w:hAnsi="inherit"/>
          <w:sz w:val="17"/>
        </w:rPr>
      </w:pPr>
      <w:r>
        <w:rPr>
          <w:rFonts w:ascii="inherit" w:hAnsi="inherit"/>
          <w:sz w:val="17"/>
        </w:rPr>
        <w:t xml:space="preserve">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 In addition, we have assumed that the Class A Common Stock will be issued in accordance with the terms of the Plan. </w:t>
      </w:r>
    </w:p>
    <w:p>
      <w:pPr>
        <w:pStyle w:val="TextBody"/>
        <w:spacing w:lineRule="auto" w:line="288" w:before="0" w:after="0"/>
        <w:ind w:left="0" w:right="0" w:firstLine="720"/>
        <w:jc w:val="both"/>
        <w:rPr>
          <w:rFonts w:ascii="inherit" w:hAnsi="inherit"/>
          <w:sz w:val="17"/>
        </w:rPr>
      </w:pPr>
      <w:r>
        <w:rPr>
          <w:rFonts w:ascii="inherit" w:hAnsi="inherit"/>
          <w:sz w:val="17"/>
        </w:rPr>
        <w:t>Based on the foregoing and subject to the limitations set forth herein, and having due regard for the legal considerations we deem relevant, we are of the opinion that the Class A Common Stock has been duly authorized and, when shares of the Class A Common Stock are issued by the Company in accordance with the terms of the Plan and the instruments executed pursuant to the Plan, as applicable, which govern the awards to which shares of Class A Common Stock relate, will be validly issued, fully paid and non-assessable.</w:t>
      </w:r>
    </w:p>
    <w:p>
      <w:pPr>
        <w:pStyle w:val="TextBody"/>
        <w:spacing w:lineRule="auto" w:line="288" w:before="0" w:after="0"/>
        <w:ind w:left="0" w:right="0" w:firstLine="720"/>
        <w:jc w:val="both"/>
        <w:rPr>
          <w:rFonts w:ascii="inherit" w:hAnsi="inherit"/>
          <w:sz w:val="17"/>
        </w:rPr>
      </w:pPr>
      <w:r>
        <w:rPr>
          <w:rFonts w:ascii="inherit" w:hAnsi="inherit"/>
          <w:sz w:val="17"/>
        </w:rPr>
        <w:t xml:space="preserve">This opinion is limited in all respects to the General Corporation Law of the State of Delaware. We express no opinion as to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 </w:t>
      </w:r>
    </w:p>
    <w:p>
      <w:pPr>
        <w:pStyle w:val="TextBody"/>
        <w:spacing w:lineRule="auto" w:line="288" w:before="0" w:after="0"/>
        <w:ind w:left="0" w:right="0" w:firstLine="720"/>
        <w:jc w:val="both"/>
        <w:rPr>
          <w:rFonts w:ascii="inherit" w:hAnsi="inherit"/>
          <w:sz w:val="17"/>
        </w:rPr>
      </w:pPr>
      <w:r>
        <w:rPr>
          <w:rFonts w:ascii="inherit" w:hAnsi="inherit"/>
          <w:sz w:val="17"/>
        </w:rPr>
        <w:t>This opinion letter may be filed as an exhibit to the Registration Statement. In giving this consent, we do not thereby admit that we come within the category of persons whose consent is required under Section 7 of the Securities Act.</w:t>
      </w:r>
    </w:p>
    <w:p>
      <w:pPr>
        <w:pStyle w:val="TextBody"/>
        <w:spacing w:lineRule="auto" w:line="288" w:before="0" w:after="0"/>
        <w:ind w:left="0" w:right="0" w:firstLine="5040"/>
        <w:jc w:val="both"/>
        <w:rPr>
          <w:rFonts w:ascii="inherit" w:hAnsi="inherit"/>
          <w:sz w:val="17"/>
        </w:rPr>
      </w:pPr>
      <w:r>
        <w:rPr>
          <w:rFonts w:ascii="inherit" w:hAnsi="inherit"/>
          <w:sz w:val="17"/>
        </w:rPr>
        <w:t>Very truly yours,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5040"/>
        <w:jc w:val="both"/>
        <w:rPr>
          <w:rFonts w:ascii="inherit" w:hAnsi="inherit"/>
          <w:sz w:val="17"/>
        </w:rPr>
      </w:pPr>
      <w:r>
        <w:rPr>
          <w:rFonts w:ascii="inherit" w:hAnsi="inherit"/>
          <w:sz w:val="17"/>
        </w:rPr>
        <w:t>/s/ Vinson &amp; Elkins L.L.P.</w:t>
      </w:r>
    </w:p>
    <w:p>
      <w:pPr>
        <w:pStyle w:val="TextBody"/>
        <w:spacing w:before="0" w:after="0"/>
        <w:rPr/>
      </w:pPr>
      <w:r>
        <w:rPr/>
      </w:r>
    </w:p>
    <w:tbl>
      <w:tblPr>
        <w:tblW w:w="7138" w:type="dxa"/>
        <w:jc w:val="left"/>
        <w:tblInd w:w="0" w:type="dxa"/>
        <w:tblCellMar>
          <w:top w:w="0" w:type="dxa"/>
          <w:left w:w="0" w:type="dxa"/>
          <w:bottom w:w="0" w:type="dxa"/>
          <w:right w:w="0" w:type="dxa"/>
        </w:tblCellMar>
      </w:tblPr>
      <w:tblGrid>
        <w:gridCol w:w="4069"/>
        <w:gridCol w:w="3069"/>
      </w:tblGrid>
      <w:tr>
        <w:trPr/>
        <w:tc>
          <w:tcPr>
            <w:tcW w:w="7138" w:type="dxa"/>
            <w:gridSpan w:val="2"/>
            <w:tcBorders/>
            <w:shd w:fill="auto" w:val="clear"/>
            <w:vAlign w:val="center"/>
          </w:tcPr>
          <w:p>
            <w:pPr>
              <w:pStyle w:val="TableContents"/>
              <w:spacing w:before="0" w:after="283"/>
              <w:rPr>
                <w:sz w:val="4"/>
                <w:szCs w:val="4"/>
              </w:rPr>
            </w:pPr>
            <w:r>
              <w:rPr>
                <w:sz w:val="4"/>
                <w:szCs w:val="4"/>
              </w:rPr>
            </w:r>
          </w:p>
        </w:tc>
      </w:tr>
      <w:tr>
        <w:trPr/>
        <w:tc>
          <w:tcPr>
            <w:tcW w:w="4069"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69" w:type="dxa"/>
            <w:tcBorders/>
            <w:shd w:fill="auto" w:val="clear"/>
            <w:vAlign w:val="center"/>
          </w:tcPr>
          <w:p>
            <w:pPr>
              <w:pStyle w:val="TableContents"/>
              <w:spacing w:before="0" w:after="0"/>
              <w:rPr>
                <w:rFonts w:ascii="Arial" w:hAnsi="Arial"/>
                <w:b/>
                <w:sz w:val="12"/>
              </w:rPr>
            </w:pPr>
            <w:r>
              <w:rPr>
                <w:rFonts w:ascii="Arial" w:hAnsi="Arial"/>
                <w:b/>
                <w:sz w:val="12"/>
              </w:rPr>
              <w:t>Vinson &amp; Elkins LLP Attorneys at Law</w:t>
            </w:r>
          </w:p>
          <w:p>
            <w:pPr>
              <w:pStyle w:val="TableContents"/>
              <w:spacing w:before="0" w:after="0"/>
              <w:rPr>
                <w:rFonts w:ascii="Arial" w:hAnsi="Arial"/>
                <w:sz w:val="12"/>
              </w:rPr>
            </w:pPr>
            <w:r>
              <w:rPr>
                <w:rFonts w:ascii="Arial" w:hAnsi="Arial"/>
                <w:sz w:val="12"/>
              </w:rPr>
              <w:t>Abu Dhabi Austin Beijing Dallas Dubai Hong Kong Houston London Moscow</w:t>
            </w:r>
          </w:p>
          <w:p>
            <w:pPr>
              <w:pStyle w:val="TableContents"/>
              <w:spacing w:before="0" w:after="0"/>
              <w:rPr>
                <w:rFonts w:ascii="Arial" w:hAnsi="Arial"/>
                <w:sz w:val="12"/>
              </w:rPr>
            </w:pPr>
            <w:r>
              <w:rPr>
                <w:rFonts w:ascii="Arial" w:hAnsi="Arial"/>
                <w:sz w:val="12"/>
              </w:rPr>
              <w:t>New York Palo Alto Riyadh San Francisco Shanghai Tokyo Washington</w:t>
            </w:r>
          </w:p>
          <w:p>
            <w:pPr>
              <w:pStyle w:val="TableContents"/>
              <w:spacing w:before="0" w:after="0"/>
              <w:ind w:left="0" w:right="0" w:firstLine="30"/>
              <w:jc w:val="both"/>
              <w:rPr>
                <w:rFonts w:ascii="Arial" w:hAnsi="Arial"/>
                <w:sz w:val="8"/>
              </w:rPr>
            </w:pPr>
            <w:r>
              <w:rPr>
                <w:rFonts w:ascii="Arial" w:hAnsi="Arial"/>
                <w:sz w:val="8"/>
              </w:rPr>
            </w:r>
          </w:p>
        </w:tc>
        <w:tc>
          <w:tcPr>
            <w:tcW w:w="3069" w:type="dxa"/>
            <w:tcBorders/>
            <w:shd w:fill="auto" w:val="clear"/>
            <w:vAlign w:val="center"/>
          </w:tcPr>
          <w:p>
            <w:pPr>
              <w:pStyle w:val="TableContents"/>
              <w:spacing w:before="0" w:after="0"/>
              <w:rPr>
                <w:rFonts w:ascii="Arial" w:hAnsi="Arial"/>
                <w:sz w:val="12"/>
              </w:rPr>
            </w:pPr>
            <w:r>
              <w:rPr>
                <w:rFonts w:ascii="Arial" w:hAnsi="Arial"/>
                <w:sz w:val="12"/>
              </w:rPr>
              <w:t>Trammell Crow Center, 2001 Ross Avenue, Suite 3700</w:t>
            </w:r>
          </w:p>
          <w:p>
            <w:pPr>
              <w:pStyle w:val="TableContents"/>
              <w:spacing w:before="0" w:after="0"/>
              <w:rPr>
                <w:rFonts w:ascii="Arial" w:hAnsi="Arial"/>
                <w:sz w:val="12"/>
              </w:rPr>
            </w:pPr>
            <w:r>
              <w:rPr>
                <w:rFonts w:ascii="Arial" w:hAnsi="Arial"/>
                <w:sz w:val="12"/>
              </w:rPr>
              <w:t xml:space="preserve">Dallas, TX 75201-2975 </w:t>
            </w:r>
          </w:p>
          <w:p>
            <w:pPr>
              <w:pStyle w:val="TableContents"/>
              <w:spacing w:before="0" w:after="0"/>
              <w:rPr>
                <w:sz w:val="12"/>
              </w:rPr>
            </w:pPr>
            <w:r>
              <w:rPr>
                <w:rFonts w:ascii="Arial" w:hAnsi="Arial"/>
                <w:b/>
                <w:sz w:val="12"/>
              </w:rPr>
              <w:t>Tel</w:t>
            </w:r>
            <w:r>
              <w:rPr>
                <w:sz w:val="12"/>
              </w:rPr>
              <w:t> </w:t>
            </w:r>
            <w:r>
              <w:rPr>
                <w:rFonts w:ascii="Arial" w:hAnsi="Arial"/>
                <w:sz w:val="12"/>
              </w:rPr>
              <w:t xml:space="preserve">+1.214.220.7700 </w:t>
            </w:r>
            <w:r>
              <w:rPr>
                <w:rFonts w:ascii="Arial" w:hAnsi="Arial"/>
                <w:b/>
                <w:sz w:val="12"/>
              </w:rPr>
              <w:t>Fax</w:t>
            </w:r>
            <w:r>
              <w:rPr>
                <w:sz w:val="12"/>
              </w:rPr>
              <w:t> </w:t>
            </w:r>
            <w:r>
              <w:rPr>
                <w:rFonts w:ascii="Arial" w:hAnsi="Arial"/>
                <w:sz w:val="12"/>
              </w:rPr>
              <w:t xml:space="preserve">+1.214.220.7716 </w:t>
            </w:r>
            <w:r>
              <w:rPr>
                <w:sz w:val="12"/>
              </w:rPr>
              <w:t> </w:t>
            </w:r>
            <w:r>
              <w:rPr>
                <w:rFonts w:ascii="Arial" w:hAnsi="Arial"/>
                <w:b/>
                <w:sz w:val="12"/>
              </w:rPr>
              <w:t>www.velaw.com</w:t>
            </w:r>
          </w:p>
        </w:tc>
      </w:tr>
    </w:tbl>
    <w:p>
      <w:pPr>
        <w:pStyle w:val="TextBody"/>
        <w:spacing w:lineRule="auto" w:line="240" w:before="0" w:after="0"/>
        <w:jc w:val="both"/>
        <w:rPr>
          <w:rFonts w:ascii="Arial" w:hAnsi="Arial"/>
          <w:sz w:val="8"/>
        </w:rPr>
      </w:pPr>
      <w:r>
        <w:rPr>
          <w:rFonts w:ascii="Arial" w:hAnsi="Arial"/>
          <w:sz w:val="8"/>
        </w:rPr>
      </w:r>
    </w:p>
    <w:p>
      <w:pPr>
        <w:pStyle w:val="TextBody"/>
        <w:spacing w:lineRule="auto" w:line="240"/>
        <w:jc w:val="left"/>
        <w:rPr>
          <w:rFonts w:ascii="Arial" w:hAnsi="Arial"/>
          <w:sz w:val="8"/>
        </w:rPr>
      </w:pPr>
      <w:r>
        <w:rPr>
          <w:rFonts w:ascii="Arial" w:hAnsi="Arial"/>
          <w:sz w:val="8"/>
        </w:rPr>
      </w:r>
      <w:r>
        <w:br w:type="page"/>
      </w:r>
    </w:p>
    <w:p>
      <w:pPr>
        <w:pStyle w:val="TextBody"/>
        <w:spacing w:before="0" w:after="0"/>
        <w:rPr/>
      </w:pPr>
      <w:r>
        <w:rPr/>
      </w:r>
      <w:bookmarkStart w:id="22" w:name="sF085DC9FA26200E02354A2CB98B03818"/>
      <w:bookmarkStart w:id="23" w:name="bdoconsents-82010ltip.htm"/>
      <w:bookmarkStart w:id="24" w:name="ksbdoconsents82010ltip"/>
      <w:bookmarkStart w:id="25" w:name="sF085DC9FA26200E02354A2CB98B03818"/>
      <w:bookmarkStart w:id="26" w:name="bdoconsents-82010ltip.htm"/>
      <w:bookmarkStart w:id="27" w:name="ksbdoconsents82010ltip"/>
      <w:bookmarkEnd w:id="25"/>
      <w:bookmarkEnd w:id="26"/>
      <w:bookmarkEnd w:id="27"/>
    </w:p>
    <w:p>
      <w:pPr>
        <w:pStyle w:val="TextBody"/>
        <w:spacing w:lineRule="auto" w:line="288" w:before="0" w:after="0"/>
        <w:jc w:val="right"/>
        <w:rPr>
          <w:rFonts w:ascii="inherit" w:hAnsi="inherit"/>
          <w:b/>
          <w:sz w:val="17"/>
          <w:u w:val="single"/>
        </w:rPr>
      </w:pPr>
      <w:r>
        <w:rPr>
          <w:rFonts w:ascii="inherit" w:hAnsi="inherit"/>
          <w:b/>
          <w:sz w:val="17"/>
          <w:u w:val="single"/>
        </w:rPr>
        <w:t>Exhibit 23.1</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8"/>
          <w:u w:val="single"/>
        </w:rPr>
      </w:pPr>
      <w:r>
        <w:rPr>
          <w:rFonts w:ascii="inherit" w:hAnsi="inherit"/>
          <w:b/>
          <w:sz w:val="18"/>
          <w:u w:val="single"/>
        </w:rPr>
        <w:t>Consent of Independent Registered Public Accounting Firm</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Austin, Texas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hereby consent to the incorporation by reference in the Prospectus constituting a part of this Registration Statement of our report dated November 20, 2012, except for Notes 1, 2, 4, 6, 7, 12, 14, 18, 19 and 23, which are as of October 3, 2013, relating to the consolidated financial statements of EZCORP and our report dated November 20, 2012, relating to the effectiveness of EZCORP’s internal control over financial reporting appearing in the Company’s Form 8-K filed October 3, 2013.</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also consent to the reference to us under the caption “Experts” in the Prospectus.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 </w:t>
      </w:r>
    </w:p>
    <w:p>
      <w:pPr>
        <w:pStyle w:val="TextBody"/>
        <w:spacing w:lineRule="auto" w:line="288" w:before="0" w:after="0"/>
        <w:jc w:val="left"/>
        <w:rPr>
          <w:rFonts w:ascii="inherit" w:hAnsi="inherit"/>
          <w:sz w:val="17"/>
        </w:rPr>
      </w:pPr>
      <w:r>
        <w:rPr>
          <w:rFonts w:ascii="inherit" w:hAnsi="inherit"/>
          <w:sz w:val="17"/>
        </w:rPr>
        <w:t>/s/ BDO USA, LLP</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Dallas, Texas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October 10, 2013</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jc w:val="left"/>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4383</Words>
  <CharactersWithSpaces>27408</CharactersWithSpaces>
  <Paragraphs>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