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Thomas Craig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13,000 shares vesting on September 30, 2016 and 13,000 shares vesting on September 30,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2020-01-19T06:52:37Z</dcterms:created>
  <dcterms:modified xsi:type="dcterms:W3CDTF">2020-01-19T06:52:37Z</dcterms:modified>
</cp:coreProperties>
</file>