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SCHEDULE 13G/A</w:t>
      </w:r>
    </w:p>
    <w:p>
      <w:pPr>
        <w:spacing w:after="0" w:line="200" w:lineRule="exact"/>
        <w:rPr>
          <w:sz w:val="24"/>
          <w:szCs w:val="24"/>
          <w:color w:val="auto"/>
        </w:rPr>
      </w:pPr>
    </w:p>
    <w:p>
      <w:pPr>
        <w:spacing w:after="0" w:line="241"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(Amendment No.3)*</w:t>
      </w:r>
    </w:p>
    <w:p>
      <w:pPr>
        <w:spacing w:after="0" w:line="200" w:lineRule="exact"/>
        <w:rPr>
          <w:sz w:val="24"/>
          <w:szCs w:val="24"/>
          <w:color w:val="auto"/>
        </w:rPr>
      </w:pPr>
    </w:p>
    <w:p>
      <w:pPr>
        <w:spacing w:after="0" w:line="24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12/31/2016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(Date of Event Which Requires Filing of this Statement)</w:t>
      </w:r>
    </w:p>
    <w:p>
      <w:pPr>
        <w:spacing w:after="0" w:line="248" w:lineRule="exact"/>
        <w:rPr>
          <w:sz w:val="24"/>
          <w:szCs w:val="24"/>
          <w:color w:val="auto"/>
        </w:rPr>
      </w:pPr>
    </w:p>
    <w:p>
      <w:pPr>
        <w:ind w:right="4299"/>
        <w:spacing w:after="0" w:line="277" w:lineRule="auto"/>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0" w:lineRule="exact"/>
        <w:rPr>
          <w:sz w:val="24"/>
          <w:szCs w:val="24"/>
          <w:color w:val="auto"/>
        </w:rPr>
      </w:pPr>
    </w:p>
    <w:p>
      <w:pPr>
        <w:jc w:val="both"/>
        <w:ind w:left="1860" w:right="6999" w:hanging="10"/>
        <w:spacing w:after="0" w:line="594" w:lineRule="auto"/>
        <w:tabs>
          <w:tab w:leader="none" w:pos="219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Rule 13d-1(c) £ Rule 13d-1(d)</w:t>
      </w:r>
    </w:p>
    <w:p>
      <w:pPr>
        <w:spacing w:after="0" w:line="389" w:lineRule="exact"/>
        <w:rPr>
          <w:rFonts w:ascii="Arial" w:cs="Arial" w:eastAsia="Arial" w:hAnsi="Arial"/>
          <w:sz w:val="16"/>
          <w:szCs w:val="16"/>
          <w:color w:val="auto"/>
        </w:rPr>
      </w:pPr>
    </w:p>
    <w:p>
      <w:pPr>
        <w:ind w:left="320" w:right="2679" w:hanging="315"/>
        <w:spacing w:after="0" w:line="264"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3190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161" w:lineRule="exact"/>
        <w:rPr>
          <w:sz w:val="24"/>
          <w:szCs w:val="24"/>
          <w:color w:val="auto"/>
        </w:rPr>
      </w:pPr>
    </w:p>
    <w:p>
      <w:pPr>
        <w:ind w:left="280" w:right="2659" w:hanging="2"/>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9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5400" w:type="dxa"/>
            <w:vAlign w:val="bottom"/>
            <w:tcBorders>
              <w:top w:val="single" w:sz="8" w:color="auto"/>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CUSIP No. 302301106</w:t>
            </w:r>
          </w:p>
        </w:tc>
        <w:tc>
          <w:tcPr>
            <w:tcW w:w="160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13G</w:t>
            </w:r>
          </w:p>
        </w:tc>
        <w:tc>
          <w:tcPr>
            <w:tcW w:w="442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8"/>
                <w:szCs w:val="18"/>
                <w:color w:val="auto"/>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4339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39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40" w:hanging="160"/>
        <w:spacing w:after="0"/>
        <w:tabs>
          <w:tab w:leader="none" w:pos="1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color w:val="auto"/>
        </w:rPr>
        <w:t>I.R.S. INDENTIFICATION NOS. OF ABOVE PERSONS (ENTITIES ONLY)</w:t>
      </w:r>
    </w:p>
    <w:p>
      <w:pPr>
        <w:spacing w:after="0" w:line="210" w:lineRule="exact"/>
        <w:rPr>
          <w:rFonts w:ascii="Arial" w:cs="Arial" w:eastAsia="Arial" w:hAnsi="Arial"/>
          <w:sz w:val="18"/>
          <w:szCs w:val="18"/>
          <w:b w:val="1"/>
          <w:bCs w:val="1"/>
          <w:color w:val="auto"/>
        </w:rPr>
      </w:pPr>
    </w:p>
    <w:p>
      <w:pPr>
        <w:ind w:left="1640" w:right="7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Huber Capital Management, LLC 20-8441410</w:t>
      </w:r>
    </w:p>
    <w:p>
      <w:pPr>
        <w:spacing w:after="0" w:line="5" w:lineRule="exact"/>
        <w:rPr>
          <w:rFonts w:ascii="Arial" w:cs="Arial" w:eastAsia="Arial" w:hAnsi="Arial"/>
          <w:sz w:val="18"/>
          <w:szCs w:val="18"/>
          <w:b w:val="1"/>
          <w:bCs w:val="1"/>
          <w:color w:val="auto"/>
        </w:rPr>
      </w:pPr>
    </w:p>
    <w:p>
      <w:pPr>
        <w:ind w:left="1640" w:hanging="160"/>
        <w:spacing w:after="0"/>
        <w:tabs>
          <w:tab w:leader="none" w:pos="1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0720"/>
        <w:spacing w:after="0"/>
        <w:tabs>
          <w:tab w:leader="none" w:pos="11100" w:val="left"/>
        </w:tabs>
        <w:rPr>
          <w:sz w:val="20"/>
          <w:szCs w:val="20"/>
          <w:color w:val="auto"/>
        </w:rPr>
      </w:pPr>
      <w:r>
        <w:rPr>
          <w:rFonts w:ascii="Arial" w:cs="Arial" w:eastAsia="Arial" w:hAnsi="Arial"/>
          <w:sz w:val="18"/>
          <w:szCs w:val="18"/>
          <w:color w:val="auto"/>
        </w:rPr>
        <w:t>(a)</w:t>
        <w:tab/>
        <w:t>£</w:t>
      </w:r>
    </w:p>
    <w:p>
      <w:pPr>
        <w:spacing w:after="0" w:line="9" w:lineRule="exact"/>
        <w:rPr>
          <w:sz w:val="20"/>
          <w:szCs w:val="20"/>
          <w:color w:val="auto"/>
        </w:rPr>
      </w:pPr>
    </w:p>
    <w:p>
      <w:pPr>
        <w:ind w:left="10720"/>
        <w:spacing w:after="0"/>
        <w:tabs>
          <w:tab w:leader="none" w:pos="11100" w:val="left"/>
        </w:tabs>
        <w:rPr>
          <w:sz w:val="20"/>
          <w:szCs w:val="20"/>
          <w:color w:val="auto"/>
        </w:rPr>
      </w:pPr>
      <w:r>
        <w:rPr>
          <w:rFonts w:ascii="Arial" w:cs="Arial" w:eastAsia="Arial" w:hAnsi="Arial"/>
          <w:sz w:val="18"/>
          <w:szCs w:val="18"/>
          <w:color w:val="auto"/>
        </w:rPr>
        <w:t>(b)</w:t>
        <w:tab/>
        <w:t>£</w:t>
      </w:r>
    </w:p>
    <w:p>
      <w:pPr>
        <w:spacing w:after="0" w:line="22" w:lineRule="exact"/>
        <w:rPr>
          <w:sz w:val="20"/>
          <w:szCs w:val="20"/>
          <w:color w:val="auto"/>
        </w:rPr>
      </w:pPr>
    </w:p>
    <w:p>
      <w:pPr>
        <w:ind w:left="1640" w:hanging="160"/>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b w:val="1"/>
          <w:bCs w:val="1"/>
          <w:color w:val="auto"/>
        </w:rPr>
      </w:pPr>
    </w:p>
    <w:p>
      <w:pPr>
        <w:ind w:left="1640" w:hanging="160"/>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Delaware, U.S.A.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840" w:type="dxa"/>
            <w:vAlign w:val="bottom"/>
            <w:tcBorders>
              <w:top w:val="single" w:sz="8" w:color="auto"/>
              <w:right w:val="single" w:sz="8" w:color="auto"/>
            </w:tcBorders>
          </w:tcPr>
          <w:p>
            <w:pPr>
              <w:jc w:val="right"/>
              <w:ind w:right="2610"/>
              <w:spacing w:after="0"/>
              <w:rPr>
                <w:sz w:val="20"/>
                <w:szCs w:val="20"/>
                <w:color w:val="auto"/>
              </w:rPr>
            </w:pPr>
            <w:r>
              <w:rPr>
                <w:rFonts w:ascii="Arial" w:cs="Arial" w:eastAsia="Arial" w:hAnsi="Arial"/>
                <w:sz w:val="18"/>
                <w:szCs w:val="18"/>
                <w:b w:val="1"/>
                <w:bCs w:val="1"/>
                <w:color w:val="auto"/>
                <w:w w:val="79"/>
              </w:rPr>
              <w:t>5.</w:t>
            </w:r>
          </w:p>
        </w:tc>
        <w:tc>
          <w:tcPr>
            <w:tcW w:w="6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284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816,395</w:t>
            </w:r>
          </w:p>
        </w:tc>
        <w:tc>
          <w:tcPr>
            <w:tcW w:w="0" w:type="dxa"/>
            <w:vAlign w:val="bottom"/>
          </w:tcPr>
          <w:p>
            <w:pPr>
              <w:spacing w:after="0"/>
              <w:rPr>
                <w:sz w:val="1"/>
                <w:szCs w:val="1"/>
                <w:color w:val="auto"/>
              </w:rPr>
            </w:pPr>
          </w:p>
        </w:tc>
      </w:tr>
      <w:tr>
        <w:trPr>
          <w:trHeight w:val="202"/>
        </w:trPr>
        <w:tc>
          <w:tcPr>
            <w:tcW w:w="22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BENEFICIALLY</w:t>
            </w:r>
          </w:p>
        </w:tc>
        <w:tc>
          <w:tcPr>
            <w:tcW w:w="2840" w:type="dxa"/>
            <w:vAlign w:val="bottom"/>
            <w:tcBorders>
              <w:right w:val="single" w:sz="8" w:color="auto"/>
            </w:tcBorders>
          </w:tcPr>
          <w:p>
            <w:pPr>
              <w:jc w:val="right"/>
              <w:ind w:right="2610"/>
              <w:spacing w:after="0" w:line="201" w:lineRule="exact"/>
              <w:rPr>
                <w:sz w:val="20"/>
                <w:szCs w:val="20"/>
                <w:color w:val="auto"/>
              </w:rPr>
            </w:pPr>
            <w:r>
              <w:rPr>
                <w:rFonts w:ascii="Arial" w:cs="Arial" w:eastAsia="Arial" w:hAnsi="Arial"/>
                <w:sz w:val="18"/>
                <w:szCs w:val="18"/>
                <w:b w:val="1"/>
                <w:bCs w:val="1"/>
                <w:color w:val="auto"/>
                <w:w w:val="79"/>
              </w:rPr>
              <w:t>6.</w:t>
            </w:r>
          </w:p>
        </w:tc>
        <w:tc>
          <w:tcPr>
            <w:tcW w:w="636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7"/>
        </w:trPr>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84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88"/>
        </w:trPr>
        <w:tc>
          <w:tcPr>
            <w:tcW w:w="2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2840" w:type="dxa"/>
            <w:vAlign w:val="bottom"/>
            <w:tcBorders>
              <w:right w:val="single" w:sz="8" w:color="auto"/>
            </w:tcBorders>
          </w:tcPr>
          <w:p>
            <w:pPr>
              <w:jc w:val="right"/>
              <w:ind w:right="2610"/>
              <w:spacing w:after="0" w:line="189" w:lineRule="exact"/>
              <w:rPr>
                <w:sz w:val="20"/>
                <w:szCs w:val="20"/>
                <w:color w:val="auto"/>
              </w:rPr>
            </w:pPr>
            <w:r>
              <w:rPr>
                <w:rFonts w:ascii="Arial" w:cs="Arial" w:eastAsia="Arial" w:hAnsi="Arial"/>
                <w:sz w:val="18"/>
                <w:szCs w:val="18"/>
                <w:b w:val="1"/>
                <w:bCs w:val="1"/>
                <w:color w:val="auto"/>
                <w:w w:val="79"/>
              </w:rPr>
              <w:t>7.</w:t>
            </w:r>
          </w:p>
        </w:tc>
        <w:tc>
          <w:tcPr>
            <w:tcW w:w="63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2840" w:type="dxa"/>
            <w:vAlign w:val="bottom"/>
            <w:tcBorders>
              <w:right w:val="single" w:sz="8" w:color="auto"/>
            </w:tcBorders>
          </w:tcPr>
          <w:p>
            <w:pPr>
              <w:spacing w:after="0"/>
              <w:rPr>
                <w:sz w:val="18"/>
                <w:szCs w:val="18"/>
                <w:color w:val="auto"/>
              </w:rPr>
            </w:pPr>
          </w:p>
        </w:tc>
        <w:tc>
          <w:tcPr>
            <w:tcW w:w="6360" w:type="dxa"/>
            <w:vAlign w:val="bottom"/>
          </w:tcPr>
          <w:p>
            <w:pPr>
              <w:jc w:val="right"/>
              <w:spacing w:after="0"/>
              <w:rPr>
                <w:sz w:val="20"/>
                <w:szCs w:val="20"/>
                <w:color w:val="auto"/>
              </w:rPr>
            </w:pPr>
            <w:r>
              <w:rPr>
                <w:rFonts w:ascii="Arial" w:cs="Arial" w:eastAsia="Arial" w:hAnsi="Arial"/>
                <w:sz w:val="18"/>
                <w:szCs w:val="18"/>
                <w:i w:val="1"/>
                <w:iCs w:val="1"/>
                <w:color w:val="auto"/>
              </w:rPr>
              <w:t>2,347,445</w:t>
            </w:r>
          </w:p>
        </w:tc>
        <w:tc>
          <w:tcPr>
            <w:tcW w:w="0" w:type="dxa"/>
            <w:vAlign w:val="bottom"/>
          </w:tcPr>
          <w:p>
            <w:pPr>
              <w:spacing w:after="0"/>
              <w:rPr>
                <w:sz w:val="1"/>
                <w:szCs w:val="1"/>
                <w:color w:val="auto"/>
              </w:rPr>
            </w:pPr>
          </w:p>
        </w:tc>
      </w:tr>
      <w:tr>
        <w:trPr>
          <w:trHeight w:val="35"/>
        </w:trPr>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840" w:type="dxa"/>
            <w:vAlign w:val="bottom"/>
            <w:tcBorders>
              <w:bottom w:val="single" w:sz="8" w:color="auto"/>
              <w:right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220" w:type="dxa"/>
            <w:vAlign w:val="bottom"/>
            <w:tcBorders>
              <w:right w:val="single" w:sz="8" w:color="auto"/>
            </w:tcBorders>
            <w:vMerge w:val="continue"/>
          </w:tcPr>
          <w:p>
            <w:pPr>
              <w:spacing w:after="0"/>
              <w:rPr>
                <w:sz w:val="14"/>
                <w:szCs w:val="14"/>
                <w:color w:val="auto"/>
              </w:rPr>
            </w:pPr>
          </w:p>
        </w:tc>
        <w:tc>
          <w:tcPr>
            <w:tcW w:w="2840" w:type="dxa"/>
            <w:vAlign w:val="bottom"/>
            <w:tcBorders>
              <w:right w:val="single" w:sz="8" w:color="auto"/>
            </w:tcBorders>
          </w:tcPr>
          <w:p>
            <w:pPr>
              <w:jc w:val="right"/>
              <w:ind w:right="2610"/>
              <w:spacing w:after="0" w:line="162" w:lineRule="exact"/>
              <w:rPr>
                <w:sz w:val="20"/>
                <w:szCs w:val="20"/>
                <w:color w:val="auto"/>
              </w:rPr>
            </w:pPr>
            <w:r>
              <w:rPr>
                <w:rFonts w:ascii="Arial" w:cs="Arial" w:eastAsia="Arial" w:hAnsi="Arial"/>
                <w:sz w:val="18"/>
                <w:szCs w:val="18"/>
                <w:b w:val="1"/>
                <w:bCs w:val="1"/>
                <w:color w:val="auto"/>
                <w:w w:val="79"/>
              </w:rPr>
              <w:t>8.</w:t>
            </w:r>
          </w:p>
        </w:tc>
        <w:tc>
          <w:tcPr>
            <w:tcW w:w="6360" w:type="dxa"/>
            <w:vAlign w:val="bottom"/>
          </w:tcPr>
          <w:p>
            <w:pPr>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7"/>
        </w:trPr>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840" w:type="dxa"/>
            <w:vAlign w:val="bottom"/>
            <w:tcBorders>
              <w:bottom w:val="single" w:sz="8" w:color="auto"/>
              <w:right w:val="single" w:sz="8" w:color="auto"/>
            </w:tcBorders>
          </w:tcPr>
          <w:p>
            <w:pPr>
              <w:spacing w:after="0"/>
              <w:rPr>
                <w:sz w:val="24"/>
                <w:szCs w:val="24"/>
                <w:color w:val="auto"/>
              </w:rPr>
            </w:pPr>
          </w:p>
        </w:tc>
        <w:tc>
          <w:tcPr>
            <w:tcW w:w="6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bl>
    <w:p>
      <w:pPr>
        <w:ind w:left="1640" w:right="3960" w:hanging="160"/>
        <w:spacing w:after="0" w:line="250" w:lineRule="auto"/>
        <w:tabs>
          <w:tab w:leader="none" w:pos="1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2,347,445</w:t>
      </w:r>
    </w:p>
    <w:p>
      <w:pPr>
        <w:spacing w:after="0" w:line="22" w:lineRule="exact"/>
        <w:rPr>
          <w:sz w:val="20"/>
          <w:szCs w:val="20"/>
          <w:color w:val="auto"/>
        </w:rPr>
      </w:pPr>
    </w:p>
    <w:p>
      <w:pPr>
        <w:ind w:left="1640" w:right="4120" w:hanging="250"/>
        <w:spacing w:after="0" w:line="274" w:lineRule="auto"/>
        <w:tabs>
          <w:tab w:leader="none" w:pos="164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CHECK BOX IF THE AGGREGRATE AMOUNT IN ROW (9) EXCLUDES CERTAIN SHARES*</w:t>
      </w:r>
    </w:p>
    <w:p>
      <w:pPr>
        <w:ind w:left="1112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ind w:left="1640" w:right="4720" w:hanging="240"/>
        <w:spacing w:after="0" w:line="279" w:lineRule="auto"/>
        <w:tabs>
          <w:tab w:leader="none" w:pos="16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PERCENT OF CLASS REPRESENTED BY AMOUNT IN ROW (9) 4.59% (see reponse to Item 4)</w:t>
      </w:r>
    </w:p>
    <w:p>
      <w:pPr>
        <w:spacing w:after="0" w:line="4" w:lineRule="exact"/>
        <w:rPr>
          <w:rFonts w:ascii="Arial" w:cs="Arial" w:eastAsia="Arial" w:hAnsi="Arial"/>
          <w:sz w:val="17"/>
          <w:szCs w:val="17"/>
          <w:b w:val="1"/>
          <w:bCs w:val="1"/>
          <w:color w:val="auto"/>
        </w:rPr>
      </w:pPr>
    </w:p>
    <w:p>
      <w:pPr>
        <w:ind w:left="1640" w:hanging="250"/>
        <w:spacing w:after="0"/>
        <w:tabs>
          <w:tab w:leader="none" w:pos="16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TYPE OF REPORTING PERSON* (see instructions)</w:t>
      </w:r>
    </w:p>
    <w:p>
      <w:pPr>
        <w:spacing w:after="0" w:line="34" w:lineRule="exact"/>
        <w:rPr>
          <w:rFonts w:ascii="Arial" w:cs="Arial" w:eastAsia="Arial" w:hAnsi="Arial"/>
          <w:sz w:val="17"/>
          <w:szCs w:val="17"/>
          <w:b w:val="1"/>
          <w:bCs w:val="1"/>
          <w:color w:val="auto"/>
        </w:rPr>
      </w:pPr>
    </w:p>
    <w:p>
      <w:pPr>
        <w:ind w:left="1640"/>
        <w:spacing w:after="0"/>
        <w:rPr>
          <w:rFonts w:ascii="Arial" w:cs="Arial" w:eastAsia="Arial" w:hAnsi="Arial"/>
          <w:sz w:val="17"/>
          <w:szCs w:val="17"/>
          <w:b w:val="1"/>
          <w:bCs w:val="1"/>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p>
      <w:pPr>
        <w:ind w:left="8560"/>
        <w:spacing w:after="0"/>
        <w:rPr>
          <w:sz w:val="20"/>
          <w:szCs w:val="20"/>
          <w:color w:val="auto"/>
        </w:rPr>
      </w:pPr>
      <w:r>
        <w:rPr>
          <w:rFonts w:ascii="Arial" w:cs="Arial" w:eastAsia="Arial" w:hAnsi="Arial"/>
          <w:sz w:val="18"/>
          <w:szCs w:val="18"/>
          <w:color w:val="auto"/>
        </w:rPr>
        <w:t>Page 3 of 6 Pages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tcPr>
          <w:p>
            <w:pPr>
              <w:ind w:left="740"/>
              <w:spacing w:after="0"/>
              <w:rPr>
                <w:sz w:val="20"/>
                <w:szCs w:val="20"/>
                <w:color w:val="auto"/>
              </w:rPr>
            </w:pPr>
            <w:r>
              <w:rPr>
                <w:rFonts w:ascii="Arial" w:cs="Arial" w:eastAsia="Arial" w:hAnsi="Arial"/>
                <w:sz w:val="18"/>
                <w:szCs w:val="18"/>
                <w:color w:val="auto"/>
              </w:rPr>
              <w:t>Name of Issuer:</w:t>
            </w:r>
          </w:p>
        </w:tc>
      </w:tr>
      <w:tr>
        <w:trPr>
          <w:trHeight w:val="432"/>
        </w:trPr>
        <w:tc>
          <w:tcPr>
            <w:tcW w:w="1460" w:type="dxa"/>
            <w:vAlign w:val="bottom"/>
          </w:tcPr>
          <w:p>
            <w:pPr>
              <w:spacing w:after="0"/>
              <w:rPr>
                <w:sz w:val="24"/>
                <w:szCs w:val="24"/>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EZCORP Inc.</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Item 1(b).</w:t>
            </w:r>
          </w:p>
        </w:tc>
        <w:tc>
          <w:tcPr>
            <w:tcW w:w="9960" w:type="dxa"/>
            <w:vAlign w:val="bottom"/>
          </w:tcPr>
          <w:p>
            <w:pPr>
              <w:ind w:left="74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460" w:type="dxa"/>
            <w:vAlign w:val="bottom"/>
          </w:tcPr>
          <w:p>
            <w:pPr>
              <w:spacing w:after="0"/>
              <w:rPr>
                <w:sz w:val="24"/>
                <w:szCs w:val="24"/>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2500 Bee Cave Rd. Building 1</w:t>
            </w:r>
          </w:p>
        </w:tc>
      </w:tr>
      <w:tr>
        <w:trPr>
          <w:trHeight w:val="216"/>
        </w:trPr>
        <w:tc>
          <w:tcPr>
            <w:tcW w:w="1460" w:type="dxa"/>
            <w:vAlign w:val="bottom"/>
          </w:tcPr>
          <w:p>
            <w:pPr>
              <w:spacing w:after="0"/>
              <w:rPr>
                <w:sz w:val="18"/>
                <w:szCs w:val="18"/>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Suite 200</w:t>
            </w:r>
          </w:p>
        </w:tc>
      </w:tr>
      <w:tr>
        <w:trPr>
          <w:trHeight w:val="230"/>
        </w:trPr>
        <w:tc>
          <w:tcPr>
            <w:tcW w:w="1460" w:type="dxa"/>
            <w:vAlign w:val="bottom"/>
          </w:tcPr>
          <w:p>
            <w:pPr>
              <w:spacing w:after="0"/>
              <w:rPr>
                <w:sz w:val="20"/>
                <w:szCs w:val="20"/>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Rollingwood, TX 78746</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Item 2(a).</w:t>
            </w:r>
          </w:p>
        </w:tc>
        <w:tc>
          <w:tcPr>
            <w:tcW w:w="9960" w:type="dxa"/>
            <w:vAlign w:val="bottom"/>
          </w:tcPr>
          <w:p>
            <w:pPr>
              <w:ind w:left="740"/>
              <w:spacing w:after="0"/>
              <w:rPr>
                <w:sz w:val="20"/>
                <w:szCs w:val="20"/>
                <w:color w:val="auto"/>
              </w:rPr>
            </w:pPr>
            <w:r>
              <w:rPr>
                <w:rFonts w:ascii="Arial" w:cs="Arial" w:eastAsia="Arial" w:hAnsi="Arial"/>
                <w:sz w:val="18"/>
                <w:szCs w:val="18"/>
                <w:color w:val="auto"/>
              </w:rPr>
              <w:t>Name of Persons Filing:</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Item 2(b).</w:t>
            </w:r>
          </w:p>
        </w:tc>
        <w:tc>
          <w:tcPr>
            <w:tcW w:w="9960" w:type="dxa"/>
            <w:vAlign w:val="bottom"/>
          </w:tcPr>
          <w:p>
            <w:pPr>
              <w:ind w:left="74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Item 2(c).</w:t>
            </w:r>
          </w:p>
        </w:tc>
        <w:tc>
          <w:tcPr>
            <w:tcW w:w="9960" w:type="dxa"/>
            <w:vAlign w:val="bottom"/>
          </w:tcPr>
          <w:p>
            <w:pPr>
              <w:ind w:left="740"/>
              <w:spacing w:after="0"/>
              <w:rPr>
                <w:sz w:val="20"/>
                <w:szCs w:val="20"/>
                <w:color w:val="auto"/>
              </w:rPr>
            </w:pPr>
            <w:r>
              <w:rPr>
                <w:rFonts w:ascii="Arial" w:cs="Arial" w:eastAsia="Arial" w:hAnsi="Arial"/>
                <w:sz w:val="18"/>
                <w:szCs w:val="18"/>
                <w:color w:val="auto"/>
              </w:rPr>
              <w:t>Citizenship</w:t>
            </w:r>
          </w:p>
        </w:tc>
      </w:tr>
      <w:tr>
        <w:trPr>
          <w:trHeight w:val="418"/>
        </w:trPr>
        <w:tc>
          <w:tcPr>
            <w:tcW w:w="1460" w:type="dxa"/>
            <w:vAlign w:val="bottom"/>
          </w:tcPr>
          <w:p>
            <w:pPr>
              <w:spacing w:after="0"/>
              <w:rPr>
                <w:sz w:val="24"/>
                <w:szCs w:val="24"/>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Huber Capital Management, LLC</w:t>
            </w:r>
          </w:p>
        </w:tc>
      </w:tr>
      <w:tr>
        <w:trPr>
          <w:trHeight w:val="216"/>
        </w:trPr>
        <w:tc>
          <w:tcPr>
            <w:tcW w:w="1460" w:type="dxa"/>
            <w:vAlign w:val="bottom"/>
          </w:tcPr>
          <w:p>
            <w:pPr>
              <w:spacing w:after="0"/>
              <w:rPr>
                <w:sz w:val="18"/>
                <w:szCs w:val="18"/>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2321 Rosecrans Ave, Suite 3245</w:t>
            </w:r>
          </w:p>
        </w:tc>
      </w:tr>
      <w:tr>
        <w:trPr>
          <w:trHeight w:val="216"/>
        </w:trPr>
        <w:tc>
          <w:tcPr>
            <w:tcW w:w="1460" w:type="dxa"/>
            <w:vAlign w:val="bottom"/>
          </w:tcPr>
          <w:p>
            <w:pPr>
              <w:spacing w:after="0"/>
              <w:rPr>
                <w:sz w:val="18"/>
                <w:szCs w:val="18"/>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El Segundo, CA 90245</w:t>
            </w:r>
          </w:p>
        </w:tc>
      </w:tr>
      <w:tr>
        <w:trPr>
          <w:trHeight w:val="230"/>
        </w:trPr>
        <w:tc>
          <w:tcPr>
            <w:tcW w:w="1460" w:type="dxa"/>
            <w:vAlign w:val="bottom"/>
          </w:tcPr>
          <w:p>
            <w:pPr>
              <w:spacing w:after="0"/>
              <w:rPr>
                <w:sz w:val="20"/>
                <w:szCs w:val="20"/>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(Delaware)</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Item 2(d).</w:t>
            </w:r>
          </w:p>
        </w:tc>
        <w:tc>
          <w:tcPr>
            <w:tcW w:w="9960" w:type="dxa"/>
            <w:vAlign w:val="bottom"/>
          </w:tcPr>
          <w:p>
            <w:pPr>
              <w:ind w:left="74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460" w:type="dxa"/>
            <w:vAlign w:val="bottom"/>
          </w:tcPr>
          <w:p>
            <w:pPr>
              <w:spacing w:after="0"/>
              <w:rPr>
                <w:sz w:val="24"/>
                <w:szCs w:val="24"/>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Common Stock</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Item 2(e).</w:t>
            </w:r>
          </w:p>
        </w:tc>
        <w:tc>
          <w:tcPr>
            <w:tcW w:w="9960" w:type="dxa"/>
            <w:vAlign w:val="bottom"/>
          </w:tcPr>
          <w:p>
            <w:pPr>
              <w:ind w:left="740"/>
              <w:spacing w:after="0"/>
              <w:rPr>
                <w:sz w:val="20"/>
                <w:szCs w:val="20"/>
                <w:color w:val="auto"/>
              </w:rPr>
            </w:pPr>
            <w:r>
              <w:rPr>
                <w:rFonts w:ascii="Arial" w:cs="Arial" w:eastAsia="Arial" w:hAnsi="Arial"/>
                <w:sz w:val="18"/>
                <w:szCs w:val="18"/>
                <w:color w:val="auto"/>
              </w:rPr>
              <w:t>CUSIP Number:</w:t>
            </w:r>
          </w:p>
        </w:tc>
      </w:tr>
      <w:tr>
        <w:trPr>
          <w:trHeight w:val="432"/>
        </w:trPr>
        <w:tc>
          <w:tcPr>
            <w:tcW w:w="1460" w:type="dxa"/>
            <w:vAlign w:val="bottom"/>
          </w:tcPr>
          <w:p>
            <w:pPr>
              <w:spacing w:after="0"/>
              <w:rPr>
                <w:sz w:val="24"/>
                <w:szCs w:val="24"/>
                <w:color w:val="auto"/>
              </w:rPr>
            </w:pPr>
          </w:p>
        </w:tc>
        <w:tc>
          <w:tcPr>
            <w:tcW w:w="9960" w:type="dxa"/>
            <w:vAlign w:val="bottom"/>
          </w:tcPr>
          <w:p>
            <w:pPr>
              <w:ind w:left="740"/>
              <w:spacing w:after="0"/>
              <w:rPr>
                <w:sz w:val="20"/>
                <w:szCs w:val="20"/>
                <w:color w:val="auto"/>
              </w:rPr>
            </w:pPr>
            <w:r>
              <w:rPr>
                <w:rFonts w:ascii="Arial" w:cs="Arial" w:eastAsia="Arial" w:hAnsi="Arial"/>
                <w:sz w:val="18"/>
                <w:szCs w:val="18"/>
                <w:color w:val="auto"/>
              </w:rPr>
              <w:t>302301106</w:t>
            </w:r>
          </w:p>
        </w:tc>
      </w:tr>
      <w:tr>
        <w:trPr>
          <w:trHeight w:val="4531"/>
        </w:trPr>
        <w:tc>
          <w:tcPr>
            <w:tcW w:w="146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ind w:left="8560"/>
        <w:spacing w:after="0"/>
        <w:rPr>
          <w:sz w:val="20"/>
          <w:szCs w:val="20"/>
          <w:color w:val="auto"/>
        </w:rPr>
      </w:pPr>
      <w:r>
        <w:rPr>
          <w:rFonts w:ascii="Arial" w:cs="Arial" w:eastAsia="Arial" w:hAnsi="Arial"/>
          <w:sz w:val="18"/>
          <w:szCs w:val="18"/>
          <w:color w:val="auto"/>
        </w:rPr>
        <w:t>Page 4 of 6 Pages</w:t>
      </w:r>
    </w:p>
    <w:p>
      <w:pPr>
        <w:spacing w:after="0" w:line="33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 240.13d-1(b), or 240.13d-2(b) or (c),</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Check Whether the Person Filing is a:</w:t>
      </w:r>
    </w:p>
    <w:p>
      <w:pPr>
        <w:spacing w:after="0" w:line="21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w w:val="91"/>
              </w:rPr>
              <w:t>Broker or dealer registered under Section 15 of the Exchange</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80" w:type="dxa"/>
            <w:vAlign w:val="bottom"/>
          </w:tcPr>
          <w:p>
            <w:pPr>
              <w:ind w:left="1380"/>
              <w:spacing w:after="0"/>
              <w:rPr>
                <w:sz w:val="20"/>
                <w:szCs w:val="20"/>
                <w:color w:val="auto"/>
              </w:rPr>
            </w:pPr>
            <w:r>
              <w:rPr>
                <w:rFonts w:ascii="Arial" w:cs="Arial" w:eastAsia="Arial" w:hAnsi="Arial"/>
                <w:sz w:val="18"/>
                <w:szCs w:val="18"/>
                <w:color w:val="auto"/>
              </w:rPr>
              <w:t>Act (15 U.S.C 78o).</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w w:val="91"/>
              </w:rPr>
              <w:t>Bank as defined in Section 3(a)(6) of the Act (15 U.S.C. 78c).</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w w:val="99"/>
              </w:rPr>
              <w:t>Insurance company as defined in Section 3(a)(19) of the</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80" w:type="dxa"/>
            <w:vAlign w:val="bottom"/>
          </w:tcPr>
          <w:p>
            <w:pPr>
              <w:ind w:left="1380"/>
              <w:spacing w:after="0"/>
              <w:rPr>
                <w:sz w:val="20"/>
                <w:szCs w:val="20"/>
                <w:color w:val="auto"/>
              </w:rPr>
            </w:pPr>
            <w:r>
              <w:rPr>
                <w:rFonts w:ascii="Arial" w:cs="Arial" w:eastAsia="Arial" w:hAnsi="Arial"/>
                <w:sz w:val="18"/>
                <w:szCs w:val="18"/>
                <w:color w:val="auto"/>
              </w:rPr>
              <w:t>Exchange Act (15 U.S.C. 78c).</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rPr>
              <w:t>Investment company registered under Section 8 of the</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rPr>
              <w:t>Investment Company Act of 1940 (15 U.S.C. 80a-8).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1640" w:type="dxa"/>
            <w:vAlign w:val="bottom"/>
          </w:tcPr>
          <w:p>
            <w:pPr>
              <w:ind w:left="180"/>
              <w:spacing w:after="0"/>
              <w:rPr>
                <w:sz w:val="20"/>
                <w:szCs w:val="20"/>
                <w:color w:val="auto"/>
              </w:rPr>
            </w:pPr>
            <w:r>
              <w:rPr>
                <w:rFonts w:ascii="Arial" w:cs="Arial" w:eastAsia="Arial" w:hAnsi="Arial"/>
                <w:sz w:val="18"/>
                <w:szCs w:val="18"/>
                <w:color w:val="auto"/>
              </w:rPr>
              <w:t>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rPr>
              <w:t>An investment adviser in accordance with §240.13d-</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80" w:type="dxa"/>
            <w:vAlign w:val="bottom"/>
          </w:tcPr>
          <w:p>
            <w:pPr>
              <w:ind w:left="1380"/>
              <w:spacing w:after="0"/>
              <w:rPr>
                <w:sz w:val="20"/>
                <w:szCs w:val="20"/>
                <w:color w:val="auto"/>
              </w:rPr>
            </w:pPr>
            <w:r>
              <w:rPr>
                <w:rFonts w:ascii="Arial" w:cs="Arial" w:eastAsia="Arial" w:hAnsi="Arial"/>
                <w:sz w:val="18"/>
                <w:szCs w:val="18"/>
                <w:color w:val="auto"/>
              </w:rPr>
              <w:t>1(b)(1)(ii)(E).</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(f)</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w w:val="93"/>
              </w:rPr>
              <w:t>An employee benefit plan or endowment fund in accordance</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80" w:type="dxa"/>
            <w:vAlign w:val="bottom"/>
          </w:tcPr>
          <w:p>
            <w:pPr>
              <w:ind w:left="1380"/>
              <w:spacing w:after="0"/>
              <w:rPr>
                <w:sz w:val="20"/>
                <w:szCs w:val="20"/>
                <w:color w:val="auto"/>
              </w:rPr>
            </w:pPr>
            <w:r>
              <w:rPr>
                <w:rFonts w:ascii="Arial" w:cs="Arial" w:eastAsia="Arial" w:hAnsi="Arial"/>
                <w:sz w:val="18"/>
                <w:szCs w:val="18"/>
                <w:color w:val="auto"/>
              </w:rPr>
              <w:t>with §240.13d-1(b)(1)(ii)(F).</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(g)</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w w:val="96"/>
              </w:rPr>
              <w:t>A parent holding company or control person in accordance</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80" w:type="dxa"/>
            <w:vAlign w:val="bottom"/>
          </w:tcPr>
          <w:p>
            <w:pPr>
              <w:ind w:left="1380"/>
              <w:spacing w:after="0"/>
              <w:rPr>
                <w:sz w:val="20"/>
                <w:szCs w:val="20"/>
                <w:color w:val="auto"/>
              </w:rPr>
            </w:pPr>
            <w:r>
              <w:rPr>
                <w:rFonts w:ascii="Arial" w:cs="Arial" w:eastAsia="Arial" w:hAnsi="Arial"/>
                <w:sz w:val="18"/>
                <w:szCs w:val="18"/>
                <w:color w:val="auto"/>
              </w:rPr>
              <w:t>with §240.13d-1(b)(1)(ii)(G).</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(h)</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w w:val="89"/>
              </w:rPr>
              <w:t>A savings association as defined in Section 3(b) of the Federal</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80" w:type="dxa"/>
            <w:vAlign w:val="bottom"/>
          </w:tcPr>
          <w:p>
            <w:pPr>
              <w:ind w:left="1380"/>
              <w:spacing w:after="0"/>
              <w:rPr>
                <w:sz w:val="20"/>
                <w:szCs w:val="20"/>
                <w:color w:val="auto"/>
              </w:rPr>
            </w:pPr>
            <w:r>
              <w:rPr>
                <w:rFonts w:ascii="Arial" w:cs="Arial" w:eastAsia="Arial" w:hAnsi="Arial"/>
                <w:sz w:val="18"/>
                <w:szCs w:val="18"/>
                <w:color w:val="auto"/>
                <w:w w:val="99"/>
              </w:rPr>
              <w:t>Deposit Insurance Act (12 U.S.C. 1813);</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rPr>
              <w:t>A church plan that is excluded from the definition of an</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w w:val="91"/>
              </w:rPr>
              <w:t>investment company under Section 3(c)(14) of the Investment</w:t>
            </w: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80" w:type="dxa"/>
            <w:vAlign w:val="bottom"/>
          </w:tcPr>
          <w:p>
            <w:pPr>
              <w:ind w:left="1380"/>
              <w:spacing w:after="0"/>
              <w:rPr>
                <w:sz w:val="20"/>
                <w:szCs w:val="20"/>
                <w:color w:val="auto"/>
              </w:rPr>
            </w:pPr>
            <w:r>
              <w:rPr>
                <w:rFonts w:ascii="Arial" w:cs="Arial" w:eastAsia="Arial" w:hAnsi="Arial"/>
                <w:sz w:val="18"/>
                <w:szCs w:val="18"/>
                <w:color w:val="auto"/>
                <w:w w:val="98"/>
              </w:rPr>
              <w:t>Company Act of 1940 (15 U.S.C. 80a-3);</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(j)</w:t>
            </w:r>
          </w:p>
        </w:tc>
        <w:tc>
          <w:tcPr>
            <w:tcW w:w="1640" w:type="dxa"/>
            <w:vAlign w:val="bottom"/>
          </w:tcPr>
          <w:p>
            <w:pPr>
              <w:ind w:left="180"/>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380"/>
              <w:spacing w:after="0"/>
              <w:rPr>
                <w:sz w:val="20"/>
                <w:szCs w:val="20"/>
                <w:color w:val="auto"/>
              </w:rPr>
            </w:pPr>
            <w:r>
              <w:rPr>
                <w:rFonts w:ascii="Arial" w:cs="Arial" w:eastAsia="Arial" w:hAnsi="Arial"/>
                <w:sz w:val="18"/>
                <w:szCs w:val="18"/>
                <w:color w:val="auto"/>
              </w:rPr>
              <w:t>Group, in accordance with §240.13d-1(b)(1)(ii)(J).</w:t>
            </w: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If this statement is filed pursuant to Rule 13d-1 (c), check this box.</w:t>
            </w:r>
          </w:p>
        </w:tc>
        <w:tc>
          <w:tcPr>
            <w:tcW w:w="1300" w:type="dxa"/>
            <w:vAlign w:val="bottom"/>
          </w:tcPr>
          <w:p>
            <w:pPr>
              <w:jc w:val="right"/>
              <w:ind w:right="8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left="1620" w:right="388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5220" w:type="dxa"/>
            <w:vAlign w:val="bottom"/>
          </w:tcPr>
          <w:p>
            <w:pPr>
              <w:ind w:left="180"/>
              <w:spacing w:after="0"/>
              <w:rPr>
                <w:sz w:val="20"/>
                <w:szCs w:val="20"/>
                <w:color w:val="auto"/>
              </w:rPr>
            </w:pPr>
            <w:r>
              <w:rPr>
                <w:rFonts w:ascii="Arial" w:cs="Arial" w:eastAsia="Arial" w:hAnsi="Arial"/>
                <w:sz w:val="18"/>
                <w:szCs w:val="18"/>
                <w:color w:val="auto"/>
              </w:rPr>
              <w:t>Amount beneficially owned:</w:t>
            </w:r>
          </w:p>
        </w:tc>
        <w:tc>
          <w:tcPr>
            <w:tcW w:w="3700" w:type="dxa"/>
            <w:vAlign w:val="bottom"/>
          </w:tcPr>
          <w:p>
            <w:pPr>
              <w:jc w:val="right"/>
              <w:spacing w:after="0"/>
              <w:rPr>
                <w:sz w:val="20"/>
                <w:szCs w:val="20"/>
                <w:color w:val="auto"/>
              </w:rPr>
            </w:pPr>
            <w:r>
              <w:rPr>
                <w:rFonts w:ascii="Arial" w:cs="Arial" w:eastAsia="Arial" w:hAnsi="Arial"/>
                <w:sz w:val="18"/>
                <w:szCs w:val="18"/>
                <w:color w:val="auto"/>
              </w:rPr>
              <w:t>2,347,445</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5220" w:type="dxa"/>
            <w:vAlign w:val="bottom"/>
          </w:tcPr>
          <w:p>
            <w:pPr>
              <w:ind w:left="180"/>
              <w:spacing w:after="0"/>
              <w:rPr>
                <w:sz w:val="20"/>
                <w:szCs w:val="20"/>
                <w:color w:val="auto"/>
              </w:rPr>
            </w:pPr>
            <w:r>
              <w:rPr>
                <w:rFonts w:ascii="Arial" w:cs="Arial" w:eastAsia="Arial" w:hAnsi="Arial"/>
                <w:sz w:val="18"/>
                <w:szCs w:val="18"/>
                <w:color w:val="auto"/>
              </w:rPr>
              <w:t>Percent of class:</w:t>
            </w:r>
          </w:p>
        </w:tc>
        <w:tc>
          <w:tcPr>
            <w:tcW w:w="3700" w:type="dxa"/>
            <w:vAlign w:val="bottom"/>
          </w:tcPr>
          <w:p>
            <w:pPr>
              <w:jc w:val="right"/>
              <w:spacing w:after="0"/>
              <w:rPr>
                <w:sz w:val="20"/>
                <w:szCs w:val="20"/>
                <w:color w:val="auto"/>
              </w:rPr>
            </w:pPr>
            <w:r>
              <w:rPr>
                <w:rFonts w:ascii="Arial" w:cs="Arial" w:eastAsia="Arial" w:hAnsi="Arial"/>
                <w:sz w:val="18"/>
                <w:szCs w:val="18"/>
                <w:color w:val="auto"/>
              </w:rPr>
              <w:t>4.59%</w:t>
            </w:r>
          </w:p>
        </w:tc>
      </w:tr>
    </w:tbl>
    <w:p>
      <w:pPr>
        <w:ind w:left="2200" w:hanging="585"/>
        <w:spacing w:after="0"/>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ind w:left="2200"/>
              <w:spacing w:after="0"/>
              <w:rPr>
                <w:sz w:val="20"/>
                <w:szCs w:val="20"/>
                <w:color w:val="auto"/>
              </w:rPr>
            </w:pPr>
            <w:r>
              <w:rPr>
                <w:rFonts w:ascii="Arial" w:cs="Arial" w:eastAsia="Arial" w:hAnsi="Arial"/>
                <w:sz w:val="18"/>
                <w:szCs w:val="18"/>
                <w:color w:val="auto"/>
              </w:rPr>
              <w:t>(i)</w:t>
            </w:r>
          </w:p>
        </w:tc>
        <w:tc>
          <w:tcPr>
            <w:tcW w:w="5860" w:type="dxa"/>
            <w:vAlign w:val="bottom"/>
          </w:tcPr>
          <w:p>
            <w:pPr>
              <w:ind w:left="40"/>
              <w:spacing w:after="0"/>
              <w:rPr>
                <w:sz w:val="20"/>
                <w:szCs w:val="20"/>
                <w:color w:val="auto"/>
              </w:rPr>
            </w:pPr>
            <w:r>
              <w:rPr>
                <w:rFonts w:ascii="Arial" w:cs="Arial" w:eastAsia="Arial" w:hAnsi="Arial"/>
                <w:sz w:val="18"/>
                <w:szCs w:val="18"/>
                <w:color w:val="auto"/>
              </w:rPr>
              <w:t>Sole power to vote or to direct the vote:</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816,395</w:t>
            </w:r>
          </w:p>
        </w:tc>
      </w:tr>
      <w:tr>
        <w:trPr>
          <w:trHeight w:val="216"/>
        </w:trPr>
        <w:tc>
          <w:tcPr>
            <w:tcW w:w="8360" w:type="dxa"/>
            <w:vAlign w:val="bottom"/>
            <w:gridSpan w:val="2"/>
          </w:tcPr>
          <w:p>
            <w:pPr>
              <w:ind w:left="2200"/>
              <w:spacing w:after="0"/>
              <w:rPr>
                <w:sz w:val="20"/>
                <w:szCs w:val="20"/>
                <w:color w:val="auto"/>
              </w:rPr>
            </w:pPr>
            <w:r>
              <w:rPr>
                <w:rFonts w:ascii="Arial" w:cs="Arial" w:eastAsia="Arial" w:hAnsi="Arial"/>
                <w:sz w:val="18"/>
                <w:szCs w:val="18"/>
                <w:color w:val="auto"/>
              </w:rPr>
              <w:t>(ii)  Shared power to vote or to direct the vote:</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0</w:t>
            </w:r>
          </w:p>
        </w:tc>
      </w:tr>
      <w:tr>
        <w:trPr>
          <w:trHeight w:val="216"/>
        </w:trPr>
        <w:tc>
          <w:tcPr>
            <w:tcW w:w="2500" w:type="dxa"/>
            <w:vAlign w:val="bottom"/>
          </w:tcPr>
          <w:p>
            <w:pPr>
              <w:ind w:left="2200"/>
              <w:spacing w:after="0"/>
              <w:rPr>
                <w:sz w:val="20"/>
                <w:szCs w:val="20"/>
                <w:color w:val="auto"/>
              </w:rPr>
            </w:pPr>
            <w:r>
              <w:rPr>
                <w:rFonts w:ascii="Arial" w:cs="Arial" w:eastAsia="Arial" w:hAnsi="Arial"/>
                <w:sz w:val="18"/>
                <w:szCs w:val="18"/>
                <w:color w:val="auto"/>
              </w:rPr>
              <w:t>(iii)</w:t>
            </w:r>
          </w:p>
        </w:tc>
        <w:tc>
          <w:tcPr>
            <w:tcW w:w="5860" w:type="dxa"/>
            <w:vAlign w:val="bottom"/>
          </w:tcPr>
          <w:p>
            <w:pPr>
              <w:ind w:left="60"/>
              <w:spacing w:after="0"/>
              <w:rPr>
                <w:sz w:val="20"/>
                <w:szCs w:val="20"/>
                <w:color w:val="auto"/>
              </w:rPr>
            </w:pPr>
            <w:r>
              <w:rPr>
                <w:rFonts w:ascii="Arial" w:cs="Arial" w:eastAsia="Arial" w:hAnsi="Arial"/>
                <w:sz w:val="18"/>
                <w:szCs w:val="18"/>
                <w:color w:val="auto"/>
              </w:rPr>
              <w:t>Sole power to dispose or to direct the disposition of:</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2,347,445</w:t>
            </w:r>
          </w:p>
        </w:tc>
      </w:tr>
      <w:tr>
        <w:trPr>
          <w:trHeight w:val="230"/>
        </w:trPr>
        <w:tc>
          <w:tcPr>
            <w:tcW w:w="2500" w:type="dxa"/>
            <w:vAlign w:val="bottom"/>
          </w:tcPr>
          <w:p>
            <w:pPr>
              <w:ind w:left="2200"/>
              <w:spacing w:after="0"/>
              <w:rPr>
                <w:sz w:val="20"/>
                <w:szCs w:val="20"/>
                <w:color w:val="auto"/>
              </w:rPr>
            </w:pPr>
            <w:r>
              <w:rPr>
                <w:rFonts w:ascii="Arial" w:cs="Arial" w:eastAsia="Arial" w:hAnsi="Arial"/>
                <w:sz w:val="18"/>
                <w:szCs w:val="18"/>
                <w:color w:val="auto"/>
              </w:rPr>
              <w:t>(iv)</w:t>
            </w:r>
          </w:p>
        </w:tc>
        <w:tc>
          <w:tcPr>
            <w:tcW w:w="5860" w:type="dxa"/>
            <w:vAlign w:val="bottom"/>
          </w:tcPr>
          <w:p>
            <w:pPr>
              <w:ind w:left="40"/>
              <w:spacing w:after="0"/>
              <w:rPr>
                <w:sz w:val="20"/>
                <w:szCs w:val="20"/>
                <w:color w:val="auto"/>
              </w:rPr>
            </w:pPr>
            <w:r>
              <w:rPr>
                <w:rFonts w:ascii="Arial" w:cs="Arial" w:eastAsia="Arial" w:hAnsi="Arial"/>
                <w:sz w:val="18"/>
                <w:szCs w:val="18"/>
                <w:color w:val="auto"/>
              </w:rPr>
              <w:t>Shared power to dispose or to direct the disposition of:</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none</w:t>
            </w:r>
          </w:p>
        </w:tc>
      </w:tr>
      <w:tr>
        <w:trPr>
          <w:trHeight w:val="1722"/>
        </w:trPr>
        <w:tc>
          <w:tcPr>
            <w:tcW w:w="25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ind w:left="8560"/>
        <w:spacing w:after="0"/>
        <w:rPr>
          <w:sz w:val="20"/>
          <w:szCs w:val="20"/>
          <w:color w:val="auto"/>
        </w:rPr>
      </w:pPr>
      <w:r>
        <w:rPr>
          <w:rFonts w:ascii="Arial" w:cs="Arial" w:eastAsia="Arial" w:hAnsi="Arial"/>
          <w:sz w:val="18"/>
          <w:szCs w:val="18"/>
          <w:color w:val="auto"/>
        </w:rPr>
        <w:t>Page 5 of 6 Pages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5820" w:type="dxa"/>
            <w:vAlign w:val="bottom"/>
          </w:tcPr>
          <w:p>
            <w:pPr>
              <w:ind w:left="500"/>
              <w:spacing w:after="0"/>
              <w:rPr>
                <w:sz w:val="20"/>
                <w:szCs w:val="20"/>
                <w:color w:val="auto"/>
              </w:rPr>
            </w:pPr>
            <w:r>
              <w:rPr>
                <w:rFonts w:ascii="Arial" w:cs="Arial" w:eastAsia="Arial" w:hAnsi="Arial"/>
                <w:sz w:val="18"/>
                <w:szCs w:val="18"/>
                <w:color w:val="auto"/>
              </w:rPr>
              <w:t>Ownership of Five Percent or Less of a Class</w:t>
            </w:r>
          </w:p>
        </w:tc>
        <w:tc>
          <w:tcPr>
            <w:tcW w:w="4480" w:type="dxa"/>
            <w:vAlign w:val="bottom"/>
          </w:tcPr>
          <w:p>
            <w:pPr>
              <w:spacing w:after="0"/>
              <w:rPr>
                <w:sz w:val="20"/>
                <w:szCs w:val="20"/>
                <w:color w:val="auto"/>
              </w:rPr>
            </w:pPr>
          </w:p>
        </w:tc>
      </w:tr>
      <w:tr>
        <w:trPr>
          <w:trHeight w:val="418"/>
        </w:trPr>
        <w:tc>
          <w:tcPr>
            <w:tcW w:w="1120" w:type="dxa"/>
            <w:vAlign w:val="bottom"/>
          </w:tcPr>
          <w:p>
            <w:pPr>
              <w:spacing w:after="0"/>
              <w:rPr>
                <w:sz w:val="24"/>
                <w:szCs w:val="24"/>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If this statement is being filed to report the fact that as of the date hereof the</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reporting person has ceased to be the beneficial owner of more than five percent</w:t>
            </w:r>
          </w:p>
        </w:tc>
      </w:tr>
      <w:tr>
        <w:trPr>
          <w:trHeight w:val="230"/>
        </w:trPr>
        <w:tc>
          <w:tcPr>
            <w:tcW w:w="1120" w:type="dxa"/>
            <w:vAlign w:val="bottom"/>
          </w:tcPr>
          <w:p>
            <w:pPr>
              <w:spacing w:after="0"/>
              <w:rPr>
                <w:sz w:val="20"/>
                <w:szCs w:val="20"/>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of the class of securities, check the following</w:t>
            </w:r>
          </w:p>
        </w:tc>
        <w:tc>
          <w:tcPr>
            <w:tcW w:w="4480" w:type="dxa"/>
            <w:vAlign w:val="bottom"/>
          </w:tcPr>
          <w:p>
            <w:pPr>
              <w:ind w:left="20"/>
              <w:spacing w:after="0"/>
              <w:rPr>
                <w:sz w:val="20"/>
                <w:szCs w:val="20"/>
                <w:color w:val="auto"/>
              </w:rPr>
            </w:pPr>
            <w:r>
              <w:rPr>
                <w:rFonts w:ascii="Arial" w:cs="Arial" w:eastAsia="Arial" w:hAnsi="Arial"/>
                <w:sz w:val="18"/>
                <w:szCs w:val="18"/>
                <w:color w:val="auto"/>
              </w:rPr>
              <w:t>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5820" w:type="dxa"/>
            <w:vAlign w:val="bottom"/>
          </w:tcPr>
          <w:p>
            <w:pPr>
              <w:ind w:left="500"/>
              <w:spacing w:after="0"/>
              <w:rPr>
                <w:sz w:val="20"/>
                <w:szCs w:val="20"/>
                <w:color w:val="auto"/>
              </w:rPr>
            </w:pPr>
            <w:r>
              <w:rPr>
                <w:rFonts w:ascii="Arial" w:cs="Arial" w:eastAsia="Arial" w:hAnsi="Arial"/>
                <w:sz w:val="18"/>
                <w:szCs w:val="18"/>
                <w:color w:val="auto"/>
                <w:w w:val="99"/>
              </w:rPr>
              <w:t>Ownership of More than Five Percent on Behalf of Another Person.</w:t>
            </w:r>
          </w:p>
        </w:tc>
        <w:tc>
          <w:tcPr>
            <w:tcW w:w="448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If any other person is known to have the right to receive or the power to direct</w:t>
            </w:r>
          </w:p>
        </w:tc>
      </w:tr>
      <w:tr>
        <w:trPr>
          <w:trHeight w:val="216"/>
        </w:trPr>
        <w:tc>
          <w:tcPr>
            <w:tcW w:w="1120" w:type="dxa"/>
            <w:vAlign w:val="bottom"/>
          </w:tcPr>
          <w:p>
            <w:pPr>
              <w:spacing w:after="0"/>
              <w:rPr>
                <w:sz w:val="18"/>
                <w:szCs w:val="18"/>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w w:val="98"/>
              </w:rPr>
              <w:t>the receipt of dividends from, or the proceeds from the sale of, such</w:t>
            </w:r>
          </w:p>
        </w:tc>
        <w:tc>
          <w:tcPr>
            <w:tcW w:w="44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w w:val="89"/>
              </w:rPr>
              <w:t>securities, a statement to that effect should be included in response to this</w:t>
            </w:r>
          </w:p>
        </w:tc>
        <w:tc>
          <w:tcPr>
            <w:tcW w:w="44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item and, if such interest relates to more than five percent of the class, such</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person should be identified. A listing of the shareholders of an investment</w:t>
            </w:r>
          </w:p>
        </w:tc>
      </w:tr>
      <w:tr>
        <w:trPr>
          <w:trHeight w:val="216"/>
        </w:trPr>
        <w:tc>
          <w:tcPr>
            <w:tcW w:w="1120" w:type="dxa"/>
            <w:vAlign w:val="bottom"/>
          </w:tcPr>
          <w:p>
            <w:pPr>
              <w:spacing w:after="0"/>
              <w:rPr>
                <w:sz w:val="18"/>
                <w:szCs w:val="18"/>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w w:val="94"/>
              </w:rPr>
              <w:t>company registered under the Investment Company Act of 1940 or the</w:t>
            </w:r>
          </w:p>
        </w:tc>
        <w:tc>
          <w:tcPr>
            <w:tcW w:w="44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beneficiaries of employee benefit plan, pension fund or endowment fund is not</w:t>
            </w:r>
          </w:p>
        </w:tc>
      </w:tr>
      <w:tr>
        <w:trPr>
          <w:trHeight w:val="230"/>
        </w:trPr>
        <w:tc>
          <w:tcPr>
            <w:tcW w:w="1120" w:type="dxa"/>
            <w:vAlign w:val="bottom"/>
          </w:tcPr>
          <w:p>
            <w:pPr>
              <w:spacing w:after="0"/>
              <w:rPr>
                <w:sz w:val="20"/>
                <w:szCs w:val="20"/>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required.</w:t>
            </w:r>
          </w:p>
        </w:tc>
        <w:tc>
          <w:tcPr>
            <w:tcW w:w="44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Identification and Classification of the Subsidiary Which Acquired the Security</w:t>
            </w:r>
          </w:p>
        </w:tc>
      </w:tr>
      <w:tr>
        <w:trPr>
          <w:trHeight w:val="230"/>
        </w:trPr>
        <w:tc>
          <w:tcPr>
            <w:tcW w:w="1120" w:type="dxa"/>
            <w:vAlign w:val="bottom"/>
          </w:tcPr>
          <w:p>
            <w:pPr>
              <w:spacing w:after="0"/>
              <w:rPr>
                <w:sz w:val="20"/>
                <w:szCs w:val="20"/>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Being Reported on by the Parent Holding Company.</w:t>
            </w:r>
          </w:p>
        </w:tc>
        <w:tc>
          <w:tcPr>
            <w:tcW w:w="44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5820" w:type="dxa"/>
            <w:vAlign w:val="bottom"/>
          </w:tcPr>
          <w:p>
            <w:pPr>
              <w:ind w:left="500"/>
              <w:spacing w:after="0"/>
              <w:rPr>
                <w:sz w:val="20"/>
                <w:szCs w:val="20"/>
                <w:color w:val="auto"/>
              </w:rPr>
            </w:pPr>
            <w:r>
              <w:rPr>
                <w:rFonts w:ascii="Arial" w:cs="Arial" w:eastAsia="Arial" w:hAnsi="Arial"/>
                <w:sz w:val="18"/>
                <w:szCs w:val="18"/>
                <w:color w:val="auto"/>
              </w:rPr>
              <w:t>Identification and Classification of Members of the Group.</w:t>
            </w:r>
          </w:p>
        </w:tc>
        <w:tc>
          <w:tcPr>
            <w:tcW w:w="44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5820" w:type="dxa"/>
            <w:vAlign w:val="bottom"/>
          </w:tcPr>
          <w:p>
            <w:pPr>
              <w:ind w:left="500"/>
              <w:spacing w:after="0"/>
              <w:rPr>
                <w:sz w:val="20"/>
                <w:szCs w:val="20"/>
                <w:color w:val="auto"/>
              </w:rPr>
            </w:pPr>
            <w:r>
              <w:rPr>
                <w:rFonts w:ascii="Arial" w:cs="Arial" w:eastAsia="Arial" w:hAnsi="Arial"/>
                <w:sz w:val="18"/>
                <w:szCs w:val="18"/>
                <w:color w:val="auto"/>
              </w:rPr>
              <w:t>Notice of Dissolution of Group.</w:t>
            </w:r>
          </w:p>
        </w:tc>
        <w:tc>
          <w:tcPr>
            <w:tcW w:w="44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5820" w:type="dxa"/>
            <w:vAlign w:val="bottom"/>
          </w:tcPr>
          <w:p>
            <w:pPr>
              <w:ind w:left="500"/>
              <w:spacing w:after="0"/>
              <w:rPr>
                <w:sz w:val="20"/>
                <w:szCs w:val="20"/>
                <w:color w:val="auto"/>
              </w:rPr>
            </w:pPr>
            <w:r>
              <w:rPr>
                <w:rFonts w:ascii="Arial" w:cs="Arial" w:eastAsia="Arial" w:hAnsi="Arial"/>
                <w:sz w:val="18"/>
                <w:szCs w:val="18"/>
                <w:color w:val="auto"/>
              </w:rPr>
              <w:t>Certification.</w:t>
            </w:r>
          </w:p>
        </w:tc>
        <w:tc>
          <w:tcPr>
            <w:tcW w:w="448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By signing below I certify that, to the best of my knowledge and belief, the</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securities referred to above were acquired and are held in the ordinary course of</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business and were not acquired and are not held for the purpose of or with the</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effect of changing or influencing the control of the issuer of the securities and</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00"/>
              <w:spacing w:after="0"/>
              <w:rPr>
                <w:sz w:val="20"/>
                <w:szCs w:val="20"/>
                <w:color w:val="auto"/>
              </w:rPr>
            </w:pPr>
            <w:r>
              <w:rPr>
                <w:rFonts w:ascii="Arial" w:cs="Arial" w:eastAsia="Arial" w:hAnsi="Arial"/>
                <w:sz w:val="18"/>
                <w:szCs w:val="18"/>
                <w:color w:val="auto"/>
              </w:rPr>
              <w:t>were not acquired and are not held in connection with or as a participant in any</w:t>
            </w:r>
          </w:p>
        </w:tc>
      </w:tr>
      <w:tr>
        <w:trPr>
          <w:trHeight w:val="230"/>
        </w:trPr>
        <w:tc>
          <w:tcPr>
            <w:tcW w:w="1120" w:type="dxa"/>
            <w:vAlign w:val="bottom"/>
          </w:tcPr>
          <w:p>
            <w:pPr>
              <w:spacing w:after="0"/>
              <w:rPr>
                <w:sz w:val="20"/>
                <w:szCs w:val="20"/>
                <w:color w:val="auto"/>
              </w:rPr>
            </w:pPr>
          </w:p>
        </w:tc>
        <w:tc>
          <w:tcPr>
            <w:tcW w:w="5820" w:type="dxa"/>
            <w:vAlign w:val="bottom"/>
          </w:tcPr>
          <w:p>
            <w:pPr>
              <w:ind w:left="500"/>
              <w:spacing w:after="0"/>
              <w:rPr>
                <w:sz w:val="20"/>
                <w:szCs w:val="20"/>
                <w:color w:val="auto"/>
              </w:rPr>
            </w:pPr>
            <w:r>
              <w:rPr>
                <w:rFonts w:ascii="Arial" w:cs="Arial" w:eastAsia="Arial" w:hAnsi="Arial"/>
                <w:sz w:val="18"/>
                <w:szCs w:val="18"/>
                <w:color w:val="auto"/>
              </w:rPr>
              <w:t>transaction having that purpose or effect.</w:t>
            </w:r>
          </w:p>
        </w:tc>
        <w:tc>
          <w:tcPr>
            <w:tcW w:w="4480" w:type="dxa"/>
            <w:vAlign w:val="bottom"/>
          </w:tcPr>
          <w:p>
            <w:pPr>
              <w:spacing w:after="0"/>
              <w:rPr>
                <w:sz w:val="20"/>
                <w:szCs w:val="20"/>
                <w:color w:val="auto"/>
              </w:rPr>
            </w:pPr>
          </w:p>
        </w:tc>
      </w:tr>
      <w:tr>
        <w:trPr>
          <w:trHeight w:val="1506"/>
        </w:trPr>
        <w:tc>
          <w:tcPr>
            <w:tcW w:w="11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ind w:left="8560"/>
        <w:spacing w:after="0"/>
        <w:rPr>
          <w:sz w:val="20"/>
          <w:szCs w:val="20"/>
          <w:color w:val="auto"/>
        </w:rPr>
      </w:pPr>
      <w:r>
        <w:rPr>
          <w:rFonts w:ascii="Arial" w:cs="Arial" w:eastAsia="Arial" w:hAnsi="Arial"/>
          <w:sz w:val="18"/>
          <w:szCs w:val="18"/>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74930</wp:posOffset>
            </wp:positionV>
            <wp:extent cx="1449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 this 13th day of February, 2017</w:t>
      </w:r>
    </w:p>
    <w:p>
      <w:pPr>
        <w:spacing w:after="0" w:line="200" w:lineRule="exact"/>
        <w:rPr>
          <w:sz w:val="20"/>
          <w:szCs w:val="20"/>
          <w:color w:val="auto"/>
        </w:rPr>
      </w:pPr>
    </w:p>
    <w:p>
      <w:pPr>
        <w:spacing w:after="0" w:line="24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Huber Capital Management, LLC</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By:/s/ Gary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9756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Gary Thomas</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COO/CCO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060"/>
      </w:cols>
      <w:pgMar w:left="240" w:top="23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T"/>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decimal"/>
      <w:start w:val="1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2020-01-16T07:16:46Z</dcterms:created>
  <dcterms:modified xsi:type="dcterms:W3CDTF">2020-01-16T07:16:46Z</dcterms:modified>
</cp:coreProperties>
</file>