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757555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356235</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CURRENT REPORT</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 xml:space="preserve">PURSUANT TO SECTION 13 OR 15(d) OF THE SECURITIES EXCHANGE ACT OF </w:t>
      </w:r>
      <w:r>
        <w:rPr>
          <w:rFonts w:ascii="Arial" w:cs="Arial" w:eastAsia="Arial" w:hAnsi="Arial"/>
          <w:sz w:val="20"/>
          <w:szCs w:val="20"/>
          <w:b w:val="1"/>
          <w:bCs w:val="1"/>
          <w:color w:val="auto"/>
        </w:rPr>
        <w:t>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325755</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440055</wp:posOffset>
            </wp:positionV>
            <wp:extent cx="24269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15" w:right="359" w:bottom="1440" w:gutter="0" w:footer="0" w:header="0"/>
        </w:sectPr>
      </w:pPr>
    </w:p>
    <w:p>
      <w:pPr>
        <w:spacing w:after="0" w:line="365" w:lineRule="exact"/>
        <w:rPr>
          <w:sz w:val="24"/>
          <w:szCs w:val="24"/>
          <w:color w:val="auto"/>
        </w:rPr>
      </w:pPr>
    </w:p>
    <w:p>
      <w:pPr>
        <w:ind w:left="128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400"/>
        <w:spacing w:after="0"/>
        <w:rPr>
          <w:sz w:val="20"/>
          <w:szCs w:val="20"/>
          <w:color w:val="auto"/>
        </w:rPr>
      </w:pPr>
      <w:r>
        <w:rPr>
          <w:rFonts w:ascii="Arial" w:cs="Arial" w:eastAsia="Arial" w:hAnsi="Arial"/>
          <w:sz w:val="19"/>
          <w:szCs w:val="19"/>
          <w:b w:val="1"/>
          <w:bCs w:val="1"/>
          <w:color w:val="auto"/>
        </w:rPr>
        <w:t>0-19424</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74-2540145</w:t>
      </w:r>
    </w:p>
    <w:p>
      <w:pPr>
        <w:spacing w:after="0" w:line="61" w:lineRule="exact"/>
        <w:rPr>
          <w:sz w:val="24"/>
          <w:szCs w:val="24"/>
          <w:color w:val="auto"/>
        </w:rPr>
      </w:pPr>
    </w:p>
    <w:p>
      <w:pPr>
        <w:sectPr>
          <w:pgSz w:w="11900" w:h="16838" w:orient="portrait"/>
          <w:cols w:equalWidth="0" w:num="3">
            <w:col w:w="4580" w:space="720"/>
            <w:col w:w="3120" w:space="720"/>
            <w:col w:w="2160"/>
          </w:cols>
          <w:pgMar w:left="240" w:top="1415" w:right="359" w:bottom="1440" w:gutter="0" w:footer="0" w:header="0"/>
          <w:type w:val="continuous"/>
        </w:sectPr>
      </w:pPr>
    </w:p>
    <w:p>
      <w:pPr>
        <w:spacing w:after="0" w:line="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8"/>
          <w:szCs w:val="18"/>
          <w:color w:val="auto"/>
        </w:rPr>
        <w:t>(IRS Employer</w:t>
      </w: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60" w:space="720"/>
            <w:col w:w="3580" w:space="720"/>
            <w:col w:w="2320"/>
          </w:cols>
          <w:pgMar w:left="240" w:top="1415" w:right="35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1901 Capital Parkway, Austin, Texas 78746</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w:t>
      </w:r>
      <w:r>
        <w:rPr>
          <w:rFonts w:ascii="Arial" w:cs="Arial" w:eastAsia="Arial" w:hAnsi="Arial"/>
          <w:sz w:val="21"/>
          <w:szCs w:val="21"/>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455930</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4" w:lineRule="exact"/>
        <w:rPr>
          <w:rFonts w:ascii="MS PGothic" w:cs="MS PGothic" w:eastAsia="MS PGothic" w:hAnsi="MS PGothic"/>
          <w:sz w:val="22"/>
          <w:szCs w:val="22"/>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4" w:lineRule="exact"/>
        <w:rPr>
          <w:rFonts w:ascii="MS PGothic" w:cs="MS PGothic" w:eastAsia="MS PGothic" w:hAnsi="MS PGothic"/>
          <w:sz w:val="22"/>
          <w:szCs w:val="22"/>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4" w:lineRule="exact"/>
        <w:rPr>
          <w:rFonts w:ascii="MS PGothic" w:cs="MS PGothic" w:eastAsia="MS PGothic" w:hAnsi="MS PGothic"/>
          <w:sz w:val="22"/>
          <w:szCs w:val="22"/>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15" w:right="35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right="1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2, 2015, EZCORP, Inc. announced the appointment of Mark Ashby as Chief Financial Officer (principal financial officer). A copy of the company's press release announcing this appointment is attached as Exhibit 99.1 and incorporated herein by reference.</w:t>
      </w:r>
    </w:p>
    <w:p>
      <w:pPr>
        <w:spacing w:after="0" w:line="116" w:lineRule="exact"/>
        <w:rPr>
          <w:rFonts w:ascii="Arial" w:cs="Arial" w:eastAsia="Arial" w:hAnsi="Arial"/>
          <w:sz w:val="18"/>
          <w:szCs w:val="18"/>
          <w:color w:val="auto"/>
        </w:rPr>
      </w:pPr>
    </w:p>
    <w:p>
      <w:pPr>
        <w:ind w:left="660" w:right="40"/>
        <w:spacing w:after="0" w:line="255" w:lineRule="auto"/>
        <w:rPr>
          <w:rFonts w:ascii="Arial" w:cs="Arial" w:eastAsia="Arial" w:hAnsi="Arial"/>
          <w:sz w:val="18"/>
          <w:szCs w:val="18"/>
          <w:color w:val="auto"/>
        </w:rPr>
      </w:pPr>
      <w:r>
        <w:rPr>
          <w:rFonts w:ascii="Arial" w:cs="Arial" w:eastAsia="Arial" w:hAnsi="Arial"/>
          <w:sz w:val="18"/>
          <w:szCs w:val="18"/>
          <w:color w:val="auto"/>
        </w:rPr>
        <w:t>Mr. Ashby, age 54, has more than 30 years of finance and business experience, having previously served as Chief Financial Officer of Meyer Holdings Limited, Australia's largest department store group; Chief Financial Officer and Group General Manager, Home and Trade Division of Mitre 10 Australia Ltd., a large home improvement and hardware retailer and wholesaler; Founder and Director, Business Development and Funding Consulting for Clearview Business Advisory Pty Ltd., a business consulting firm; Chief Financial Officer for The Oriel Network, a joint venture telecommunications company set up by Motorola Inc.; and Finance Director for Sportsgirl Sportscraft Group. Mr. Ashby also spent nine years with Motorola Australia Pty Ltd. in various finance and accounting roles, including Director of Finance, Australasia and Director of Consumer Finance, Asia.</w:t>
      </w:r>
    </w:p>
    <w:p>
      <w:pPr>
        <w:spacing w:after="0" w:line="135" w:lineRule="exact"/>
        <w:rPr>
          <w:rFonts w:ascii="Arial" w:cs="Arial" w:eastAsia="Arial" w:hAnsi="Arial"/>
          <w:sz w:val="18"/>
          <w:szCs w:val="18"/>
          <w:color w:val="auto"/>
        </w:rPr>
      </w:pPr>
    </w:p>
    <w:p>
      <w:pPr>
        <w:ind w:left="660"/>
        <w:spacing w:after="0" w:line="290" w:lineRule="auto"/>
        <w:rPr>
          <w:rFonts w:ascii="Arial" w:cs="Arial" w:eastAsia="Arial" w:hAnsi="Arial"/>
          <w:sz w:val="18"/>
          <w:szCs w:val="18"/>
          <w:color w:val="auto"/>
        </w:rPr>
      </w:pPr>
      <w:r>
        <w:rPr>
          <w:rFonts w:ascii="Arial" w:cs="Arial" w:eastAsia="Arial" w:hAnsi="Arial"/>
          <w:sz w:val="16"/>
          <w:szCs w:val="16"/>
          <w:color w:val="auto"/>
        </w:rPr>
        <w:t>As the company's Chief Financial Officer, Mr. Ashby will receive an annual salary of $700,000 and a target bonus of 100% of base salary (prorated for fiscal 2015). He will receive a "new hire" grant of restricted shares of EZCORP Class A Non-Voting Common Stock, with the number of shares equal to his prorated fiscal 2015 base salary divided by the stock price at the time of grant; and a "new hire" bonus of $665,000 that may be paid in cash or shares of Class A Non-Voting Common Stock at the company's discretion. Mr. Ashby will be eligible to receive annual restricted stock grants commencing with fiscal 2016, and the number of shares of his first annual grant (to be made on or about October 1, 2015) will be equal to 100% of his base salary divided by the stock price at the time of grant. With respect to the restricted stock grants, 60% of the shares will vest over three years contingent upon the company's achieving specified performance metrics, and the remaining 40% will vest over six years in specified amounts if the per-share trading price of the Class A Non-Voting Common Stock achieves specified levels ranging from $15 to $80.</w:t>
      </w:r>
    </w:p>
    <w:p>
      <w:pPr>
        <w:spacing w:after="0" w:line="112" w:lineRule="exact"/>
        <w:rPr>
          <w:rFonts w:ascii="Arial" w:cs="Arial" w:eastAsia="Arial" w:hAnsi="Arial"/>
          <w:sz w:val="18"/>
          <w:szCs w:val="18"/>
          <w:color w:val="auto"/>
        </w:rPr>
      </w:pPr>
    </w:p>
    <w:p>
      <w:pPr>
        <w:ind w:left="660" w:right="480"/>
        <w:spacing w:after="0" w:line="259" w:lineRule="auto"/>
        <w:rPr>
          <w:rFonts w:ascii="Arial" w:cs="Arial" w:eastAsia="Arial" w:hAnsi="Arial"/>
          <w:sz w:val="18"/>
          <w:szCs w:val="18"/>
          <w:color w:val="auto"/>
        </w:rPr>
      </w:pPr>
      <w:r>
        <w:rPr>
          <w:rFonts w:ascii="Arial" w:cs="Arial" w:eastAsia="Arial" w:hAnsi="Arial"/>
          <w:sz w:val="18"/>
          <w:szCs w:val="18"/>
          <w:color w:val="auto"/>
        </w:rPr>
        <w:t>Mr. Ashby will receive other benefits, to include a temporary housing allowance of up to $12,000 per month for one year from his start date, reimbursement of the costs of moving household goods, a $2,500 per year allowance for tax planning and preparations, and standard executive healthcare and retirement benefits. These benefits include a severance plan that provides for salary continuation for a period of one year if the company terminates Mr. Ashby's employment without cause.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expected that Mr. Ashby will begin his employment with the company in June 2015.</w:t>
      </w:r>
    </w:p>
    <w:p>
      <w:pPr>
        <w:spacing w:after="0" w:line="171" w:lineRule="exact"/>
        <w:rPr>
          <w:sz w:val="20"/>
          <w:szCs w:val="20"/>
          <w:color w:val="auto"/>
        </w:rPr>
      </w:pPr>
    </w:p>
    <w:p>
      <w:pPr>
        <w:ind w:left="660" w:right="4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 2015, the Compensation Committee of the company's Board of Directors approved a temporary housing allowance for Lachlan P. Given, Executive Chairman, of up to $10,000 per month for up to one year in order to assist Mr. Given in obtaining suitable housing arrangements in the Austin, Texas area.</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February 26, 2015, the sole holder of the company's Class B Voting Common Stock (the "Voting Stockholder") approved an additional amendment to the EZCORP, Inc. 2010 Long-Term Incentive Plan (the "Plan"), which, among other things, permits the company to provide incentive compensation awards to employees, consultants and directors based on the company's common stock. The amendment increases the maximum annual Award (as defined in the Plan) from 500,000 shares to 1,000,000 shares. Specifically, the amendment amends Section 4.2(b)(1) of the Plan to read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was approved by the Compensation Committee and the Board of Directors prior to submission to the Voting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and restated Plan is filed as Exhibit 10.1 to this Report.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26, 2015, there were 2,970,171 shares of the company's Class B Voting Common Stock outstanding, all of which are held by MS Pawn Limited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EZCORP, Inc. Long-Term Incentive Plan, effective February 26, 2015</w:t>
      </w: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2, 2015, announcing appointment of new Chief Financial Officer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013"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March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74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jc w:val="center"/>
              <w:ind w:right="127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1004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Amended and Restated EZCORP, Inc. Long-Term Incentive Plan, effective February 26, 2015</w:t>
            </w: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Press Release, dated March 2, 2015, announcing appointment of new Chief Financial Officer</w:t>
            </w:r>
          </w:p>
        </w:tc>
      </w:tr>
      <w:tr>
        <w:trPr>
          <w:trHeight w:val="70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jc w:val="right"/>
              <w:ind w:right="557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7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ind w:left="4020"/>
        <w:spacing w:after="0"/>
        <w:rPr>
          <w:sz w:val="20"/>
          <w:szCs w:val="20"/>
          <w:color w:val="auto"/>
        </w:rPr>
      </w:pPr>
      <w:r>
        <w:rPr>
          <w:rFonts w:ascii="Arial" w:cs="Arial" w:eastAsia="Arial" w:hAnsi="Arial"/>
          <w:sz w:val="25"/>
          <w:szCs w:val="25"/>
          <w:b w:val="1"/>
          <w:bCs w:val="1"/>
          <w:color w:val="auto"/>
        </w:rPr>
        <w:t>2010 Long-Term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February 26, 2015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i w:val="1"/>
          <w:iCs w:val="1"/>
          <w:color w:val="auto"/>
        </w:rPr>
        <w:t xml:space="preserve">Purpose - </w:t>
      </w:r>
      <w:r>
        <w:rPr>
          <w:rFonts w:ascii="Arial" w:cs="Arial" w:eastAsia="Arial" w:hAnsi="Arial"/>
          <w:sz w:val="16"/>
          <w:szCs w:val="16"/>
          <w:color w:val="auto"/>
        </w:rPr>
        <w:t>The 2010 Long-Term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established by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 alternatives, thereby promoting the long-term financial interests of the Company and enhancing long-term stockholder return.</w:t>
      </w:r>
    </w:p>
    <w:p>
      <w:pPr>
        <w:spacing w:after="0" w:line="1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May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 Board, no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granted under the plan after the tenth anniversary of the Effective Date.</w:t>
      </w:r>
    </w:p>
    <w:p>
      <w:pPr>
        <w:spacing w:after="0" w:line="13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Operation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The Committee -</w:t>
      </w:r>
    </w:p>
    <w:p>
      <w:pPr>
        <w:spacing w:after="0" w:line="185"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40"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w:t>
      </w:r>
    </w:p>
    <w:p>
      <w:pPr>
        <w:sectPr>
          <w:pgSz w:w="11900" w:h="16838" w:orient="portrait"/>
          <w:cols w:equalWidth="0" w:num="1">
            <w:col w:w="11420"/>
          </w:cols>
          <w:pgMar w:left="240" w:top="364" w:right="239" w:bottom="1440" w:gutter="0" w:footer="0" w:header="0"/>
        </w:sectPr>
      </w:pPr>
    </w:p>
    <w:bookmarkStart w:id="6" w:name="page7"/>
    <w:bookmarkEnd w:id="6"/>
    <w:p>
      <w:pPr>
        <w:ind w:left="1960" w:hanging="647"/>
        <w:spacing w:after="0" w:line="308" w:lineRule="auto"/>
        <w:rPr>
          <w:sz w:val="20"/>
          <w:szCs w:val="20"/>
          <w:color w:val="auto"/>
        </w:rPr>
      </w:pPr>
      <w:r>
        <w:rPr>
          <w:rFonts w:ascii="Arial" w:cs="Arial" w:eastAsia="Arial" w:hAnsi="Arial"/>
          <w:sz w:val="17"/>
          <w:szCs w:val="17"/>
          <w:color w:val="auto"/>
        </w:rPr>
        <w:t>All decisions relating to the Plan and any Award shall be final and binding on all persons. No member of the Committee shall be personally liable for any action or determination relating to the Plan or any Award that was taken or made in good faith.</w:t>
      </w:r>
    </w:p>
    <w:p>
      <w:pPr>
        <w:spacing w:after="0" w:line="106" w:lineRule="exact"/>
        <w:rPr>
          <w:sz w:val="20"/>
          <w:szCs w:val="20"/>
          <w:color w:val="auto"/>
        </w:rPr>
      </w:pPr>
    </w:p>
    <w:p>
      <w:pPr>
        <w:jc w:val="both"/>
        <w:ind w:left="1300" w:hanging="644"/>
        <w:spacing w:after="0" w:line="297"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Delegation - </w:t>
      </w:r>
      <w:r>
        <w:rPr>
          <w:rFonts w:ascii="Arial" w:cs="Arial" w:eastAsia="Arial" w:hAnsi="Arial"/>
          <w:sz w:val="16"/>
          <w:szCs w:val="16"/>
          <w:color w:val="auto"/>
        </w:rPr>
        <w:t>The Committee may delegate any or all of its authority and responsibilities with respect to the Plan and Awards, on such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Eligibility -</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5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4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 For Awards</w:t>
      </w:r>
    </w:p>
    <w:p>
      <w:pPr>
        <w:spacing w:after="0" w:line="18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i w:val="1"/>
          <w:iCs w:val="1"/>
          <w:color w:val="auto"/>
        </w:rPr>
        <w:t xml:space="preserve">Authorized Shares - </w:t>
      </w:r>
      <w:r>
        <w:rPr>
          <w:rFonts w:ascii="Arial" w:cs="Arial" w:eastAsia="Arial" w:hAnsi="Arial"/>
          <w:sz w:val="18"/>
          <w:szCs w:val="18"/>
          <w:color w:val="auto"/>
        </w:rPr>
        <w:t>The number of Authorized Shares shall be 2,219,423, which includes (a) 1,500,000 shares that were authorized upon adoption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Plan on May 1, 2010, (b) 75,750 shares that, under the terms of the Plan, were carried over from the 2006 Plan, and (c) 643,673 shares that were authorized and added to the Plan effective February 20, 2015.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4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46"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i w:val="1"/>
          <w:iCs w:val="1"/>
          <w:color w:val="auto"/>
        </w:rPr>
        <w:t xml:space="preserve">Restoration of Shares - </w:t>
      </w:r>
      <w:r>
        <w:rPr>
          <w:rFonts w:ascii="Arial" w:cs="Arial" w:eastAsia="Arial" w:hAnsi="Arial"/>
          <w:sz w:val="17"/>
          <w:szCs w:val="17"/>
          <w:color w:val="auto"/>
        </w:rPr>
        <w:t>If Stock subject to any Award is not issued or ceases to be issuable for any reason, including because the Award is forfeited,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 or in substitution for outstanding awards previously granted by an entity acquired by the Company shall not be charged against the number of Authorized Shares in calculating the number of Available Shares under Section 3.2.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 Stock by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 xml:space="preserve">Source of Stock - </w:t>
      </w:r>
      <w:r>
        <w:rPr>
          <w:rFonts w:ascii="Arial" w:cs="Arial" w:eastAsia="Arial" w:hAnsi="Arial"/>
          <w:sz w:val="15"/>
          <w:szCs w:val="15"/>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to pay cash in lieu of any fractional share that would otherwise be issuable or may determine to cancel such fractional share with no payment of consideration.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Award Terms -</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2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2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4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 provisions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the Committee may require the proposed Eligible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 w:name="page9"/>
    <w:bookmarkEnd w:id="8"/>
    <w:p>
      <w:pPr>
        <w:jc w:val="both"/>
        <w:ind w:left="660"/>
        <w:spacing w:after="0" w:line="304" w:lineRule="auto"/>
        <w:rPr>
          <w:sz w:val="20"/>
          <w:szCs w:val="20"/>
          <w:color w:val="auto"/>
        </w:rPr>
      </w:pPr>
      <w:r>
        <w:rPr>
          <w:rFonts w:ascii="Arial" w:cs="Arial" w:eastAsia="Arial" w:hAnsi="Arial"/>
          <w:sz w:val="18"/>
          <w:szCs w:val="18"/>
          <w:color w:val="auto"/>
        </w:rPr>
        <w:t>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21"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 of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3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 Award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would be granted to an Eligible Recipient to a permitted transferee of such Eligible Recipient.</w:t>
      </w:r>
    </w:p>
    <w:p>
      <w:pPr>
        <w:spacing w:after="0" w:line="13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 base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any Award or for the purpose of paying any taxes associated with the exercise or vesting of an Award.</w:t>
      </w:r>
    </w:p>
    <w:p>
      <w:pPr>
        <w:spacing w:after="0" w:line="13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b w:val="1"/>
          <w:bCs w:val="1"/>
          <w:i w:val="1"/>
          <w:iCs w:val="1"/>
          <w:color w:val="auto"/>
        </w:rPr>
        <w:t xml:space="preserve">Prohibition on Reload Provisions - </w:t>
      </w:r>
      <w:r>
        <w:rPr>
          <w:rFonts w:ascii="Arial" w:cs="Arial" w:eastAsia="Arial" w:hAnsi="Arial"/>
          <w:sz w:val="18"/>
          <w:szCs w:val="18"/>
          <w:color w:val="auto"/>
        </w:rPr>
        <w:t>No Stock Option granted under the Plan shall contain any “reload” provision entitling the Participant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grant of additional Stock Options in connection with any exercise of the original Stock Option.</w:t>
      </w:r>
    </w:p>
    <w:p>
      <w:pPr>
        <w:spacing w:after="0" w:line="130"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i w:val="1"/>
          <w:iCs w:val="1"/>
          <w:color w:val="auto"/>
        </w:rPr>
        <w:t xml:space="preserve">Dividends and Dividend Equivalents - </w:t>
      </w:r>
      <w:r>
        <w:rPr>
          <w:rFonts w:ascii="Arial" w:cs="Arial" w:eastAsia="Arial" w:hAnsi="Arial"/>
          <w:sz w:val="16"/>
          <w:szCs w:val="16"/>
          <w:color w:val="auto"/>
        </w:rPr>
        <w:t>An Award may provide the Participant with the right to receive dividend payments or dividend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18"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b w:val="1"/>
          <w:bCs w:val="1"/>
          <w:i w:val="1"/>
          <w:iCs w:val="1"/>
          <w:color w:val="auto"/>
        </w:rPr>
        <w:t xml:space="preserve">Settlement of Awards - </w:t>
      </w:r>
      <w:r>
        <w:rPr>
          <w:rFonts w:ascii="Arial" w:cs="Arial" w:eastAsia="Arial" w:hAnsi="Arial"/>
          <w:sz w:val="16"/>
          <w:szCs w:val="16"/>
          <w:color w:val="auto"/>
        </w:rPr>
        <w:t>The obligation to make payments and distributions with respect to Awards may be satisfied through cash payments,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1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b w:val="1"/>
          <w:bCs w:val="1"/>
          <w:i w:val="1"/>
          <w:iCs w:val="1"/>
          <w:color w:val="auto"/>
        </w:rPr>
        <w:t xml:space="preserve">Awards to Non-Employee Directors - </w:t>
      </w:r>
      <w:r>
        <w:rPr>
          <w:rFonts w:ascii="Arial" w:cs="Arial" w:eastAsia="Arial" w:hAnsi="Arial"/>
          <w:sz w:val="18"/>
          <w:szCs w:val="18"/>
          <w:color w:val="auto"/>
        </w:rPr>
        <w:t>Non-Employee Directors shall not be eligible to receive any Awards under the Plan other than the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this Section.</w:t>
      </w:r>
    </w:p>
    <w:p>
      <w:pPr>
        <w:spacing w:after="0" w:line="130" w:lineRule="exact"/>
        <w:rPr>
          <w:sz w:val="20"/>
          <w:szCs w:val="20"/>
          <w:color w:val="auto"/>
        </w:rPr>
      </w:pPr>
    </w:p>
    <w:p>
      <w:pPr>
        <w:jc w:val="both"/>
        <w:ind w:left="1300" w:hanging="644"/>
        <w:spacing w:after="0" w:line="297"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Awards - </w:t>
      </w:r>
      <w:r>
        <w:rPr>
          <w:rFonts w:ascii="Arial" w:cs="Arial" w:eastAsia="Arial" w:hAnsi="Arial"/>
          <w:sz w:val="16"/>
          <w:szCs w:val="16"/>
          <w:color w:val="auto"/>
        </w:rPr>
        <w:t>The Committee may, in its discretion, grant a Non-Qualified Option or Restricted Stock to any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pacing w:after="0" w:line="117"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Awards in Lieu of Annual Cash Retainer - </w:t>
      </w:r>
      <w:r>
        <w:rPr>
          <w:rFonts w:ascii="Arial" w:cs="Arial" w:eastAsia="Arial" w:hAnsi="Arial"/>
          <w:sz w:val="18"/>
          <w:szCs w:val="18"/>
          <w:color w:val="auto"/>
        </w:rPr>
        <w:t>In addition to any Awards granted pursuant to subsection (a) of this Section, the Committee,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discretion, may permit a Non-Employee Director to elect to receive a Non-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1" w:right="239" w:bottom="1440" w:gutter="0" w:footer="0" w:header="0"/>
        </w:sectPr>
      </w:pPr>
    </w:p>
    <w:bookmarkStart w:id="9" w:name="page10"/>
    <w:bookmarkEnd w:id="9"/>
    <w:p>
      <w:pPr>
        <w:jc w:val="both"/>
        <w:ind w:left="1300"/>
        <w:spacing w:after="0" w:line="304" w:lineRule="auto"/>
        <w:rPr>
          <w:sz w:val="20"/>
          <w:szCs w:val="20"/>
          <w:color w:val="auto"/>
        </w:rPr>
      </w:pPr>
      <w:r>
        <w:rPr>
          <w:rFonts w:ascii="Arial" w:cs="Arial" w:eastAsia="Arial" w:hAnsi="Arial"/>
          <w:sz w:val="18"/>
          <w:szCs w:val="18"/>
          <w:color w:val="auto"/>
        </w:rPr>
        <w:t>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21" w:lineRule="exact"/>
        <w:rPr>
          <w:sz w:val="20"/>
          <w:szCs w:val="20"/>
          <w:color w:val="auto"/>
        </w:rPr>
      </w:pPr>
    </w:p>
    <w:p>
      <w:pPr>
        <w:jc w:val="both"/>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4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29"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84"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or Performance Shares.</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Recipient</w:t>
      </w:r>
      <w:r>
        <w:rPr>
          <w:rFonts w:ascii="Arial" w:cs="Arial" w:eastAsia="Arial" w:hAnsi="Arial"/>
          <w:sz w:val="17"/>
          <w:szCs w:val="17"/>
          <w:color w:val="auto"/>
        </w:rPr>
        <w:t>” means any person who is eligible to receive an Award under the Plan, as specified in Section 2.2(a).</w:t>
      </w:r>
    </w:p>
    <w:p>
      <w:pPr>
        <w:spacing w:after="0" w:line="196" w:lineRule="exact"/>
        <w:rPr>
          <w:rFonts w:ascii="Arial" w:cs="Arial" w:eastAsia="Arial" w:hAnsi="Arial"/>
          <w:sz w:val="17"/>
          <w:szCs w:val="17"/>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10" w:name="page11"/>
    <w:bookmarkEnd w:id="10"/>
    <w:p>
      <w:pPr>
        <w:jc w:val="both"/>
        <w:ind w:left="760" w:hanging="655"/>
        <w:spacing w:after="0" w:line="271"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38"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the Company or any of its Subsidiaries.</w:t>
      </w:r>
    </w:p>
    <w:p>
      <w:pPr>
        <w:spacing w:after="0" w:line="19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580" w:hanging="475"/>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84"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26"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129"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4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84"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pacing w:after="0" w:line="140"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 Award</w:t>
      </w:r>
      <w:r>
        <w:rPr>
          <w:rFonts w:ascii="Arial" w:cs="Arial" w:eastAsia="Arial" w:hAnsi="Arial"/>
          <w:sz w:val="17"/>
          <w:szCs w:val="17"/>
          <w:color w:val="auto"/>
        </w:rPr>
        <w:t>” is an Award consisting of Restricted Stock, Restricted Stock Units, Performance Shares or a Stock Bonus.</w:t>
      </w:r>
    </w:p>
    <w:p>
      <w:pPr>
        <w:spacing w:after="0" w:line="196" w:lineRule="exact"/>
        <w:rPr>
          <w:rFonts w:ascii="Arial" w:cs="Arial" w:eastAsia="Arial" w:hAnsi="Arial"/>
          <w:sz w:val="17"/>
          <w:szCs w:val="17"/>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584" w:right="239" w:bottom="1440" w:gutter="0" w:footer="0" w:header="0"/>
        </w:sectPr>
      </w:pPr>
    </w:p>
    <w:bookmarkStart w:id="11" w:name="page12"/>
    <w:bookmarkEnd w:id="11"/>
    <w:p>
      <w:pPr>
        <w:ind w:left="1960" w:hanging="655"/>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129"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46"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41"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i w:val="1"/>
          <w:iCs w:val="1"/>
          <w:color w:val="auto"/>
        </w:rPr>
        <w:t xml:space="preserve">Amendment and Termination - </w:t>
      </w:r>
      <w:r>
        <w:rPr>
          <w:rFonts w:ascii="Arial" w:cs="Arial" w:eastAsia="Arial" w:hAnsi="Arial"/>
          <w:sz w:val="17"/>
          <w:szCs w:val="17"/>
          <w:color w:val="auto"/>
        </w:rPr>
        <w:t>The Board or the Committee may at any time and in any way amend, suspend or terminate the Plan or any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i w:val="1"/>
          <w:iCs w:val="1"/>
          <w:color w:val="auto"/>
        </w:rPr>
        <w:t xml:space="preserve">Liability of the Company - </w:t>
      </w:r>
      <w:r>
        <w:rPr>
          <w:rFonts w:ascii="Arial" w:cs="Arial" w:eastAsia="Arial" w:hAnsi="Arial"/>
          <w:sz w:val="16"/>
          <w:szCs w:val="16"/>
          <w:color w:val="auto"/>
        </w:rPr>
        <w:t>By accepting any benefits under the Plan, each Participant and each person claiming under or through such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2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41"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i w:val="1"/>
          <w:iCs w:val="1"/>
          <w:color w:val="auto"/>
        </w:rPr>
        <w:t xml:space="preserve">Compliance With Applicable Laws - </w:t>
      </w:r>
      <w:r>
        <w:rPr>
          <w:rFonts w:ascii="Arial" w:cs="Arial" w:eastAsia="Arial" w:hAnsi="Arial"/>
          <w:sz w:val="16"/>
          <w:szCs w:val="16"/>
          <w:color w:val="auto"/>
        </w:rPr>
        <w:t>Notwithstanding any other provision of the Plan or any Award Agreement, the Company shall have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 to issue any shares of Stock under the Plan or pursuant to any Award unless such 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bear such legend or legends as the Committee deems appropriate in order to assure compliance with applicable securities laws and regulations.</w:t>
      </w:r>
    </w:p>
    <w:p>
      <w:pPr>
        <w:spacing w:after="0" w:line="22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8"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i w:val="1"/>
          <w:iCs w:val="1"/>
          <w:color w:val="auto"/>
        </w:rPr>
        <w:t xml:space="preserve">Foreign Jurisdictions - </w:t>
      </w:r>
      <w:r>
        <w:rPr>
          <w:rFonts w:ascii="Arial" w:cs="Arial" w:eastAsia="Arial" w:hAnsi="Arial"/>
          <w:sz w:val="16"/>
          <w:szCs w:val="16"/>
          <w:color w:val="auto"/>
        </w:rPr>
        <w:t>To the extent that the Committee determines that the material terms set by the Committee or imposed by the Plan preclude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172085</wp:posOffset>
            </wp:positionV>
            <wp:extent cx="2006600"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NAMES NEW CHIEF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AUSTIN, Texas (March 2, 2015) - EZCORP, Inc. (NASDAQ: EZPW), a leading provider of pawn loans and consumer loans in the United States, Mexico and Canada, today announced that Mark Ashby has been appointed Chief Financial Officer. In that role, Mr. Ashby will be responsible for EZCORP’s accounting, financial planning and analysis, internal audit, investor relations, tax, and treasury functions.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333333"/>
        </w:rPr>
        <w:t xml:space="preserve">Mr. Ashby has more than 30 years of finance and business experience, serving in a variety of senior financial management and operational roles. Mr. Ashby joins EZCORP from </w:t>
      </w:r>
      <w:r>
        <w:rPr>
          <w:rFonts w:ascii="Arial" w:cs="Arial" w:eastAsia="Arial" w:hAnsi="Arial"/>
          <w:sz w:val="16"/>
          <w:szCs w:val="16"/>
          <w:color w:val="000000"/>
        </w:rPr>
        <w:t>Myer Holdings Limited, Australia's largest department store group, where he served as Chief Financial Officer for seven years. Myer</w:t>
      </w:r>
      <w:r>
        <w:rPr>
          <w:rFonts w:ascii="Arial" w:cs="Arial" w:eastAsia="Arial" w:hAnsi="Arial"/>
          <w:sz w:val="16"/>
          <w:szCs w:val="16"/>
          <w:color w:val="333333"/>
        </w:rPr>
        <w:t xml:space="preserve"> </w:t>
      </w:r>
      <w:r>
        <w:rPr>
          <w:rFonts w:ascii="Arial" w:cs="Arial" w:eastAsia="Arial" w:hAnsi="Arial"/>
          <w:sz w:val="16"/>
          <w:szCs w:val="16"/>
          <w:color w:val="000000"/>
        </w:rPr>
        <w:t>Holdings recorded sales of over $3.1 billion (AUS) in its most recent fiscal year and operates 67 stores across Australia supported by online, digital and mobile platforms. Mr. Ashby joined Myer in January 2008 and was instrumental in the turnaround of the company and its subsequent successful IPO in 2009.</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joining Myer, Mr. Ashby spent five years with Mitre 10 Australia Ltd., a large home improvement and hardware retailer and wholesaler, serving as Chief Financial Officer (2004 to 2008) and Group General Manager, Home and Trade Division (2003 to 2004). Prior to that, Mr. Ashby was Founder and Director, Business Development and Funding Consulting for Clearview Business Advisory Pty Ltd., a business consulting firm (2001 to 2003); Chief Financial and Operating Officer for The Oriel Network, a joint venture telecommunications company set up by Motorola Inc. (1999 to 2001); and Finance Director for Sportsgirl Sportscraft Group (1994 to 1999). Mr. Ashby also spent nine years (1985 to 1994) with Motorola Australia Pty Ltd., serving in a variety of finance and accounting roles, including Director of Finance, Australasia and Director of Consumer Finance, Asia.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Ashby received a Bachelor of Business, Accounting from Swinburne University, and is a Fellow of the Australian Society of Certified Practicing Accountants.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 brings a well-rounded depth of experience to the role, with proven performance in the CFO role across a number of companies. I am delighted to welcome Mark to EZCORP and our executive team, and his considerable experience will benefit the company enormously,” said Stuart Grimshaw, Chief Executive Officer of EZCORP.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Ashby said he is excited to be joining EZCORP and is looking forward to the challenges and opportunities ahead: “I see tremendous potential in the organization and I am looking forward to working with the team to turn that upside into reality.”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22222"/>
        </w:rPr>
        <w:t>It is expected that Mr. Ashby will begin his role at EZCORP in June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EZCORP is a leading provider of pawn loans and consumer loans in the United States, Mexico and Canada. With approximately 7,000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750 stores that provide personal financial services and sell pre-owned merchandise.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Mark Trinske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Communications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http://investors.ezcorp.com/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3"/>
    </w:lvl>
  </w:abstractNum>
  <w:abstractNum w:abstractNumId="2">
    <w:nsid w:val="7545E146"/>
    <w:multiLevelType w:val="hybridMultilevel"/>
    <w:lvl w:ilvl="0">
      <w:lvlJc w:val="left"/>
      <w:lvlText w:val="(%1)"/>
      <w:numFmt w:val="lowerLetter"/>
      <w:start w:val="5"/>
    </w:lvl>
  </w:abstractNum>
  <w:abstractNum w:abstractNumId="3">
    <w:nsid w:val="515F007C"/>
    <w:multiLevelType w:val="hybridMultilevel"/>
    <w:lvl w:ilvl="0">
      <w:lvlJc w:val="left"/>
      <w:lvlText w:val="(%1)"/>
      <w:numFmt w:val="lowerLetter"/>
      <w:start w:val="1"/>
    </w:lvl>
    <w:lvl w:ilvl="1">
      <w:lvlJc w:val="left"/>
      <w:lvlText w:val="(%2)"/>
      <w:numFmt w:val="decimal"/>
      <w:start w:val="1"/>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lvl w:ilvl="1">
      <w:lvlJc w:val="left"/>
      <w:lvlText w:val="(%2)"/>
      <w:numFmt w:val="decimal"/>
      <w:start w:val="1"/>
    </w:lvl>
  </w:abstractNum>
  <w:abstractNum w:abstractNumId="9">
    <w:nsid w:val="1190CDE7"/>
    <w:multiLevelType w:val="hybridMultilevel"/>
    <w:lvl w:ilvl="0">
      <w:lvlJc w:val="left"/>
      <w:lvlText w:val="(%1)"/>
      <w:numFmt w:val="lowerLetter"/>
      <w:start w:val="1"/>
    </w:lvl>
    <w:lvl w:ilvl="1">
      <w:lvlJc w:val="left"/>
      <w:lvlText w:val="(%2)"/>
      <w:numFmt w:val="decimal"/>
      <w:start w:val="1"/>
    </w:lvl>
  </w:abstractNum>
  <w:abstractNum w:abstractNumId="10">
    <w:nsid w:val="66EF438D"/>
    <w:multiLevelType w:val="hybridMultilevel"/>
    <w:lvl w:ilvl="0">
      <w:lvlJc w:val="left"/>
      <w:lvlText w:val="(%1)"/>
      <w:numFmt w:val="decimal"/>
      <w:start w:val="15"/>
    </w:lvl>
  </w:abstractNum>
  <w:abstractNum w:abstractNumId="11">
    <w:nsid w:val="140E0F76"/>
    <w:multiLevelType w:val="hybridMultilevel"/>
    <w:lvl w:ilvl="0">
      <w:lvlJc w:val="left"/>
      <w:lvlText w:val="%1"/>
      <w:numFmt w:val="lowerLetter"/>
      <w:start w:val="1"/>
    </w:lvl>
    <w:lvl w:ilvl="1">
      <w:lvlJc w:val="left"/>
      <w:lvlText w:val="(%2)"/>
      <w:numFmt w:val="decimal"/>
      <w:start w:val="32"/>
    </w:lvl>
  </w:abstractNum>
  <w:abstractNum w:abstractNumId="12">
    <w:nsid w:val="3352255A"/>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2020-01-22T20:20:53Z</dcterms:created>
  <dcterms:modified xsi:type="dcterms:W3CDTF">2020-01-22T20:20:53Z</dcterms:modified>
</cp:coreProperties>
</file>