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8-K/A</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EZCORP,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80"/>
          </w:cols>
          <w:pgMar w:left="240" w:top="544" w:right="279" w:bottom="302"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0-19424</w:t>
      </w:r>
    </w:p>
    <w:p>
      <w:pPr>
        <w:spacing w:after="0" w:line="27" w:lineRule="exact"/>
        <w:rPr>
          <w:sz w:val="24"/>
          <w:szCs w:val="24"/>
          <w:color w:val="auto"/>
        </w:rPr>
      </w:pPr>
    </w:p>
    <w:p>
      <w:pPr>
        <w:jc w:val="center"/>
        <w:ind w:right="12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74-2540145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200" w:space="720"/>
            <w:col w:w="3280" w:space="720"/>
            <w:col w:w="2460"/>
          </w:cols>
          <w:pgMar w:left="240" w:top="544" w:right="279" w:bottom="302" w:gutter="0" w:footer="0" w:header="0"/>
          <w:type w:val="continuous"/>
        </w:sectPr>
      </w:pPr>
    </w:p>
    <w:p>
      <w:pPr>
        <w:spacing w:after="0" w:line="18" w:lineRule="exact"/>
        <w:rPr>
          <w:sz w:val="24"/>
          <w:szCs w:val="24"/>
          <w:color w:val="auto"/>
        </w:rPr>
      </w:pPr>
    </w:p>
    <w:p>
      <w:pPr>
        <w:ind w:left="1400"/>
        <w:spacing w:after="0"/>
        <w:rPr>
          <w:sz w:val="20"/>
          <w:szCs w:val="20"/>
          <w:color w:val="auto"/>
        </w:rPr>
      </w:pPr>
      <w:r>
        <w:rPr>
          <w:rFonts w:ascii="Arial" w:cs="Arial" w:eastAsia="Arial" w:hAnsi="Arial"/>
          <w:sz w:val="16"/>
          <w:szCs w:val="16"/>
          <w:b w:val="1"/>
          <w:bCs w:val="1"/>
          <w:color w:val="auto"/>
        </w:rPr>
        <w:t>1901 Capital Parkway, Austin, Texas</w:t>
      </w:r>
    </w:p>
    <w:p>
      <w:pPr>
        <w:spacing w:after="0" w:line="50" w:lineRule="exact"/>
        <w:rPr>
          <w:sz w:val="24"/>
          <w:szCs w:val="24"/>
          <w:color w:val="auto"/>
        </w:rPr>
      </w:pPr>
    </w:p>
    <w:p>
      <w:pPr>
        <w:ind w:left="13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Arial" w:cs="Arial" w:eastAsia="Arial" w:hAnsi="Arial"/>
          <w:sz w:val="18"/>
          <w:szCs w:val="18"/>
          <w:b w:val="1"/>
          <w:bCs w:val="1"/>
          <w:color w:val="auto"/>
        </w:rPr>
        <w:t>78746</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60"/>
          </w:cols>
          <w:pgMar w:left="240" w:top="544" w:right="279" w:bottom="302" w:gutter="0" w:footer="0" w:header="0"/>
          <w:type w:val="continuous"/>
        </w:sectPr>
      </w:pP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512) 314-3400</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Explanatory Note</w:t>
      </w:r>
      <w:r>
        <w:rPr>
          <w:rFonts w:ascii="Arial" w:cs="Arial" w:eastAsia="Arial" w:hAnsi="Arial"/>
          <w:sz w:val="18"/>
          <w:szCs w:val="18"/>
          <w:color w:val="auto"/>
        </w:rPr>
        <w:t>:</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7"/>
          <w:szCs w:val="17"/>
          <w:color w:val="auto"/>
        </w:rPr>
        <w:t>This Amendment to Current Report on Form 8-K is filed to correct a typographical error in Item 1.02 of the Current Report on Form 8-K dated</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June 17, 2014, that was filed on June 23, 2014. Item 1.02, as amended, reads in its entirety as follows:</w:t>
      </w:r>
    </w:p>
    <w:p>
      <w:pPr>
        <w:spacing w:after="0" w:line="207"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29" w:lineRule="exact"/>
        <w:rPr>
          <w:sz w:val="24"/>
          <w:szCs w:val="24"/>
          <w:color w:val="auto"/>
        </w:rPr>
      </w:pPr>
    </w:p>
    <w:p>
      <w:pPr>
        <w:ind w:firstLine="648"/>
        <w:spacing w:after="0" w:line="279" w:lineRule="auto"/>
        <w:rPr>
          <w:sz w:val="20"/>
          <w:szCs w:val="20"/>
          <w:color w:val="auto"/>
        </w:rPr>
      </w:pPr>
      <w:r>
        <w:rPr>
          <w:rFonts w:ascii="Arial" w:cs="Arial" w:eastAsia="Arial" w:hAnsi="Arial"/>
          <w:sz w:val="17"/>
          <w:szCs w:val="17"/>
          <w:color w:val="auto"/>
        </w:rPr>
        <w:t>As described under Item 1.01, the Company used approximately $119 million of net proceeds from the Notes Offering to repay all outstanding borrowings under the Credit Agreement, dated May 10, 2011 and amended to date, among the Company (as borrower) and certain of its domestic subsidiaries (as guarantors) and a syndicate of lenders represented by Wells Fargo Bank, National Association (as administrative agent) and BBVA Compass Bank (as syndication agent) (the “Credit Agreement”). The parties have terminated such Credit Agreement.</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544" w:right="279" w:bottom="302"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860" w:type="dxa"/>
            <w:vAlign w:val="bottom"/>
            <w:gridSpan w:val="2"/>
          </w:tcPr>
          <w:p>
            <w:pPr>
              <w:ind w:left="2180"/>
              <w:spacing w:after="0"/>
              <w:rPr>
                <w:sz w:val="20"/>
                <w:szCs w:val="20"/>
                <w:color w:val="auto"/>
              </w:rPr>
            </w:pPr>
            <w:r>
              <w:rPr>
                <w:rFonts w:ascii="Arial" w:cs="Arial" w:eastAsia="Arial" w:hAnsi="Arial"/>
                <w:sz w:val="18"/>
                <w:szCs w:val="18"/>
                <w:color w:val="auto"/>
              </w:rPr>
              <w:t>EZCORP, INC.</w:t>
            </w:r>
          </w:p>
        </w:tc>
        <w:tc>
          <w:tcPr>
            <w:tcW w:w="40" w:type="dxa"/>
            <w:vAlign w:val="bottom"/>
          </w:tcPr>
          <w:p>
            <w:pPr>
              <w:spacing w:after="0"/>
              <w:rPr>
                <w:sz w:val="20"/>
                <w:szCs w:val="20"/>
                <w:color w:val="auto"/>
              </w:rPr>
            </w:pP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 June 23, 2014</w:t>
            </w:r>
          </w:p>
        </w:tc>
        <w:tc>
          <w:tcPr>
            <w:tcW w:w="7860" w:type="dxa"/>
            <w:vAlign w:val="bottom"/>
            <w:gridSpan w:val="2"/>
          </w:tcPr>
          <w:p>
            <w:pPr>
              <w:ind w:left="2180"/>
              <w:spacing w:after="0"/>
              <w:rPr>
                <w:sz w:val="20"/>
                <w:szCs w:val="20"/>
                <w:color w:val="auto"/>
              </w:rPr>
            </w:pPr>
            <w:r>
              <w:rPr>
                <w:rFonts w:ascii="Arial" w:cs="Arial" w:eastAsia="Arial" w:hAnsi="Arial"/>
                <w:sz w:val="18"/>
                <w:szCs w:val="18"/>
                <w:color w:val="auto"/>
              </w:rPr>
              <w:t>By:   /s/ Thomas H. Welch, Jr.</w:t>
            </w: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H. Welch, Jr.</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66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010101"/>
            </w:tcBorders>
          </w:tcPr>
          <w:p>
            <w:pPr>
              <w:spacing w:after="0"/>
              <w:rPr>
                <w:sz w:val="11"/>
                <w:szCs w:val="11"/>
                <w:color w:val="auto"/>
              </w:rPr>
            </w:pPr>
          </w:p>
        </w:tc>
        <w:tc>
          <w:tcPr>
            <w:tcW w:w="2660" w:type="dxa"/>
            <w:vAlign w:val="bottom"/>
            <w:tcBorders>
              <w:bottom w:val="single" w:sz="8" w:color="010101"/>
            </w:tcBorders>
          </w:tcPr>
          <w:p>
            <w:pPr>
              <w:spacing w:after="0"/>
              <w:rPr>
                <w:sz w:val="11"/>
                <w:szCs w:val="11"/>
                <w:color w:val="auto"/>
              </w:rPr>
            </w:pPr>
          </w:p>
        </w:tc>
        <w:tc>
          <w:tcPr>
            <w:tcW w:w="5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2020-01-27T19:35:44Z</dcterms:created>
  <dcterms:modified xsi:type="dcterms:W3CDTF">2020-01-27T19:35:44Z</dcterms:modified>
</cp:coreProperties>
</file>