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28, 2025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28, 2025, EZCORP, Inc. (“EZCORP”) issued a press release announcing its results of operations and financial condition for the quarter ended March 31, 2025. A copy of that press release is attached as Exhibit 99.1.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presentation materials that management will review during the Company’s earnings conference call (to be held on April 29, 2025) will be posted in the Investor Relations section of the company’s website at www.ezcorp.com.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8"/>
        <w:gridCol w:w="2839"/>
        <w:gridCol w:w="403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2pressreleaseex991.htm">
              <w:r>
                <w:rPr>
                  <w:rStyle w:val="InternetLink"/>
                  <w:rFonts w:ascii="Times New Roman;sans-serif" w:hAnsi="Times New Roman;sans-serif"/>
                  <w:b w:val="false"/>
                  <w:color w:val="000080"/>
                  <w:sz w:val="20"/>
                  <w:u w:val="single"/>
                </w:rPr>
                <w:t xml:space="preserve">Press Release, dated April </w:t>
              </w:r>
            </w:hyperlink>
            <w:hyperlink w:anchor="a2025-q2pressreleaseex991.htm">
              <w:r>
                <w:rPr>
                  <w:rStyle w:val="InternetLink"/>
                  <w:rFonts w:ascii="Times New Roman;sans-serif" w:hAnsi="Times New Roman;sans-serif"/>
                  <w:b w:val="false"/>
                  <w:color w:val="000080"/>
                  <w:sz w:val="20"/>
                  <w:u w:val="single"/>
                </w:rPr>
                <w:t>28</w:t>
              </w:r>
            </w:hyperlink>
            <w:hyperlink w:anchor="a2025-q2pressreleaseex991.htm">
              <w:r>
                <w:rPr>
                  <w:rStyle w:val="InternetLink"/>
                  <w:rFonts w:ascii="Times New Roman;sans-serif" w:hAnsi="Times New Roman;sans-serif"/>
                  <w:b w:val="false"/>
                  <w:color w:val="000080"/>
                  <w:sz w:val="20"/>
                  <w:u w:val="single"/>
                </w:rPr>
                <w:t>, 2025, announcing EZCORP, Inc.’s results of operations and financial condition for the period ended March 31,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6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Second Quarter Fiscal 2025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Q2 PLO &amp; Revenues Drive Strong Increase in Profitability</w:t>
      </w:r>
    </w:p>
    <w:p>
      <w:pPr>
        <w:pStyle w:val="TextBody"/>
        <w:bidi w:val="0"/>
        <w:spacing w:lineRule="auto" w:line="288" w:before="240" w:after="283"/>
        <w:jc w:val="left"/>
        <w:rPr/>
      </w:pPr>
      <w:r>
        <w:rPr>
          <w:rFonts w:ascii="Arial Narrow;sans-serif" w:hAnsi="Arial Narrow;sans-serif"/>
          <w:b/>
          <w:color w:val="000000"/>
          <w:sz w:val="20"/>
        </w:rPr>
        <w:t xml:space="preserve">Austin, Texas (April 28, 2025) — </w:t>
      </w:r>
      <w:r>
        <w:rPr>
          <w:rFonts w:ascii="Arial Narrow;sans-serif" w:hAnsi="Arial Narrow;sans-serif"/>
          <w:b w:val="false"/>
          <w:color w:val="000000"/>
          <w:sz w:val="20"/>
        </w:rPr>
        <w:t>EZCORP, Inc. (NASDAQ: EZPW), a leading provider of pawn transactions in the United States and Latin America, today announced results for its second quarter ended March 31, 2025.</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SECOND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up 11% to $261.8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increased 18% to $25.4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25% to $26.1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14% to $0.33. On an adjusted basis, diluted earnings per share increased 21% to $0.34.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increased 23% to $45.1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7% to $306.3 million, while gross profit increased 6% to $178.5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Completed a $300.0 million private offering of senior notes due 2032.</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CEO COMMENTARY AND OUTLOOK</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Lachie Given, Chief Executive Officer, stated, “Our team delivered another impressive quarter of operational and financial performance, highlighted by record Q2 PLO, which drove strong growth in revenue and pawn service charges. Persistent inflation and economic pressure continue to impact value-conscious consumers who are increasingly turning to us for short-term cash and secondhand goods. Our strengthened operating model and best-in-class customer service also fueled the bottom line, driving a material increase in adjusted EBITDA to $45.1 million, up 23%.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 Narrow;sans-serif" w:hAnsi="Arial Narrow;sans-serif"/>
          <w:b w:val="false"/>
          <w:color w:val="000000"/>
          <w:sz w:val="20"/>
        </w:rPr>
        <w:t>Our consistent performance across geographies reflects our company-wide commitment to our core values of People, Pawn and Passion. In the U.S., PLO and adjusted EBITDA increased 15%, reflecting strong loan demand, increased average loan size and disciplined cost management. In Latin America, PLO increased 17% on a constant currency basis, and adjusted EBITDA grew 36%, propelled by robust demand for loans and secondhand goods and our strong operational execution.</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 Narrow;sans-serif" w:hAnsi="Arial Narrow;sans-serif"/>
          <w:b w:val="false"/>
          <w:color w:val="000000"/>
          <w:sz w:val="20"/>
        </w:rPr>
        <w:t xml:space="preserve">Our disciplined capital allocation strategy prioritizes substantial liquidity to drive strong organic growth, pursue value-enhancing acquisitions and investments and meet near-term debt maturities. In March, we completed a $300.0 million private offering of senior notes, the Company’s largest financing transaction to date, expanding our financial flexibility for continued growth and meaningfully enhancing our capital structure, as we retire our 2025 convertible notes maturing on May 1.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 Narrow;sans-serif" w:hAnsi="Arial Narrow;sans-serif"/>
          <w:b w:val="false"/>
          <w:color w:val="000000"/>
          <w:sz w:val="20"/>
        </w:rPr>
        <w:t>It was another outstanding quarter for EZCORP, and I thank the team for their unwavering commitment to operational excellence as we continue to drive significantly enhanced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6630" w:type="dxa"/>
        <w:jc w:val="left"/>
        <w:tblInd w:w="0" w:type="dxa"/>
        <w:tblLayout w:type="fixed"/>
        <w:tblCellMar>
          <w:top w:w="28" w:type="dxa"/>
          <w:left w:w="28" w:type="dxa"/>
          <w:bottom w:w="28" w:type="dxa"/>
          <w:right w:w="28" w:type="dxa"/>
        </w:tblCellMar>
      </w:tblPr>
      <w:tblGrid>
        <w:gridCol w:w="889"/>
        <w:gridCol w:w="783"/>
        <w:gridCol w:w="788"/>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PLO increased 11% to $261.8 million, up $26.1 million. On a same-store</w:t>
      </w:r>
      <w:r>
        <w:rPr>
          <w:rFonts w:ascii="Arial Narrow;sans-serif" w:hAnsi="Arial Narrow;sans-serif"/>
          <w:b w:val="false"/>
          <w:color w:val="000000"/>
          <w:sz w:val="13"/>
        </w:rPr>
        <w:t>2</w:t>
      </w:r>
      <w:r>
        <w:rPr>
          <w:color w:val="000000"/>
        </w:rPr>
        <w:t xml:space="preserve"> </w:t>
      </w:r>
      <w:r>
        <w:rPr>
          <w:rFonts w:ascii="Arial Narrow;sans-serif" w:hAnsi="Arial Narrow;sans-serif"/>
          <w:b w:val="false"/>
          <w:color w:val="000000"/>
          <w:sz w:val="20"/>
        </w:rPr>
        <w:t>basis, PLO increased 11% due to increase in average loan size, continued strong pawn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revenues increased 7% and gross profit increased 6%, reflecting improved pawn service charge (PSC) revenues due to higher average PLO.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8%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at 34%, down from 35%. Aged general merchandise was 2.4% of total general merchandise inventory, up 14 basis points.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27%, as a result of the increase in PLO and decrease in inventory turnover to 2.5x, from 2.9x.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2% and were flat on a same-store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General and administrative expenses increased 8%, primarily due to labor and a gain on a corporate lease termination in the prior year.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Income before taxes was $34.4 million, up 20% from $28.7 million, and adjusted EBITDA increased 23% to $45.1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14% to $0.33. On an adjusted basis, diluted earnings per share increased 21% to $0.34.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Cash and cash equivalents at the end of the quarter was $505.2 million, up from $170.5 million as of September 30, 2024. The increase was primarily due to $300.0 million (less issuance costs) from the issuance of the Senior Notes due 2032 and cash from operating activities.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ended the quarter at $199.4 million, up 15% on a total and same-store basis due to increase in average loan size, increased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7% and gross profit increased 8%, reflecting higher PSC.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9% as a result of higher average PLO, partially offset by lower PLO yield.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increased 2%, and gross margin decreased to 36% from 37%. Aged general merchandise decreased by 14 basis points to 2.8%, or $1.3 million of total general merchandise inventory. Excluding our three Max Pawn luxury stores in Las Vegas, aged general merchandise was 1.5%.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29%, due to increase in PLO, increase in customer layaways and a decrease in inventory turnover to 2.3x, from 2.6x.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3% (2% on a same-store basis) primarily due to labor, the majority of which was offset by a decrease in expenses related to our loyalty program.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16% to $47.1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remained at 542.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improved to $62.4 million, up 1% (17% on constant currency basis). On a same-store basis, PLO decreased 2% (14% increase on a constant currency basis). The constant currency increase was due to improved operational performance and increased loan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were up 9% (25% on constant currency basis), and gross profit increased 3% (18% on a constant currency basis), mainly due to increased PSC.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to $28.3 million, up 4% (19% on a constant currency basis)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increased 5% (21% on constant currency basis) and merchandise sales gross margin decreased to 30% from 33%. Aged general merchandise increased to 1.9% from 1.4%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23% (44% on a constant currency basis) due to increase in PLO and decrease in inventory turnover to 3.2x, from 3.6x.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decreased 2% (13% increase on a constant currency basis) and decreased 4% on a same-store basis (11% increase on a constant currency basis). The constant currency increase was primarily due to increased labor, in line with store activity and minimum wage increases, offset by a decrease in expenses related to our loyalty program.</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30% to $10.6 million (43% on a constant currency basis). On an adjusted basis, segment contribution was up 42% to $11.6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one to 742 due to the addition of nine de novo stores, the acquisition of one store, and the consolidation of nine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10-Q</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March 31, 2025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56"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will host a conference call on Tuesday, April 29, 2025, at 8:00 am Central Time to discuss Second Quarter Fiscal 2025 results. Analysts and institutional investors may participate on the conference call by registering online at https://registrations.events/direct/NTM1088399. Once registered you will receive the dial-in details with a unique PIN to join the call. The conference call will be webcast simultaneously to the public through this link: https://edge.media-server.com/mmc/p/hqptihjy.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2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38250"/>
                <wp:effectExtent l="0" t="0" r="0" b="0"/>
                <wp:wrapNone/>
                <wp:docPr id="7" name="Frame6"/>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490" w:type="dxa"/>
        <w:jc w:val="left"/>
        <w:tblInd w:w="0" w:type="dxa"/>
        <w:tblLayout w:type="fixed"/>
        <w:tblCellMar>
          <w:top w:w="28" w:type="dxa"/>
          <w:left w:w="28" w:type="dxa"/>
          <w:bottom w:w="28" w:type="dxa"/>
          <w:right w:w="28" w:type="dxa"/>
        </w:tblCellMar>
      </w:tblPr>
      <w:tblGrid>
        <w:gridCol w:w="1191"/>
        <w:gridCol w:w="1044"/>
        <w:gridCol w:w="104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144,204 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140,305 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287,667 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275,796 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27,287 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76,189 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93"/>
        <w:gridCol w:w="1961"/>
        <w:gridCol w:w="1968"/>
        <w:gridCol w:w="181"/>
        <w:gridCol w:w="766"/>
        <w:gridCol w:w="109"/>
        <w:gridCol w:w="109"/>
        <w:gridCol w:w="109"/>
        <w:gridCol w:w="109"/>
        <w:gridCol w:w="181"/>
        <w:gridCol w:w="766"/>
        <w:gridCol w:w="109"/>
        <w:gridCol w:w="109"/>
        <w:gridCol w:w="109"/>
        <w:gridCol w:w="109"/>
        <w:gridCol w:w="183"/>
        <w:gridCol w:w="776"/>
        <w:gridCol w:w="158"/>
      </w:tblGrid>
      <w:tr>
        <w:trPr/>
        <w:tc>
          <w:tcPr>
            <w:tcW w:w="239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6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44" w:type="dxa"/>
            <w:gridSpan w:val="6"/>
            <w:tcBorders/>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1,066,957 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722,304 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Current maturities of long-term debt, net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264,039 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978,053 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707,746 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issued and outstanding: 52,043,599 as of March 31, 2025; 52,057,309 as of March 31, 2024; and 51,582,698 as of September 30, 2024</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8"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7" w:type="dxa"/>
        <w:jc w:val="left"/>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62,928 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36,548 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(14,781)</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(18,242)</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334,931 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237,692 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52,552 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221,385 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84,931 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36,783 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133,378 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45,074 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32,995 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116,527 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116,527 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19,640 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10,564 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60,178 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60,178 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(25,766)</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38"/>
        <w:gridCol w:w="671"/>
        <w:gridCol w:w="642"/>
        <w:gridCol w:w="181"/>
        <w:gridCol w:w="646"/>
        <w:gridCol w:w="109"/>
        <w:gridCol w:w="109"/>
        <w:gridCol w:w="109"/>
        <w:gridCol w:w="109"/>
        <w:gridCol w:w="247"/>
        <w:gridCol w:w="780"/>
        <w:gridCol w:w="148"/>
        <w:gridCol w:w="109"/>
        <w:gridCol w:w="109"/>
        <w:gridCol w:w="109"/>
        <w:gridCol w:w="262"/>
        <w:gridCol w:w="722"/>
        <w:gridCol w:w="159"/>
        <w:gridCol w:w="109"/>
        <w:gridCol w:w="109"/>
        <w:gridCol w:w="109"/>
        <w:gridCol w:w="204"/>
        <w:gridCol w:w="730"/>
        <w:gridCol w:w="123"/>
        <w:gridCol w:w="109"/>
        <w:gridCol w:w="109"/>
        <w:gridCol w:w="109"/>
        <w:gridCol w:w="211"/>
        <w:gridCol w:w="696"/>
        <w:gridCol w:w="127"/>
        <w:gridCol w:w="109"/>
        <w:gridCol w:w="109"/>
        <w:gridCol w:w="109"/>
        <w:gridCol w:w="196"/>
        <w:gridCol w:w="701"/>
        <w:gridCol w:w="177"/>
      </w:tblGrid>
      <w:tr>
        <w:trPr/>
        <w:tc>
          <w:tcPr>
            <w:tcW w:w="83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49,838 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27,153 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207,574 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78,034 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33,461 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43,579 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33,742 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8,118 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2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(22,492)</w:t>
            </w:r>
          </w:p>
        </w:tc>
        <w:tc>
          <w:tcPr>
            <w:tcW w:w="1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0"/>
        <w:gridCol w:w="677"/>
        <w:gridCol w:w="646"/>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7"/>
      </w:tblGrid>
      <w:tr>
        <w:trPr/>
        <w:tc>
          <w:tcPr>
            <w:tcW w:w="8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110,095 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57,499 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453,586 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172,900 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77,051 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272,055 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91,801 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232,978 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232,978 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9,434 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loss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82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100,025 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22,148 </w:t>
            </w:r>
          </w:p>
        </w:tc>
        <w:tc>
          <w:tcPr>
            <w:tcW w:w="138"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4,688 </w:t>
            </w:r>
          </w:p>
        </w:tc>
        <w:tc>
          <w:tcPr>
            <w:tcW w:w="157"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126,861 </w:t>
            </w:r>
          </w:p>
        </w:tc>
        <w:tc>
          <w:tcPr>
            <w:tcW w:w="122"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126,861 </w:t>
            </w:r>
          </w:p>
        </w:tc>
        <w:tc>
          <w:tcPr>
            <w:tcW w:w="122"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(51,065)</w:t>
            </w:r>
          </w:p>
        </w:tc>
        <w:tc>
          <w:tcPr>
            <w:tcW w:w="125"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77"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2"/>
        <w:gridCol w:w="664"/>
        <w:gridCol w:w="634"/>
        <w:gridCol w:w="181"/>
        <w:gridCol w:w="646"/>
        <w:gridCol w:w="109"/>
        <w:gridCol w:w="109"/>
        <w:gridCol w:w="109"/>
        <w:gridCol w:w="109"/>
        <w:gridCol w:w="233"/>
        <w:gridCol w:w="834"/>
        <w:gridCol w:w="140"/>
        <w:gridCol w:w="109"/>
        <w:gridCol w:w="109"/>
        <w:gridCol w:w="109"/>
        <w:gridCol w:w="261"/>
        <w:gridCol w:w="719"/>
        <w:gridCol w:w="159"/>
        <w:gridCol w:w="109"/>
        <w:gridCol w:w="109"/>
        <w:gridCol w:w="109"/>
        <w:gridCol w:w="204"/>
        <w:gridCol w:w="729"/>
        <w:gridCol w:w="123"/>
        <w:gridCol w:w="109"/>
        <w:gridCol w:w="109"/>
        <w:gridCol w:w="109"/>
        <w:gridCol w:w="210"/>
        <w:gridCol w:w="694"/>
        <w:gridCol w:w="126"/>
        <w:gridCol w:w="109"/>
        <w:gridCol w:w="109"/>
        <w:gridCol w:w="109"/>
        <w:gridCol w:w="196"/>
        <w:gridCol w:w="701"/>
        <w:gridCol w:w="175"/>
      </w:tblGrid>
      <w:tr>
        <w:trPr/>
        <w:tc>
          <w:tcPr>
            <w:tcW w:w="8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103,728 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425,012 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160,583 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69,962 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251,427 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88,703 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67,042 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18,267 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494949"/>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2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(44,205)</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7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640" w:type="dxa"/>
        <w:jc w:val="center"/>
        <w:tblInd w:w="0" w:type="dxa"/>
        <w:tblLayout w:type="fixed"/>
        <w:tblCellMar>
          <w:top w:w="28" w:type="dxa"/>
          <w:left w:w="28" w:type="dxa"/>
          <w:bottom w:w="28" w:type="dxa"/>
          <w:right w:w="28" w:type="dxa"/>
        </w:tblCellMar>
      </w:tblPr>
      <w:tblGrid>
        <w:gridCol w:w="716"/>
        <w:gridCol w:w="629"/>
        <w:gridCol w:w="634"/>
        <w:gridCol w:w="280"/>
        <w:gridCol w:w="280"/>
        <w:gridCol w:w="280"/>
        <w:gridCol w:w="173"/>
        <w:gridCol w:w="173"/>
        <w:gridCol w:w="173"/>
        <w:gridCol w:w="499"/>
        <w:gridCol w:w="499"/>
        <w:gridCol w:w="501"/>
        <w:gridCol w:w="173"/>
        <w:gridCol w:w="173"/>
        <w:gridCol w:w="173"/>
        <w:gridCol w:w="340"/>
        <w:gridCol w:w="340"/>
        <w:gridCol w:w="341"/>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410" w:type="dxa"/>
        <w:jc w:val="left"/>
        <w:tblInd w:w="0" w:type="dxa"/>
        <w:tblLayout w:type="fixed"/>
        <w:tblCellMar>
          <w:top w:w="28" w:type="dxa"/>
          <w:left w:w="28" w:type="dxa"/>
          <w:bottom w:w="28" w:type="dxa"/>
          <w:right w:w="28" w:type="dxa"/>
        </w:tblCellMar>
      </w:tblPr>
      <w:tblGrid>
        <w:gridCol w:w="716"/>
        <w:gridCol w:w="629"/>
        <w:gridCol w:w="634"/>
        <w:gridCol w:w="280"/>
        <w:gridCol w:w="280"/>
        <w:gridCol w:w="280"/>
        <w:gridCol w:w="171"/>
        <w:gridCol w:w="171"/>
        <w:gridCol w:w="171"/>
        <w:gridCol w:w="499"/>
        <w:gridCol w:w="499"/>
        <w:gridCol w:w="501"/>
        <w:gridCol w:w="171"/>
        <w:gridCol w:w="171"/>
        <w:gridCol w:w="171"/>
        <w:gridCol w:w="312"/>
        <w:gridCol w:w="312"/>
        <w:gridCol w:w="44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2024</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03"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center"/>
        <w:tblInd w:w="0" w:type="dxa"/>
        <w:tblLayout w:type="fixed"/>
        <w:tblCellMar>
          <w:top w:w="28" w:type="dxa"/>
          <w:left w:w="28" w:type="dxa"/>
          <w:bottom w:w="28" w:type="dxa"/>
          <w:right w:w="28" w:type="dxa"/>
        </w:tblCellMar>
      </w:tblPr>
      <w:tblGrid>
        <w:gridCol w:w="718"/>
        <w:gridCol w:w="630"/>
        <w:gridCol w:w="632"/>
        <w:gridCol w:w="279"/>
        <w:gridCol w:w="279"/>
        <w:gridCol w:w="281"/>
        <w:gridCol w:w="160"/>
        <w:gridCol w:w="160"/>
        <w:gridCol w:w="160"/>
        <w:gridCol w:w="499"/>
        <w:gridCol w:w="499"/>
        <w:gridCol w:w="501"/>
        <w:gridCol w:w="160"/>
        <w:gridCol w:w="160"/>
        <w:gridCol w:w="160"/>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2025 and 2024 were as follows:</w:t>
      </w:r>
    </w:p>
    <w:tbl>
      <w:tblPr>
        <w:tblW w:w="7158"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14"/>
        <w:gridCol w:w="207"/>
        <w:gridCol w:w="151"/>
        <w:gridCol w:w="151"/>
        <w:gridCol w:w="151"/>
        <w:gridCol w:w="151"/>
        <w:gridCol w:w="214"/>
        <w:gridCol w:w="207"/>
        <w:gridCol w:w="21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210" w:type="dxa"/>
        <w:jc w:val="left"/>
        <w:tblInd w:w="0" w:type="dxa"/>
        <w:tblLayout w:type="fixed"/>
        <w:tblCellMar>
          <w:top w:w="28" w:type="dxa"/>
          <w:left w:w="28" w:type="dxa"/>
          <w:bottom w:w="28" w:type="dxa"/>
          <w:right w:w="28" w:type="dxa"/>
        </w:tblCellMar>
      </w:tblPr>
      <w:tblGrid>
        <w:gridCol w:w="717"/>
        <w:gridCol w:w="630"/>
        <w:gridCol w:w="633"/>
        <w:gridCol w:w="181"/>
        <w:gridCol w:w="421"/>
        <w:gridCol w:w="109"/>
        <w:gridCol w:w="109"/>
        <w:gridCol w:w="109"/>
        <w:gridCol w:w="109"/>
        <w:gridCol w:w="181"/>
        <w:gridCol w:w="421"/>
        <w:gridCol w:w="109"/>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tbl>
      <w:tblPr>
        <w:tblW w:w="10159" w:type="dxa"/>
        <w:jc w:val="left"/>
        <w:tblInd w:w="0" w:type="dxa"/>
        <w:tblLayout w:type="fixed"/>
        <w:tblCellMar>
          <w:top w:w="28" w:type="dxa"/>
          <w:left w:w="28" w:type="dxa"/>
          <w:bottom w:w="28" w:type="dxa"/>
          <w:right w:w="28" w:type="dxa"/>
        </w:tblCellMar>
      </w:tblPr>
      <w:tblGrid>
        <w:gridCol w:w="162"/>
        <w:gridCol w:w="142"/>
        <w:gridCol w:w="142"/>
        <w:gridCol w:w="142"/>
        <w:gridCol w:w="142"/>
        <w:gridCol w:w="142"/>
        <w:gridCol w:w="142"/>
        <w:gridCol w:w="142"/>
        <w:gridCol w:w="142"/>
        <w:gridCol w:w="266"/>
        <w:gridCol w:w="729"/>
        <w:gridCol w:w="160"/>
        <w:gridCol w:w="109"/>
        <w:gridCol w:w="109"/>
        <w:gridCol w:w="109"/>
        <w:gridCol w:w="221"/>
        <w:gridCol w:w="606"/>
        <w:gridCol w:w="133"/>
        <w:gridCol w:w="109"/>
        <w:gridCol w:w="109"/>
        <w:gridCol w:w="109"/>
        <w:gridCol w:w="355"/>
        <w:gridCol w:w="826"/>
        <w:gridCol w:w="214"/>
        <w:gridCol w:w="109"/>
        <w:gridCol w:w="109"/>
        <w:gridCol w:w="109"/>
        <w:gridCol w:w="222"/>
        <w:gridCol w:w="424"/>
        <w:gridCol w:w="133"/>
        <w:gridCol w:w="109"/>
        <w:gridCol w:w="109"/>
        <w:gridCol w:w="109"/>
        <w:gridCol w:w="225"/>
        <w:gridCol w:w="524"/>
        <w:gridCol w:w="135"/>
        <w:gridCol w:w="109"/>
        <w:gridCol w:w="109"/>
        <w:gridCol w:w="109"/>
        <w:gridCol w:w="244"/>
        <w:gridCol w:w="569"/>
        <w:gridCol w:w="147"/>
        <w:gridCol w:w="109"/>
        <w:gridCol w:w="109"/>
        <w:gridCol w:w="109"/>
        <w:gridCol w:w="183"/>
        <w:gridCol w:w="426"/>
        <w:gridCol w:w="157"/>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Q2 Reported</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3" w:type="dxa"/>
            <w:gridSpan w:val="6"/>
            <w:tcBorders/>
          </w:tcPr>
          <w:p>
            <w:pPr>
              <w:pStyle w:val="TableContents"/>
              <w:bidi w:val="0"/>
              <w:spacing w:before="0" w:after="283"/>
              <w:jc w:val="left"/>
              <w:rPr>
                <w:sz w:val="4"/>
                <w:szCs w:val="4"/>
              </w:rPr>
            </w:pPr>
            <w:r>
              <w:rPr>
                <w:sz w:val="4"/>
                <w:szCs w:val="4"/>
              </w:rPr>
            </w:r>
          </w:p>
        </w:tc>
      </w:tr>
      <w:tr>
        <w:trPr/>
        <w:tc>
          <w:tcPr>
            <w:tcW w:w="4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3" w:type="dxa"/>
            <w:gridSpan w:val="6"/>
            <w:tcBorders/>
          </w:tcPr>
          <w:p>
            <w:pPr>
              <w:pStyle w:val="TableContents"/>
              <w:bidi w:val="0"/>
              <w:spacing w:before="0" w:after="283"/>
              <w:jc w:val="left"/>
              <w:rPr>
                <w:sz w:val="4"/>
                <w:szCs w:val="4"/>
              </w:rPr>
            </w:pPr>
            <w:r>
              <w:rPr>
                <w:sz w:val="4"/>
                <w:szCs w:val="4"/>
              </w:rPr>
            </w:r>
          </w:p>
        </w:tc>
      </w:tr>
      <w:tr>
        <w:trPr/>
        <w:tc>
          <w:tcPr>
            <w:tcW w:w="4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3" w:type="dxa"/>
            <w:gridSpan w:val="6"/>
            <w:tcBorders/>
          </w:tcPr>
          <w:p>
            <w:pPr>
              <w:pStyle w:val="TableContents"/>
              <w:bidi w:val="0"/>
              <w:spacing w:before="0" w:after="283"/>
              <w:jc w:val="left"/>
              <w:rPr>
                <w:sz w:val="4"/>
                <w:szCs w:val="4"/>
              </w:rPr>
            </w:pPr>
            <w:r>
              <w:rPr>
                <w:sz w:val="4"/>
                <w:szCs w:val="4"/>
              </w:rPr>
            </w:r>
          </w:p>
        </w:tc>
      </w:tr>
      <w:tr>
        <w:trPr/>
        <w:tc>
          <w:tcPr>
            <w:tcW w:w="4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3" w:type="dxa"/>
            <w:gridSpan w:val="6"/>
            <w:tcBorders/>
          </w:tcPr>
          <w:p>
            <w:pPr>
              <w:pStyle w:val="TableContents"/>
              <w:bidi w:val="0"/>
              <w:spacing w:before="0" w:after="283"/>
              <w:jc w:val="left"/>
              <w:rPr>
                <w:sz w:val="4"/>
                <w:szCs w:val="4"/>
              </w:rPr>
            </w:pPr>
            <w:r>
              <w:rPr>
                <w:sz w:val="4"/>
                <w:szCs w:val="4"/>
              </w:rPr>
            </w:r>
          </w:p>
        </w:tc>
      </w:tr>
      <w:tr>
        <w:trPr/>
        <w:tc>
          <w:tcPr>
            <w:tcW w:w="12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2025 Q2 Adjusted </w:t>
            </w:r>
          </w:p>
        </w:tc>
        <w:tc>
          <w:tcPr>
            <w:tcW w:w="26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318.9 </w:t>
            </w:r>
          </w:p>
        </w:tc>
        <w:tc>
          <w:tcPr>
            <w:tcW w:w="16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185.0 </w:t>
            </w:r>
          </w:p>
        </w:tc>
        <w:tc>
          <w:tcPr>
            <w:tcW w:w="13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21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3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13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4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45.1 </w:t>
            </w:r>
          </w:p>
        </w:tc>
        <w:tc>
          <w:tcPr>
            <w:tcW w:w="15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3"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15"/>
        <w:gridCol w:w="189"/>
        <w:gridCol w:w="189"/>
        <w:gridCol w:w="189"/>
        <w:gridCol w:w="189"/>
        <w:gridCol w:w="189"/>
        <w:gridCol w:w="189"/>
        <w:gridCol w:w="189"/>
        <w:gridCol w:w="189"/>
        <w:gridCol w:w="247"/>
        <w:gridCol w:w="679"/>
        <w:gridCol w:w="149"/>
        <w:gridCol w:w="109"/>
        <w:gridCol w:w="109"/>
        <w:gridCol w:w="109"/>
        <w:gridCol w:w="212"/>
        <w:gridCol w:w="582"/>
        <w:gridCol w:w="127"/>
        <w:gridCol w:w="109"/>
        <w:gridCol w:w="109"/>
        <w:gridCol w:w="109"/>
        <w:gridCol w:w="317"/>
        <w:gridCol w:w="739"/>
        <w:gridCol w:w="191"/>
        <w:gridCol w:w="109"/>
        <w:gridCol w:w="109"/>
        <w:gridCol w:w="109"/>
        <w:gridCol w:w="213"/>
        <w:gridCol w:w="407"/>
        <w:gridCol w:w="127"/>
        <w:gridCol w:w="109"/>
        <w:gridCol w:w="109"/>
        <w:gridCol w:w="109"/>
        <w:gridCol w:w="215"/>
        <w:gridCol w:w="501"/>
        <w:gridCol w:w="129"/>
        <w:gridCol w:w="109"/>
        <w:gridCol w:w="109"/>
        <w:gridCol w:w="109"/>
        <w:gridCol w:w="230"/>
        <w:gridCol w:w="537"/>
        <w:gridCol w:w="138"/>
        <w:gridCol w:w="109"/>
        <w:gridCol w:w="109"/>
        <w:gridCol w:w="109"/>
        <w:gridCol w:w="183"/>
        <w:gridCol w:w="426"/>
        <w:gridCol w:w="167"/>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7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Q2 Reported</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2024 Q2 Adjusted </w:t>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21.0 </w:t>
            </w:r>
          </w:p>
        </w:tc>
        <w:tc>
          <w:tcPr>
            <w:tcW w:w="1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0.28 </w:t>
            </w:r>
          </w:p>
        </w:tc>
        <w:tc>
          <w:tcPr>
            <w:tcW w:w="1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230"/>
        <w:gridCol w:w="1079"/>
        <w:gridCol w:w="1097"/>
        <w:gridCol w:w="300"/>
        <w:gridCol w:w="821"/>
        <w:gridCol w:w="179"/>
        <w:gridCol w:w="109"/>
        <w:gridCol w:w="109"/>
        <w:gridCol w:w="109"/>
        <w:gridCol w:w="374"/>
        <w:gridCol w:w="374"/>
        <w:gridCol w:w="833"/>
        <w:gridCol w:w="109"/>
        <w:gridCol w:w="109"/>
        <w:gridCol w:w="109"/>
        <w:gridCol w:w="299"/>
        <w:gridCol w:w="821"/>
        <w:gridCol w:w="179"/>
        <w:gridCol w:w="109"/>
        <w:gridCol w:w="109"/>
        <w:gridCol w:w="109"/>
        <w:gridCol w:w="351"/>
        <w:gridCol w:w="351"/>
        <w:gridCol w:w="936"/>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 2025</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648.5 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375.2 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103.1 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3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8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93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5116</Words>
  <Characters>28738</Characters>
  <CharactersWithSpaces>33306</CharactersWithSpaces>
  <Paragraphs>1708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