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Dooner Hugo R.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 w:line="173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u w:val="single" w:color="auto"/>
                  <w:color w:val="0000EE"/>
                </w:rPr>
                <w:t>EZCORP INC</w:t>
              </w:r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EZPW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2500 BEE CAVE ROAD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BLDG. 1, SUITE 200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78746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Non-Voting Common Stock</w:t>
            </w: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15,905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28,251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32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All shares vest on March 31,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Closing market value on date of award. However, no consideration was paid for the award other than services rendered and to be rendered by the Reporting Person.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Carrie Putnam,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6144" TargetMode="External"/><Relationship Id="rId14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2020-12-23T08:58:07Z</dcterms:created>
  <dcterms:modified xsi:type="dcterms:W3CDTF">2020-12-23T08:58:07Z</dcterms:modified>
</cp:coreProperties>
</file>