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780" w:right="1640" w:hanging="3745"/>
        <w:spacing w:after="0" w:line="416" w:lineRule="auto"/>
        <w:tabs>
          <w:tab w:leader="none" w:pos="625"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2018</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5300" w:type="dxa"/>
            <w:vAlign w:val="bottom"/>
          </w:tcPr>
          <w:p>
            <w:pPr>
              <w:ind w:left="294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108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45"/>
        </w:trPr>
        <w:tc>
          <w:tcPr>
            <w:tcW w:w="9140" w:type="dxa"/>
            <w:vAlign w:val="bottom"/>
            <w:gridSpan w:val="5"/>
          </w:tcPr>
          <w:p>
            <w:pPr>
              <w:jc w:val="center"/>
              <w:ind w:left="1252"/>
              <w:spacing w:after="0"/>
              <w:rPr>
                <w:sz w:val="20"/>
                <w:szCs w:val="20"/>
                <w:color w:val="auto"/>
              </w:rPr>
            </w:pPr>
            <w:r>
              <w:rPr>
                <w:rFonts w:ascii="Arial" w:cs="Arial" w:eastAsia="Arial" w:hAnsi="Arial"/>
                <w:sz w:val="18"/>
                <w:szCs w:val="18"/>
                <w:b w:val="1"/>
                <w:bCs w:val="1"/>
                <w:color w:val="auto"/>
                <w:w w:val="89"/>
              </w:rPr>
              <w:t>Commission File No. 0-19424</w:t>
            </w:r>
          </w:p>
        </w:tc>
      </w:tr>
      <w:tr>
        <w:trPr>
          <w:trHeight w:val="982"/>
        </w:trPr>
        <w:tc>
          <w:tcPr>
            <w:tcW w:w="6200" w:type="dxa"/>
            <w:vAlign w:val="bottom"/>
            <w:gridSpan w:val="2"/>
          </w:tcPr>
          <w:p>
            <w:pPr>
              <w:jc w:val="center"/>
              <w:ind w:left="4192"/>
              <w:spacing w:after="0"/>
              <w:rPr>
                <w:sz w:val="20"/>
                <w:szCs w:val="20"/>
                <w:color w:val="auto"/>
              </w:rPr>
            </w:pPr>
            <w:r>
              <w:rPr>
                <w:rFonts w:ascii="Arial" w:cs="Arial" w:eastAsia="Arial" w:hAnsi="Arial"/>
                <w:sz w:val="22"/>
                <w:szCs w:val="22"/>
                <w:b w:val="1"/>
                <w:bCs w:val="1"/>
                <w:color w:val="auto"/>
                <w:w w:val="97"/>
              </w:rPr>
              <w:t>EZCORP, INC.</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9140" w:type="dxa"/>
            <w:vAlign w:val="bottom"/>
            <w:gridSpan w:val="5"/>
          </w:tcPr>
          <w:p>
            <w:pPr>
              <w:jc w:val="center"/>
              <w:ind w:left="125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8"/>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548"/>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0" w:type="dxa"/>
            <w:vAlign w:val="bottom"/>
          </w:tcPr>
          <w:p>
            <w:pPr>
              <w:spacing w:after="0"/>
              <w:rPr>
                <w:sz w:val="18"/>
                <w:szCs w:val="18"/>
                <w:color w:val="auto"/>
              </w:rPr>
            </w:pPr>
          </w:p>
        </w:tc>
        <w:tc>
          <w:tcPr>
            <w:tcW w:w="2700" w:type="dxa"/>
            <w:vAlign w:val="bottom"/>
            <w:gridSpan w:val="2"/>
          </w:tcPr>
          <w:p>
            <w:pPr>
              <w:jc w:val="center"/>
              <w:ind w:left="528"/>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9"/>
              </w:rPr>
              <w:t>2500 Bee Cave Road, Bldg One, Suite 200, Rollingwood, Texas</w:t>
            </w:r>
          </w:p>
        </w:tc>
        <w:tc>
          <w:tcPr>
            <w:tcW w:w="294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78746</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(Address of principal executive offices)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jc w:val="center"/>
              <w:ind w:right="408"/>
              <w:spacing w:after="0"/>
              <w:rPr>
                <w:sz w:val="20"/>
                <w:szCs w:val="20"/>
                <w:color w:val="auto"/>
              </w:rPr>
            </w:pPr>
            <w:r>
              <w:rPr>
                <w:rFonts w:ascii="Arial" w:cs="Arial" w:eastAsia="Arial" w:hAnsi="Arial"/>
                <w:sz w:val="14"/>
                <w:szCs w:val="14"/>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-1543685</wp:posOffset>
            </wp:positionV>
            <wp:extent cx="200660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6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190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7"/>
        </w:trPr>
        <w:tc>
          <w:tcPr>
            <w:tcW w:w="204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880" w:type="dxa"/>
            <w:vAlign w:val="bottom"/>
            <w:vMerge w:val="restart"/>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vMerge w:val="restart"/>
          </w:tcPr>
          <w:p>
            <w:pPr>
              <w:ind w:left="160"/>
              <w:spacing w:after="0"/>
              <w:rPr>
                <w:sz w:val="20"/>
                <w:szCs w:val="20"/>
                <w:color w:val="auto"/>
              </w:rPr>
            </w:pPr>
            <w:r>
              <w:rPr>
                <w:rFonts w:ascii="Arial" w:cs="Arial" w:eastAsia="Arial" w:hAnsi="Arial"/>
                <w:sz w:val="16"/>
                <w:szCs w:val="16"/>
                <w:color w:val="auto"/>
              </w:rPr>
              <w:t>Smaller reporting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3"/>
        </w:trPr>
        <w:tc>
          <w:tcPr>
            <w:tcW w:w="20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12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1"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4"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January 25, 2019, 52,475,070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9"/>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gridSpan w:val="11"/>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11"/>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December 31, 2018 and 2017 (Unaudited) and September 30, 2018</w:t>
              </w:r>
            </w:hyperlink>
          </w:p>
        </w:tc>
        <w:tc>
          <w:tcPr>
            <w:tcW w:w="23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December 31, 2018 and 2017 (Unaudited)</w:t>
              </w:r>
            </w:hyperlink>
          </w:p>
        </w:tc>
        <w:tc>
          <w:tcPr>
            <w:tcW w:w="16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Income for the Three Months Ended December 31, 2018 and 2017</w:t>
              </w:r>
            </w:hyperlink>
          </w:p>
        </w:tc>
        <w:tc>
          <w:tcPr>
            <w:tcW w:w="11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9640" w:type="dxa"/>
            <w:vAlign w:val="bottom"/>
            <w:gridSpan w:val="2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Months Ended December 31, 2018 and 2017 (Unaudited)</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December 31, 2018 and 2017 (Unaudited)</w:t>
              </w:r>
            </w:hyperlink>
          </w:p>
        </w:tc>
        <w:tc>
          <w:tcPr>
            <w:tcW w:w="16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7"/>
          </w:tcPr>
          <w:p>
            <w:pPr>
              <w:spacing w:after="0"/>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Notes to Interim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180" w:type="dxa"/>
            <w:vAlign w:val="bottom"/>
            <w:tcBorders>
              <w:top w:val="single" w:sz="8" w:color="0000EE"/>
            </w:tcBorders>
            <w:gridSpan w:val="19"/>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Note 1: Organization and Summary of Significant Accounting Policies</w:t>
              </w:r>
            </w:hyperlink>
          </w:p>
        </w:tc>
        <w:tc>
          <w:tcPr>
            <w:tcW w:w="532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2: Acquisitions</w:t>
              </w:r>
            </w:hyperlink>
          </w:p>
        </w:tc>
        <w:tc>
          <w:tcPr>
            <w:tcW w:w="542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3: Earnings Per Share</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Note 4: Strategic Investment</w:t>
              </w:r>
            </w:hyperlink>
          </w:p>
        </w:tc>
        <w:tc>
          <w:tcPr>
            <w:tcW w:w="840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 5: Fair Value Measurement</w:t>
              </w:r>
            </w:hyperlink>
          </w:p>
        </w:tc>
        <w:tc>
          <w:tcPr>
            <w:tcW w:w="816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6: Debt</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 7: Stock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Note 8: Contingencies</w:t>
              </w:r>
            </w:hyperlink>
          </w:p>
        </w:tc>
        <w:tc>
          <w:tcPr>
            <w:tcW w:w="500" w:type="dxa"/>
            <w:vAlign w:val="bottom"/>
            <w:tcBorders>
              <w:top w:val="single" w:sz="8" w:color="0000EE"/>
            </w:tcBorders>
            <w:gridSpan w:val="4"/>
          </w:tcPr>
          <w:p>
            <w:pPr>
              <w:spacing w:after="0"/>
              <w:rPr>
                <w:sz w:val="24"/>
                <w:szCs w:val="24"/>
                <w:color w:val="auto"/>
              </w:rPr>
            </w:pPr>
          </w:p>
        </w:tc>
        <w:tc>
          <w:tcPr>
            <w:tcW w:w="840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Note 9: Segment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Note 10: Supplemental Consolidated Financial Information and Other</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21"/>
          </w:tcPr>
          <w:p>
            <w:pPr>
              <w:spacing w:after="0"/>
              <w:rPr>
                <w:rFonts w:ascii="Arial" w:cs="Arial" w:eastAsia="Arial" w:hAnsi="Arial"/>
                <w:sz w:val="18"/>
                <w:szCs w:val="18"/>
                <w:i w:val="1"/>
                <w:iCs w:val="1"/>
                <w:color w:val="0000EE"/>
                <w:w w:val="91"/>
              </w:rPr>
            </w:pPr>
            <w:hyperlink w:anchor="page21">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7"/>
          </w:tcPr>
          <w:p>
            <w:pPr>
              <w:spacing w:after="0"/>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3"/>
          </w:tcPr>
          <w:p>
            <w:pPr>
              <w:spacing w:after="0"/>
              <w:rPr>
                <w:rFonts w:ascii="Arial" w:cs="Arial" w:eastAsia="Arial" w:hAnsi="Arial"/>
                <w:sz w:val="18"/>
                <w:szCs w:val="18"/>
                <w:i w:val="1"/>
                <w:iCs w:val="1"/>
                <w:color w:val="0000EE"/>
                <w:w w:val="90"/>
              </w:rPr>
            </w:pPr>
            <w:hyperlink w:anchor="page33">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4"/>
          </w:tcPr>
          <w:p>
            <w:pPr>
              <w:spacing w:after="0"/>
              <w:rPr>
                <w:sz w:val="24"/>
                <w:szCs w:val="24"/>
                <w:color w:val="auto"/>
              </w:rPr>
            </w:pPr>
          </w:p>
        </w:tc>
        <w:tc>
          <w:tcPr>
            <w:tcW w:w="596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r>
      <w:tr>
        <w:trPr>
          <w:trHeight w:val="372"/>
        </w:trPr>
        <w:tc>
          <w:tcPr>
            <w:tcW w:w="40" w:type="dxa"/>
            <w:vAlign w:val="bottom"/>
          </w:tcPr>
          <w:p>
            <w:pPr>
              <w:spacing w:after="0"/>
              <w:rPr>
                <w:sz w:val="24"/>
                <w:szCs w:val="24"/>
                <w:color w:val="auto"/>
              </w:rPr>
            </w:pPr>
          </w:p>
        </w:tc>
        <w:tc>
          <w:tcPr>
            <w:tcW w:w="1118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i w:val="1"/>
                <w:iCs w:val="1"/>
                <w:color w:val="0000EE"/>
                <w:w w:val="89"/>
              </w:rPr>
            </w:pPr>
            <w:hyperlink w:anchor="page34">
              <w:r>
                <w:rPr>
                  <w:rFonts w:ascii="Arial" w:cs="Arial" w:eastAsia="Arial" w:hAnsi="Arial"/>
                  <w:sz w:val="18"/>
                  <w:szCs w:val="18"/>
                  <w:i w:val="1"/>
                  <w:iCs w:val="1"/>
                  <w:color w:val="0000EE"/>
                  <w:w w:val="89"/>
                </w:rPr>
                <w:t>Item 1. Legal Proceedings</w:t>
              </w:r>
            </w:hyperlink>
          </w:p>
        </w:tc>
        <w:tc>
          <w:tcPr>
            <w:tcW w:w="540" w:type="dxa"/>
            <w:vAlign w:val="bottom"/>
            <w:tcBorders>
              <w:top w:val="single" w:sz="8" w:color="0000EE"/>
            </w:tcBorders>
            <w:gridSpan w:val="5"/>
          </w:tcPr>
          <w:p>
            <w:pPr>
              <w:spacing w:after="0"/>
              <w:rPr>
                <w:sz w:val="24"/>
                <w:szCs w:val="24"/>
                <w:color w:val="auto"/>
              </w:rPr>
            </w:pPr>
          </w:p>
        </w:tc>
        <w:tc>
          <w:tcPr>
            <w:tcW w:w="840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34">
              <w:r>
                <w:rPr>
                  <w:rFonts w:ascii="Arial" w:cs="Arial" w:eastAsia="Arial" w:hAnsi="Arial"/>
                  <w:sz w:val="18"/>
                  <w:szCs w:val="18"/>
                  <w:i w:val="1"/>
                  <w:iCs w:val="1"/>
                  <w:color w:val="0000EE"/>
                  <w:w w:val="90"/>
                </w:rPr>
                <w:t>Item 1A. Risk Factors</w:t>
              </w:r>
            </w:hyperlink>
          </w:p>
        </w:tc>
        <w:tc>
          <w:tcPr>
            <w:tcW w:w="9260" w:type="dxa"/>
            <w:vAlign w:val="bottom"/>
            <w:gridSpan w:val="2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7"/>
          </w:tcPr>
          <w:p>
            <w:pPr>
              <w:spacing w:after="0"/>
              <w:rPr>
                <w:rFonts w:ascii="Arial" w:cs="Arial" w:eastAsia="Arial" w:hAnsi="Arial"/>
                <w:sz w:val="18"/>
                <w:szCs w:val="18"/>
                <w:i w:val="1"/>
                <w:iCs w:val="1"/>
                <w:color w:val="0000EE"/>
              </w:rPr>
            </w:pPr>
            <w:hyperlink w:anchor="page34">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2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10080" w:type="dxa"/>
            <w:vAlign w:val="bottom"/>
            <w:gridSpan w:val="2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r>
      <w:tr>
        <w:trPr>
          <w:trHeight w:val="384"/>
        </w:trPr>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ind w:left="76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297,031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286,015</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193,984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177,001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198,463</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38,959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34,054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38,318</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175,422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163,310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166,997</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36,682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34,199</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31,223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26,516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33,154</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763,330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551,147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757,146</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35,511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45,605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49,500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69,770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62,098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73,649</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294,881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288,773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297,448</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55,956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43,974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54,923</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4,599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23,343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3,226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7,165</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16,625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3,863</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1,237,772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1,042,562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1,246,920</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8"/>
        </w:trPr>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190,238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190,181</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57,628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60,207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57,800</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11,747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10,686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11,824</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259,613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70,893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259,805</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229,928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294,761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226,702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Deferred tax liability,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9,617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8,817</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8,845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6,890</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505,308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374,499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502,214</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63"/>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8"/>
              </w:rPr>
              <w:t>52,475,070 as of December 31, 2018; 51,494,246 as of December 31, 2017; and 51,614,746 as of September 30, 2018</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516</w:t>
            </w:r>
          </w:p>
        </w:tc>
      </w:tr>
      <w:tr>
        <w:trPr>
          <w:trHeight w:val="157"/>
        </w:trPr>
        <w:tc>
          <w:tcPr>
            <w:tcW w:w="7780" w:type="dxa"/>
            <w:vAlign w:val="bottom"/>
          </w:tcPr>
          <w:p>
            <w:pPr>
              <w:ind w:left="500"/>
              <w:spacing w:after="0" w:line="157" w:lineRule="exact"/>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7780" w:type="dxa"/>
            <w:vAlign w:val="bottom"/>
          </w:tcPr>
          <w:p>
            <w:pPr>
              <w:ind w:left="500"/>
              <w:spacing w:after="0"/>
              <w:rPr>
                <w:sz w:val="20"/>
                <w:szCs w:val="20"/>
                <w:color w:val="auto"/>
              </w:rPr>
            </w:pPr>
            <w:r>
              <w:rPr>
                <w:rFonts w:ascii="Arial" w:cs="Arial" w:eastAsia="Arial" w:hAnsi="Arial"/>
                <w:sz w:val="14"/>
                <w:szCs w:val="14"/>
                <w:color w:val="auto"/>
              </w:rPr>
              <w:t>2,970,171</w:t>
            </w: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400,081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351,110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397,927</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387,936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364,414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392,180</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(49,104)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(44,902)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(42,616)</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739,467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671,167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748,037</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(7,003)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w:t>
            </w:r>
          </w:p>
        </w:tc>
      </w:tr>
      <w:tr>
        <w:trPr>
          <w:trHeight w:val="250"/>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732,464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668,063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744,706</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1,237,772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1,042,562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1,246,920</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379"/>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left="720"/>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4"/>
                <w:szCs w:val="24"/>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9"/>
              <w:spacing w:after="0"/>
              <w:rPr>
                <w:sz w:val="20"/>
                <w:szCs w:val="20"/>
                <w:color w:val="auto"/>
              </w:rPr>
            </w:pPr>
            <w:r>
              <w:rPr>
                <w:rFonts w:ascii="Arial" w:cs="Arial" w:eastAsia="Arial" w:hAnsi="Arial"/>
                <w:sz w:val="14"/>
                <w:szCs w:val="14"/>
                <w:i w:val="1"/>
                <w:iCs w:val="1"/>
                <w:color w:val="auto"/>
                <w:w w:val="92"/>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121,024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113,588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83,674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76,360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215,850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204,508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71,167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8,050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10,337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130,204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122,427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89,546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83,610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13,318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5,723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116,315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102,690</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13,889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8,791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5,847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 net loss (income) of unconsolidated affiliate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investment in unconsolidated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7,437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12,748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EZCORP, Inc. — 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0.23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55,032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54,464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55,032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55,682</w:t>
            </w:r>
          </w:p>
        </w:tc>
      </w:tr>
      <w:tr>
        <w:trPr>
          <w:trHeight w:val="33"/>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379"/>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663"/>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663"/>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12,133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Foreign currency translation loss, net of income tax expense for our investment in unconsolidated affiliate of $87 and $176</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 the three months ended December 31, 2018 and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5,558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Comprehensive (loss) income attributable to EZCORP, Inc.</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(10,732)</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6,213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9"/>
          </w:tcPr>
          <w:p>
            <w:pPr>
              <w:jc w:val="center"/>
              <w:ind w:right="4"/>
              <w:spacing w:after="0"/>
              <w:rPr>
                <w:sz w:val="20"/>
                <w:szCs w:val="20"/>
                <w:color w:val="auto"/>
              </w:rPr>
            </w:pPr>
            <w:r>
              <w:rPr>
                <w:rFonts w:ascii="Arial" w:cs="Arial" w:eastAsia="Arial" w:hAnsi="Arial"/>
                <w:sz w:val="14"/>
                <w:szCs w:val="14"/>
                <w:b w:val="1"/>
                <w:bCs w:val="1"/>
                <w:color w:val="auto"/>
                <w:w w:val="91"/>
              </w:rPr>
              <w:t>(Unaudited, except balances as of September 30, 2017)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2017</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348,532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351,666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659,926</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860" w:type="dxa"/>
            <w:vAlign w:val="bottom"/>
          </w:tcPr>
          <w:p>
            <w:pPr>
              <w:ind w:left="280"/>
              <w:spacing w:after="0"/>
              <w:rPr>
                <w:sz w:val="20"/>
                <w:szCs w:val="20"/>
                <w:color w:val="auto"/>
              </w:rPr>
            </w:pPr>
            <w:r>
              <w:rPr>
                <w:rFonts w:ascii="Arial" w:cs="Arial" w:eastAsia="Arial" w:hAnsi="Arial"/>
                <w:sz w:val="16"/>
                <w:szCs w:val="16"/>
                <w:color w:val="auto"/>
                <w:w w:val="97"/>
              </w:rPr>
              <w:t>Taxes paid related to net share settlement of equity</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80"/>
              <w:spacing w:after="0"/>
              <w:rPr>
                <w:sz w:val="20"/>
                <w:szCs w:val="20"/>
                <w:color w:val="auto"/>
              </w:rPr>
            </w:pPr>
            <w:r>
              <w:rPr>
                <w:rFonts w:ascii="Arial" w:cs="Arial" w:eastAsia="Arial" w:hAnsi="Arial"/>
                <w:sz w:val="16"/>
                <w:szCs w:val="16"/>
                <w:color w:val="auto"/>
              </w:rPr>
              <w:t>awards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12,748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12,133</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December 31, 2017</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364,414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668,063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860" w:type="dxa"/>
            <w:vAlign w:val="bottom"/>
          </w:tcPr>
          <w:p>
            <w:pPr>
              <w:spacing w:after="0"/>
              <w:rPr>
                <w:sz w:val="23"/>
                <w:szCs w:val="23"/>
                <w:color w:val="auto"/>
              </w:rPr>
            </w:pPr>
          </w:p>
        </w:tc>
        <w:tc>
          <w:tcPr>
            <w:tcW w:w="19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9"/>
          </w:tcPr>
          <w:p>
            <w:pPr>
              <w:jc w:val="center"/>
              <w:ind w:right="4"/>
              <w:spacing w:after="0"/>
              <w:rPr>
                <w:sz w:val="20"/>
                <w:szCs w:val="20"/>
                <w:color w:val="auto"/>
              </w:rPr>
            </w:pPr>
            <w:r>
              <w:rPr>
                <w:rFonts w:ascii="Arial" w:cs="Arial" w:eastAsia="Arial" w:hAnsi="Arial"/>
                <w:sz w:val="14"/>
                <w:szCs w:val="14"/>
                <w:b w:val="1"/>
                <w:bCs w:val="1"/>
                <w:color w:val="auto"/>
                <w:w w:val="91"/>
              </w:rPr>
              <w:t>(Unaudited, except balances as of September 30, 2018)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2018</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397,927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392,180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744,706</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3860" w:type="dxa"/>
            <w:vAlign w:val="bottom"/>
          </w:tcPr>
          <w:p>
            <w:pPr>
              <w:ind w:left="280"/>
              <w:spacing w:after="0"/>
              <w:rPr>
                <w:sz w:val="20"/>
                <w:szCs w:val="20"/>
                <w:color w:val="auto"/>
              </w:rPr>
            </w:pPr>
            <w:r>
              <w:rPr>
                <w:rFonts w:ascii="Arial" w:cs="Arial" w:eastAsia="Arial" w:hAnsi="Arial"/>
                <w:sz w:val="16"/>
                <w:szCs w:val="16"/>
                <w:color w:val="auto"/>
                <w:w w:val="97"/>
              </w:rPr>
              <w:t>Taxes paid related to net share settlement of equity</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80"/>
              <w:spacing w:after="0"/>
              <w:rPr>
                <w:sz w:val="20"/>
                <w:szCs w:val="20"/>
                <w:color w:val="auto"/>
              </w:rPr>
            </w:pPr>
            <w:r>
              <w:rPr>
                <w:rFonts w:ascii="Arial" w:cs="Arial" w:eastAsia="Arial" w:hAnsi="Arial"/>
                <w:sz w:val="16"/>
                <w:szCs w:val="16"/>
                <w:color w:val="auto"/>
              </w:rPr>
              <w:t>awards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2"/>
              </w:rPr>
              <w:t>Transfer of subsidiary shares to noncontrolling interest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Foreign currency translation loss, net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(6,488)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244"/>
        </w:trPr>
        <w:tc>
          <w:tcPr>
            <w:tcW w:w="3860" w:type="dxa"/>
            <w:vAlign w:val="bottom"/>
          </w:tcPr>
          <w:p>
            <w:pPr>
              <w:ind w:left="40"/>
              <w:spacing w:after="0"/>
              <w:rPr>
                <w:sz w:val="20"/>
                <w:szCs w:val="20"/>
                <w:color w:val="auto"/>
              </w:rPr>
            </w:pPr>
            <w:r>
              <w:rPr>
                <w:rFonts w:ascii="Arial" w:cs="Arial" w:eastAsia="Arial" w:hAnsi="Arial"/>
                <w:sz w:val="16"/>
                <w:szCs w:val="16"/>
                <w:color w:val="auto"/>
              </w:rPr>
              <w:t>Balances as of December 31, 2018</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55,445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400,081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387,936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(49,104)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732,464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379"/>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(4,721)</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12,133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6,848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5,723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3,682</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(2,577)</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3,129</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Impairment of investment in unconsolidated affiliate</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13,274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2,919</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(income) from investment in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 charges and fees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Income taxes, net of excess tax benefit from stock compensation</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2,295</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22,760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19,252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(186,588)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(169,666)</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Loans repaid</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106,643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103,041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67,144</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Additions to property and equipment,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(9,537)</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(62,163)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7,284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2,849</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(68,332)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borrowings, net of issuance costs</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11,004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(50,556)</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286,282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164,393</w:t>
            </w:r>
          </w:p>
        </w:tc>
      </w:tr>
      <w:tr>
        <w:trPr>
          <w:trHeight w:val="28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297,286</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113,837</w:t>
            </w:r>
          </w:p>
        </w:tc>
      </w:tr>
      <w:tr>
        <w:trPr>
          <w:trHeight w:val="284"/>
        </w:trPr>
        <w:tc>
          <w:tcPr>
            <w:tcW w:w="8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80,301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72,649</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Deferred and contingent consideration</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1,920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00"/>
          </w:cols>
          <w:pgMar w:left="240" w:top="121"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spacing w:after="0" w:line="13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accompanying financial statements should be read in conjunction with the consolidated financial statements and notes included in our Annual Report on Form 10-K for the year ended September 30, 2018. The balance sheet as of September 30, 2018 has been derived from the audited financial statements at that date but does not include all of the information and footnotes required by GAAP for complete financial statements.</w:t>
      </w:r>
    </w:p>
    <w:p>
      <w:pPr>
        <w:spacing w:after="0" w:line="1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business is subject to seasonal variations, and operating results for the three months ended December 31, 2018 and 2017 (the "current quarter" or "current three months" and "prior-year quarter," respectively) are not necessarily indicative of the results of operations for the full fiscal year.</w:t>
      </w:r>
    </w:p>
    <w:p>
      <w:pPr>
        <w:spacing w:after="0" w:line="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changes in significant accounting policies as described in our Annual Report on Form 10-K for the year ended September 30, 2018, other than those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Prior Period Financial Statements</w:t>
      </w:r>
    </w:p>
    <w:p>
      <w:pPr>
        <w:spacing w:after="0" w:line="1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have reclassified certain capitalized labor expenditures in the previous period on our condensed consolidated statements of cash flows from "Prepaid expenses, other current assets and other assets" in operating cash flows to "Additions to property and equipment, net" in investing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239" w:lineRule="exact"/>
        <w:rPr>
          <w:sz w:val="20"/>
          <w:szCs w:val="20"/>
          <w:color w:val="auto"/>
        </w:rPr>
      </w:pPr>
    </w:p>
    <w:p>
      <w:pPr>
        <w:ind w:left="660" w:right="8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August 2018, the Financial Accounting Standards Board ("FASB") issued Accounting Standards Update ("ASU") 2018-15, Intangibles — Goodwill and Other — 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350-40 to determine which implementation costs to defer and recognize as an asset. This ASU generally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Our hosting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660" w:right="140"/>
        <w:spacing w:after="0" w:line="357" w:lineRule="auto"/>
        <w:rPr>
          <w:sz w:val="20"/>
          <w:szCs w:val="20"/>
          <w:color w:val="auto"/>
        </w:rPr>
      </w:pPr>
      <w:r>
        <w:rPr>
          <w:rFonts w:ascii="Arial" w:cs="Arial" w:eastAsia="Arial" w:hAnsi="Arial"/>
          <w:sz w:val="17"/>
          <w:szCs w:val="17"/>
          <w:color w:val="auto"/>
        </w:rPr>
        <w:t>arrangements that are service contracts include various third-party software applications. We adopted this ASU during the first quarter of our fiscal 2019 on a prospective basis for all service contracts entered into after adoption, with no material impact during the current quarter.</w:t>
      </w:r>
    </w:p>
    <w:p>
      <w:pPr>
        <w:spacing w:after="0" w:line="134" w:lineRule="exact"/>
        <w:rPr>
          <w:sz w:val="20"/>
          <w:szCs w:val="20"/>
          <w:color w:val="auto"/>
        </w:rPr>
      </w:pPr>
    </w:p>
    <w:p>
      <w:pPr>
        <w:ind w:left="660" w:right="8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This ASU requires the inclusion of restricted cash with cash and cash equivalents when reconciling the beginning-of-period and end-of-period total amounts shown on the statement of cash flows. We adopted this ASU during the first quarter of our fiscal 2019 with no impact on our financial position or results of operations. However, we have recast our statements of cash flows on a retrospective basis to include restricted cash when reconciling the beginning-of-period and end-of-period total amounts. Restricted cash of $0.3 million was recorded under "Prepaid expenses and other current assets" in our condensed consolidated balance sheets as of December 31, 2018 and 2017.</w:t>
      </w:r>
    </w:p>
    <w:p>
      <w:pPr>
        <w:spacing w:after="0" w:line="206"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2016, the FASB issued ASU 2016-15 Statement of Cash Flows (Topic 230): Classification of Certain Cash Receipts and Cash Payments. This ASU provides guidance on eight specific cash flow issues. We adopted this ASU during the first quarter of our fiscal 2019 on a prospective basis with no impact on our financial position, results of operations or cash flows.</w:t>
      </w:r>
    </w:p>
    <w:p>
      <w:pPr>
        <w:spacing w:after="0" w:line="194" w:lineRule="exact"/>
        <w:rPr>
          <w:rFonts w:ascii="Arial" w:cs="Arial" w:eastAsia="Arial" w:hAnsi="Arial"/>
          <w:sz w:val="18"/>
          <w:szCs w:val="18"/>
          <w:color w:val="auto"/>
        </w:rPr>
      </w:pPr>
    </w:p>
    <w:p>
      <w:pPr>
        <w:ind w:left="660" w:right="10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May 2016, the FASB issued ASU 2016-01, Financial Instruments (Subtopic 825-10). The amendments in this ASU make targeted improvements to U.S. GAAP primarily as it pertains to equity investments (not including equity method of accounting), fair value disclosures, balance sheet presentation, and other items pertaining to financial instruments. We adopted this ASU during the first quarter of our fiscal 2019 on a prospective basis, as applicable, with no impact on our financial position, results of operations or cash flows.</w:t>
      </w:r>
    </w:p>
    <w:p>
      <w:pPr>
        <w:spacing w:after="0" w:line="117" w:lineRule="exact"/>
        <w:rPr>
          <w:rFonts w:ascii="Arial" w:cs="Arial" w:eastAsia="Arial" w:hAnsi="Arial"/>
          <w:sz w:val="17"/>
          <w:szCs w:val="17"/>
          <w:color w:val="auto"/>
        </w:rPr>
      </w:pPr>
    </w:p>
    <w:p>
      <w:pPr>
        <w:ind w:left="66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this ASU, and the subsequently issued ASUs modifying or clarifying this ASU,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115" w:lineRule="exact"/>
        <w:rPr>
          <w:rFonts w:ascii="Arial" w:cs="Arial" w:eastAsia="Arial" w:hAnsi="Arial"/>
          <w:sz w:val="16"/>
          <w:szCs w:val="16"/>
          <w:color w:val="auto"/>
        </w:rPr>
      </w:pPr>
    </w:p>
    <w:p>
      <w:pPr>
        <w:ind w:left="660"/>
        <w:spacing w:after="0" w:line="257" w:lineRule="auto"/>
        <w:rPr>
          <w:rFonts w:ascii="Arial" w:cs="Arial" w:eastAsia="Arial" w:hAnsi="Arial"/>
          <w:sz w:val="16"/>
          <w:szCs w:val="16"/>
          <w:color w:val="auto"/>
        </w:rPr>
      </w:pPr>
      <w:r>
        <w:rPr>
          <w:rFonts w:ascii="Arial" w:cs="Arial" w:eastAsia="Arial" w:hAnsi="Arial"/>
          <w:sz w:val="18"/>
          <w:szCs w:val="18"/>
          <w:color w:val="auto"/>
        </w:rPr>
        <w:t>We adopted this ASU and related guidance as of October 1, 2018 using the modified retrospective method. We evaluated the impact of ASC 606 on our consolidated financial position, results of operations, cash flows and disclosure requirements noting no material impact to our consolidated financial statements or disclosures. See Note 9 for disaggregated information about our sources of revenue. Additionally, we have concluded that ASC 606 does not impact our revenue recognition for pawn service charges or consumer loan fees as we believe neither of those revenue streams are within the scope of ASC 606.</w:t>
      </w:r>
    </w:p>
    <w:p>
      <w:pPr>
        <w:spacing w:after="0" w:line="13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Pawn Service Charges Revenue</w:t>
      </w:r>
    </w:p>
    <w:p>
      <w:pPr>
        <w:spacing w:after="0" w:line="171" w:lineRule="exact"/>
        <w:rPr>
          <w:rFonts w:ascii="Arial" w:cs="Arial" w:eastAsia="Arial" w:hAnsi="Arial"/>
          <w:sz w:val="16"/>
          <w:szCs w:val="16"/>
          <w:color w:val="auto"/>
        </w:rPr>
      </w:pPr>
    </w:p>
    <w:p>
      <w:pPr>
        <w:ind w:left="660" w:right="100"/>
        <w:spacing w:after="0" w:line="257" w:lineRule="auto"/>
        <w:rPr>
          <w:rFonts w:ascii="Arial" w:cs="Arial" w:eastAsia="Arial" w:hAnsi="Arial"/>
          <w:sz w:val="16"/>
          <w:szCs w:val="16"/>
          <w:color w:val="auto"/>
        </w:rPr>
      </w:pPr>
      <w:r>
        <w:rPr>
          <w:rFonts w:ascii="Arial" w:cs="Arial" w:eastAsia="Arial" w:hAnsi="Arial"/>
          <w:sz w:val="18"/>
          <w:szCs w:val="18"/>
          <w:color w:val="auto"/>
        </w:rPr>
        <w:t>We record pawn service charges using the effective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If a pawn loan is not repaid, we value the forfeited collateral (inventory) at the lower of cost (pawn loan principal) or net realizable value of the item.</w:t>
      </w:r>
    </w:p>
    <w:p>
      <w:pPr>
        <w:spacing w:after="0" w:line="13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Merchandise and Related Sales Revenue</w:t>
      </w:r>
    </w:p>
    <w:p>
      <w:pPr>
        <w:spacing w:after="0" w:line="171" w:lineRule="exact"/>
        <w:rPr>
          <w:rFonts w:ascii="Arial" w:cs="Arial" w:eastAsia="Arial" w:hAnsi="Arial"/>
          <w:sz w:val="16"/>
          <w:szCs w:val="16"/>
          <w:color w:val="auto"/>
        </w:rPr>
      </w:pPr>
    </w:p>
    <w:p>
      <w:pPr>
        <w:ind w:left="660" w:right="60"/>
        <w:spacing w:after="0" w:line="302" w:lineRule="auto"/>
        <w:rPr>
          <w:rFonts w:ascii="Arial" w:cs="Arial" w:eastAsia="Arial" w:hAnsi="Arial"/>
          <w:sz w:val="16"/>
          <w:szCs w:val="16"/>
          <w:color w:val="auto"/>
        </w:rPr>
      </w:pPr>
      <w:r>
        <w:rPr>
          <w:rFonts w:ascii="Arial" w:cs="Arial" w:eastAsia="Arial" w:hAnsi="Arial"/>
          <w:sz w:val="16"/>
          <w:szCs w:val="16"/>
          <w:color w:val="auto"/>
        </w:rPr>
        <w:t>This revenue stream involves the sale of merchandise to retail customers in our pawn stores. The performance obligation is the delivery of the merchandise to the customer, and revenue, and the related cost of merchandise sold, is recognized at the time of sale. Customers have a very limited period of time to return merchandise for a refund or exchange, and actual returns for refunds are insignificant. Sales tax collected on the sale of merchandise is excluded from the amount recognized as sales and instead recorded as a liability in “Accounts payable, accrued expenses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1500"/>
        <w:spacing w:after="0" w:line="438" w:lineRule="auto"/>
        <w:rPr>
          <w:sz w:val="20"/>
          <w:szCs w:val="20"/>
          <w:color w:val="auto"/>
        </w:rPr>
      </w:pPr>
      <w:r>
        <w:rPr>
          <w:rFonts w:ascii="Arial" w:cs="Arial" w:eastAsia="Arial" w:hAnsi="Arial"/>
          <w:sz w:val="18"/>
          <w:szCs w:val="18"/>
          <w:color w:val="auto"/>
        </w:rPr>
        <w:t xml:space="preserve">other current liabilities” in our condensed consolidated balance sheets until remitted to the appropriate governmental authorities. </w:t>
      </w:r>
      <w:r>
        <w:rPr>
          <w:rFonts w:ascii="Arial" w:cs="Arial" w:eastAsia="Arial" w:hAnsi="Arial"/>
          <w:sz w:val="18"/>
          <w:szCs w:val="18"/>
          <w:i w:val="1"/>
          <w:iCs w:val="1"/>
          <w:color w:val="auto"/>
        </w:rPr>
        <w:t>Jewelry Scrapping Sales Revenue</w:t>
      </w:r>
    </w:p>
    <w:p>
      <w:pPr>
        <w:spacing w:after="0" w:line="1" w:lineRule="exact"/>
        <w:rPr>
          <w:sz w:val="20"/>
          <w:szCs w:val="20"/>
          <w:color w:val="auto"/>
        </w:rPr>
      </w:pPr>
    </w:p>
    <w:p>
      <w:pPr>
        <w:ind w:left="660" w:right="120"/>
        <w:spacing w:after="0" w:line="302" w:lineRule="auto"/>
        <w:rPr>
          <w:sz w:val="20"/>
          <w:szCs w:val="20"/>
          <w:color w:val="auto"/>
        </w:rPr>
      </w:pPr>
      <w:r>
        <w:rPr>
          <w:rFonts w:ascii="Arial" w:cs="Arial" w:eastAsia="Arial" w:hAnsi="Arial"/>
          <w:sz w:val="16"/>
          <w:szCs w:val="16"/>
          <w:color w:val="auto"/>
        </w:rPr>
        <w:t>This revenue stream involves the sales of scrap (precious metals and stones) to refiners. The performance obligation is the legal transfer of scrap to the refiner. Revenue, and the related cost of scrap sold, is recognized when scrap inventory is provided to the refiner, which is when the customer obtains control of the promised good. The receivables outstanding at the end of a given reporting period are not material. Payment of the receivable from the customer is generally received within a short period of time after the legal transfer of the scrap materials to the refiner.</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Layaway fees, product protection plan revenues, and jewelry VIP package revenues are not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ind w:left="660" w:right="40" w:hanging="328"/>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this ASU which is effective for our fiscal 2021.</w:t>
      </w:r>
    </w:p>
    <w:p>
      <w:pPr>
        <w:spacing w:after="0" w:line="195" w:lineRule="exact"/>
        <w:rPr>
          <w:rFonts w:ascii="Arial" w:cs="Arial" w:eastAsia="Arial" w:hAnsi="Arial"/>
          <w:sz w:val="17"/>
          <w:szCs w:val="17"/>
          <w:color w:val="auto"/>
        </w:rPr>
      </w:pPr>
    </w:p>
    <w:p>
      <w:pPr>
        <w:ind w:left="66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have completed upgrades to our third-party software solution to support adoption. We will complete our implementation to allow for proper recognition, presentation and disclosure upon adoption of the ASU which is effective for our fiscal 2020. We currently plan to adopt this ASU using the optional transition method provided under ASU 2018-11, Leases, (Topic 842): Targeted Improvement which was issued in July 2018, allowing for application of ASU 2016-02 at the adoption date, with recognition of a cumulative-effect adjustment to the opening balance of retained earnings in the period of adoption.</w:t>
      </w:r>
    </w:p>
    <w:p>
      <w:pPr>
        <w:spacing w:after="0" w:line="1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Please refer to Note 1 of Notes to Consolidated Financial Statements included in "Part II, Item 8 — Financial Statements and Supplementary Data" of our Annual Report on Form 10-K for the year ended September 30, 2018 for discussion of our significant accounting policies and other accounting pronouncements issued but not yet adopted.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Acquisitions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December 2018, we acquired assets related to five pawn stores in Mexico, for an aggregate purchase price of $0.3 million in cash, of which $0.1 million was recorded as goodwill. We have concluded that this acquisition was immaterial to our overall consolidated financial results and, therefore, have omitted certain information that would otherwise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Acquisition of Camira Administration Corp. and Subsidiaries (“GPMX”)</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6, 2017, we completed the acquisition of 100% of the outstanding stock of Camira Administration Corp. and subsidiaries (“GPMX”), a business that, at the time, owned and operated 112 stores located in Guatemala, El Salvador, Honduras and Peru for a total purchase price of $61.7 million. The GPMX acquisition significantly expanded our store base into Latin American countries outside of Mexico and provides us with a platform for further growth in the region. The accompanying condensed consolidated results of operations for the three months ended December 31, 2018 include the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of operations for GPMX, while the comparable prior-year quarter includes the results of GPMX for the period October 6, 2017 to December 31, 2017, affecting comparability of fiscal 2019 and 2018 amounts. We have performed a valuation analysis of identifiable assets acquired and liabilities assumed and allocated the total consideration based on the fair values of those identifiable assets and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Fiscal 2018 Acquisitions</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June 25, 2018, June 11, 2018 and December 4, 2017, we acquired pawn stores operating in Mexico under the names “Montepio San Patricio,” "Presta Dinero" and "Bazareño," respectively. These acquisitions significantly strengthened our competitive position in existing regions, gave us a presence in new regions and allowed us to achieve synergies in management and administration. The accompanying condensed consolidated results of operations for the three months ended December 31, 2018 include the results of operations for these acquisitions, while the comparable prior-year quarter only includes the results of Bazareño for the period December 4, 2017 to December 31, 2017, affecting comparability of fiscal 2019 and 2018 amounts.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performed a valuation analysis of identifiable assets acquired and liabilities assumed and allocated the total consideration based on the fair values of those identifiable assets and liabilities for these acquisitions. During the current quarter, we finalized accounting for the Montepio San Patricio and Presta Dinero acquisitions, which were completed in fiscal 2018, and increased associated deferred tax assets by $1.8 million with an offsetting reduction in goodwill.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318"/>
        </w:trPr>
        <w:tc>
          <w:tcPr>
            <w:tcW w:w="8340" w:type="dxa"/>
            <w:vAlign w:val="bottom"/>
          </w:tcPr>
          <w:p>
            <w:pPr>
              <w:spacing w:after="0"/>
              <w:rPr>
                <w:sz w:val="24"/>
                <w:szCs w:val="24"/>
                <w:color w:val="auto"/>
              </w:rPr>
            </w:pPr>
          </w:p>
        </w:tc>
        <w:tc>
          <w:tcPr>
            <w:tcW w:w="3080" w:type="dxa"/>
            <w:vAlign w:val="bottom"/>
            <w:gridSpan w:val="5"/>
          </w:tcPr>
          <w:p>
            <w:pPr>
              <w:jc w:val="right"/>
              <w:ind w:right="251"/>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from continuing operations attributable to EZCORP (A)</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12,748</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55,032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9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55,032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55,682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r>
      <w:tr>
        <w:trPr>
          <w:trHeight w:val="109"/>
        </w:trPr>
        <w:tc>
          <w:tcPr>
            <w:tcW w:w="8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(loss) earnings per share above*: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2,991</w:t>
            </w:r>
          </w:p>
        </w:tc>
      </w:tr>
    </w:tbl>
    <w:p>
      <w:pPr>
        <w:spacing w:after="0" w:line="38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6 for discussion of the terms and conditions of the potential impact of the 2019 Convertible Note Warrants, 2024 Convertible Notes and 2025 Convertible Notes.</w:t>
      </w:r>
    </w:p>
    <w:p>
      <w:pPr>
        <w:spacing w:after="0" w:line="163" w:lineRule="exact"/>
        <w:rPr>
          <w:sz w:val="20"/>
          <w:szCs w:val="20"/>
          <w:color w:val="auto"/>
        </w:rPr>
      </w:pPr>
    </w:p>
    <w:p>
      <w:pPr>
        <w:ind w:left="340" w:right="1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As of December 31, 2018, we owned 214,183,714 shares, or approximately 34.75%, of Cash Converters International Limited ("Cash Converters International"). The following tables present summary financial information for Cash Converters International’s most recently reported results after translation to U.S. dollars: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229,105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155,749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148,195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150,843</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377,300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306,592</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122,924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57,387</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48,698</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238,927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200,507</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377,300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306,592</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1"/>
              </w:rPr>
              <w:t>Fiscal Year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201,800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204,509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128,366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130,943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profit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17,443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15,546</w:t>
            </w:r>
          </w:p>
        </w:tc>
      </w:tr>
      <w:tr>
        <w:trPr>
          <w:trHeight w:val="27"/>
        </w:trPr>
        <w:tc>
          <w:tcPr>
            <w:tcW w:w="8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quarter of fiscal 2019, the fair value of our investment in Cash Converters International, as estimated by reference to its quoted market price per share, declined from its value at September 30, 2018 and ended the quarter below its carrying value. As of December 31, 2018, we determined that our investment was impaired and that such impairment was other-than-temporary. In reaching this conclusion, we considered all available evidence, including evidence in existence as of September 30, 2018 as discussed in Note 4 of Notes to Consolidated Financial Statements included in "Part II, Item 8 — Financial Statements and Supplementary Data" of our Annual Report on Form 10-K for the year ended September 30, 2018. Additionally, we noted the following developments subsequent to September 30, 2018: (i) continued decline in Cash Converters International's share price; and (ii) ongoing uncertainty around remaining Queensland class action lawsuit. As a result, we recognized an other-than-temporary impairment in Cash Converters International of $13.3 million ($10.3 million, net of taxes).</w:t>
      </w:r>
    </w:p>
    <w:p>
      <w:pPr>
        <w:spacing w:after="0" w:line="1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above impairment increased the difference between the amount at which our investment was carried and the amount of underlying equity in net assets of Cash Converters International and was recorded under “Impairment of investment in unconsolidated affiliate” in our condensed consolidated statements of operations in the “Other International” segment. We will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5 for the fair value and carrying value of our investment in Cash Converters International.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(liabilities) that were carried and measured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vMerge w:val="restart"/>
          </w:tcPr>
          <w:p>
            <w:pPr>
              <w:spacing w:after="0"/>
              <w:rPr>
                <w:sz w:val="14"/>
                <w:szCs w:val="14"/>
                <w:color w:val="auto"/>
              </w:rPr>
            </w:pPr>
          </w:p>
        </w:tc>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long-term-debt, net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measured the fair value of the cash-settled call options pertaining to the 2.125% Cash Convertible Senior Notes Due 2019 (the “2019 Convertible Notes Hedges”) and the 2019 Convertible Notes derivative instrument (the “2019 Convertible Notes Embedded Derivative”) using the Black-Scholes-Merton model based on observable Level 1 and Level 2 inputs such as conversion price of underlying shares, current share price, implied volatility, risk free interest rate and other factors. The volatility input used as of December 31, 2018 was 36% based on historically observed market inputs.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31,310</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33,710</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33,710</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22"/>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190,076</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190,613</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190,613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134,447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134,447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 unsecured notes due 2024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1,160</w:t>
            </w:r>
          </w:p>
        </w:tc>
      </w:tr>
      <w:tr>
        <w:trPr>
          <w:trHeight w:val="702"/>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center"/>
              <w:ind w:left="597"/>
              <w:spacing w:after="0"/>
              <w:rPr>
                <w:sz w:val="20"/>
                <w:szCs w:val="20"/>
                <w:color w:val="auto"/>
              </w:rPr>
            </w:pPr>
            <w:r>
              <w:rPr>
                <w:rFonts w:ascii="Arial" w:cs="Arial" w:eastAsia="Arial" w:hAnsi="Arial"/>
                <w:sz w:val="14"/>
                <w:szCs w:val="14"/>
                <w:b w:val="1"/>
                <w:bCs w:val="1"/>
                <w:color w:val="auto"/>
                <w:w w:val="93"/>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gridSpan w:val="2"/>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7"/>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68,720</w:t>
            </w:r>
          </w:p>
        </w:tc>
        <w:tc>
          <w:tcPr>
            <w:tcW w:w="100" w:type="dxa"/>
            <w:vAlign w:val="bottom"/>
          </w:tcPr>
          <w:p>
            <w:pPr>
              <w:spacing w:after="0"/>
              <w:rPr>
                <w:sz w:val="21"/>
                <w:szCs w:val="21"/>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68,720</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122"/>
        </w:trPr>
        <w:tc>
          <w:tcPr>
            <w:tcW w:w="10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179,835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201,084</w:t>
            </w:r>
          </w:p>
        </w:tc>
        <w:tc>
          <w:tcPr>
            <w:tcW w:w="100" w:type="dxa"/>
            <w:vAlign w:val="bottom"/>
          </w:tcPr>
          <w:p>
            <w:pPr>
              <w:spacing w:after="0"/>
              <w:rPr>
                <w:sz w:val="21"/>
                <w:szCs w:val="21"/>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201,084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201,250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399"/>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380"/>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22"/>
                <w:szCs w:val="22"/>
                <w:color w:val="auto"/>
              </w:rPr>
            </w:pPr>
          </w:p>
        </w:tc>
      </w:tr>
      <w:tr>
        <w:trPr>
          <w:trHeight w:val="387"/>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37,425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41,153</w:t>
            </w:r>
          </w:p>
        </w:tc>
        <w:tc>
          <w:tcPr>
            <w:tcW w:w="100" w:type="dxa"/>
            <w:vAlign w:val="bottom"/>
          </w:tcPr>
          <w:p>
            <w:pPr>
              <w:spacing w:after="0"/>
              <w:rPr>
                <w:sz w:val="21"/>
                <w:szCs w:val="21"/>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41,153</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122"/>
        </w:trPr>
        <w:tc>
          <w:tcPr>
            <w:tcW w:w="10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187,433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189,150</w:t>
            </w:r>
          </w:p>
        </w:tc>
        <w:tc>
          <w:tcPr>
            <w:tcW w:w="100" w:type="dxa"/>
            <w:vAlign w:val="bottom"/>
          </w:tcPr>
          <w:p>
            <w:pPr>
              <w:spacing w:after="0"/>
              <w:rPr>
                <w:sz w:val="21"/>
                <w:szCs w:val="21"/>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189,150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2025 Convertible Notes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119,736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161,253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8.5% unsecured notes due 2024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60" w:type="dxa"/>
            <w:vAlign w:val="bottom"/>
            <w:shd w:val="clear" w:color="auto" w:fill="CCEEFF"/>
          </w:tcPr>
          <w:p>
            <w:pPr>
              <w:spacing w:after="0"/>
              <w:rPr>
                <w:sz w:val="21"/>
                <w:szCs w:val="21"/>
                <w:color w:val="auto"/>
              </w:rPr>
            </w:pPr>
          </w:p>
        </w:tc>
      </w:tr>
      <w:tr>
        <w:trPr>
          <w:trHeight w:val="27"/>
        </w:trPr>
        <w:tc>
          <w:tcPr>
            <w:tcW w:w="10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Based primarily on the short-term nature of cash and cash equivalents, pawn loans, pawn service charges receivable, current consumer loans, fees and interest receivable and other debt, we estimate that their carrying value approximates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Subsequent to the sale of Prestaciones Finmart, S.A.P.I. de C.V., SOFOM, E.N.R. ("Grupo Finmart") to Alpha Holding, S.A. de C.V. (“AlphaCredit”) in September 2016, we determined that we retained a variable interest in Grupo Finmart including notes receivable. We determined that we are not the primary beneficiary of Grupo Finmart subsequent to its disposition as we lack a controlling financial interest in Grupo Finmart. We measured the fair value of the notes receivable as of December 31, 2018 under a discounted cash flow approach considering the estimated credit ratings for Grupo Finmart and AlphaCredit and as determined with external consultation, with discount rates ranging primarily from 7% to 8%. Certain of the significant inputs used for the valuation were not observable in the market. Included in the fair value of the notes receivable is the estimated fair value of the deferred compensation fee negotiated in September 2017, of which the ultimate amount to be received is dependent upon the timing of payment of the notes receivable. Significant increases or decreases in the underlying assumptions used to value the notes receivable could significantly increase or decrease these fair value estimates.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measured the fair value of the 2019 Convertible Notes, 2024 Convertible Notes and 2025 Convertible Notes using quoted price inputs. The 2019 Convertible Notes, 2024 Convertible Notes and 2025 Convertible Notes are not actively traded, and thus the price inputs represent a Level 2 measurement. As the quoted price inputs are highly variable from day to day, the fair value estimates disclosed above could significantly increase or decrease.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long-term debt instruments outstanding as well as future principal payments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2019 Convertible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190,076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195,000</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179,835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187,433</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2019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w w:val="97"/>
              </w:rPr>
              <w:t>Notes Embedded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Derivative</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12,863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12,863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2024 Convertible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(36,568)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107,182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102,063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105,858</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2025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(51,184)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121,316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119,736</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8.5% unsecured</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due 2024*</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CASHMAX</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secured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borrowing</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facility**</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513,668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(93,502)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420,166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351,613</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294,761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515,106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416,883</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Less current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portion</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195,162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(4,924)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190,238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197,748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190,181</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long-</w:t>
            </w: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318,506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(88,578)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229,928</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351,613</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(56,852)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294,761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317,358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(90,656)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226,702</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term debt</w:t>
            </w: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3380" w:firstLine="8"/>
        <w:spacing w:after="0" w:line="434" w:lineRule="auto"/>
        <w:tabs>
          <w:tab w:leader="none" w:pos="324"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 translated from Guatemalan quetzals as of December 31, 2018. Certain disclosures omitted due to materiality considerations. ** See description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2"/>
              </w:rPr>
              <w:t>Principal Payment Schedule</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2024 Convertible Notes*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143,750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8.5% unsecured notes due 2024</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CASHMAX secured borrowing facility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513,647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195,141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316,498</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the potential impact of embedded derivatives.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757"/>
        </w:trPr>
        <w:tc>
          <w:tcPr>
            <w:tcW w:w="1020" w:type="dxa"/>
            <w:vAlign w:val="bottom"/>
            <w:tcBorders>
              <w:top w:val="single" w:sz="8" w:color="0000EE"/>
            </w:tcBorders>
          </w:tcPr>
          <w:p>
            <w:pPr>
              <w:spacing w:after="0"/>
              <w:rPr>
                <w:sz w:val="24"/>
                <w:szCs w:val="24"/>
                <w:color w:val="auto"/>
              </w:rPr>
            </w:pPr>
          </w:p>
        </w:tc>
        <w:tc>
          <w:tcPr>
            <w:tcW w:w="7560" w:type="dxa"/>
            <w:vAlign w:val="bottom"/>
          </w:tcPr>
          <w:p>
            <w:pPr>
              <w:spacing w:after="0"/>
              <w:rPr>
                <w:sz w:val="24"/>
                <w:szCs w:val="24"/>
                <w:color w:val="auto"/>
              </w:rPr>
            </w:pPr>
          </w:p>
        </w:tc>
        <w:tc>
          <w:tcPr>
            <w:tcW w:w="284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10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318"/>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Pr>
          <w:p>
            <w:pPr>
              <w:spacing w:after="0"/>
              <w:rPr>
                <w:sz w:val="24"/>
                <w:szCs w:val="24"/>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Contractual interest expense</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97"/>
        </w:trPr>
        <w:tc>
          <w:tcPr>
            <w:tcW w:w="85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interest expense</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r>
      <w:tr>
        <w:trPr>
          <w:trHeight w:val="109"/>
        </w:trPr>
        <w:tc>
          <w:tcPr>
            <w:tcW w:w="1020" w:type="dxa"/>
            <w:vAlign w:val="bottom"/>
            <w:shd w:val="clear" w:color="auto" w:fill="CCEEFF"/>
          </w:tcPr>
          <w:p>
            <w:pPr>
              <w:spacing w:after="0"/>
              <w:rPr>
                <w:sz w:val="9"/>
                <w:szCs w:val="9"/>
                <w:color w:val="auto"/>
              </w:rPr>
            </w:pPr>
          </w:p>
        </w:tc>
        <w:tc>
          <w:tcPr>
            <w:tcW w:w="75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2024 Convertible Notes: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Contractual interest expense</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9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0"/>
        </w:trPr>
        <w:tc>
          <w:tcPr>
            <w:tcW w:w="10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10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Contractual interest expense</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Total interest expense</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2.375% Convertible Senior Notes Due 2025</w:t>
      </w:r>
    </w:p>
    <w:p>
      <w:pPr>
        <w:spacing w:after="0" w:line="3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May 2018, we issued $172.5 million aggregate principal amount of 2.375% Convertible Senior Notes Due 2025 (the “2025 Convertible Notes”). The 2025 Convertible Notes were issued pursuant to an indenture dated May 14, 2018 (the "2018 Indenture") by and between us and Wells Fargo Bank, National Association, as the trustee.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their terms prior to such date. The carrying amount of the 2025 Convertible Notes as a separate equity-classified instrument (the “2025 Convertible Notes Embedded Derivative”) included under “Additional paid-in capital” in our condensed consolidated balance sheets of December 31, 2018 was $39.0 million. The effective interest rate for the three months ended December 31, 2018 was approximately 9%. As of December 31, 2018, the remaining unamortized debt discount and issuance costs will be amortized through the 2025 Maturity Date assuming no early conversion.</w:t>
      </w:r>
    </w:p>
    <w:p>
      <w:pPr>
        <w:spacing w:after="0" w:line="2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 shares of Class A Common Stock per $1,000 principal amount of 2025 Convertible Notes (equivalent to an initial conversion price of $15.90 per share of our Class A Common Stock). We account for the Class A Common Stock issuable upon conversion under the treasury stock method. To the extent our average share price is over $15.90 per share for any fiscal quarter, we are required to recognize incremental dilution of our earnings per share.</w:t>
      </w:r>
    </w:p>
    <w:p>
      <w:pPr>
        <w:spacing w:after="0" w:line="2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among other triggers described in the 2018 Indenture, the market price of our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and other triggers are measured on a quarter-by-quarter basis and were not met as of December 31, 2018. As of December 31, 2018, the if-converted value of the 2025 Convertible Notes did not exceed the principal amount.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under “Additional paid-in capital” in our condensed consolidated balance sheets of December 31, 2018 was $25.3 million. The effective interest rate for the three months ended December 31, 2018 was approximately 9%. As of December 31, 2018, the remaining unamortized debt discount and issuance costs will be amortized through the 2024 Maturity Date assuming no early conversion.</w:t>
      </w:r>
    </w:p>
    <w:p>
      <w:pPr>
        <w:spacing w:after="0" w:line="2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w:t>
      </w:r>
    </w:p>
    <w:p>
      <w:pPr>
        <w:ind w:right="220"/>
        <w:spacing w:after="0" w:line="255" w:lineRule="auto"/>
        <w:rPr>
          <w:sz w:val="20"/>
          <w:szCs w:val="20"/>
          <w:color w:val="auto"/>
        </w:rPr>
      </w:pPr>
      <w:r>
        <w:rPr>
          <w:rFonts w:ascii="Arial" w:cs="Arial" w:eastAsia="Arial" w:hAnsi="Arial"/>
          <w:sz w:val="18"/>
          <w:szCs w:val="18"/>
          <w:color w:val="auto"/>
        </w:rPr>
        <w:t>per $1,000 principal amount of 2024 Convertible Notes (equivalent to an initial conversion price of $10.00 per share of our Class A Common Stock). We account for the Class A Common Stock issuable upon conversion under the treasury stock method. To the extent our average share price is over $10.00 per share for any fiscal quarter, we are required to recognize incremental dilution of our earnings per share.</w:t>
      </w:r>
    </w:p>
    <w:p>
      <w:pPr>
        <w:spacing w:after="0" w:line="2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among other triggers described in the 2017 Indenture, the market price of our Class A Common Stock meets the threshold based on at least 20 of the final 30 trading days of a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December 31, 2018, and therefore, the 2024 Convertible notes are not classified as current as of December 31, 2018. As of December 31, 2018, the if-converted value of the 2024 Convertible Notes did not exceed the principal amount.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52525"/>
        </w:rPr>
        <w:t xml:space="preserve">In June 2014, we issued $200 million aggregate principal amount of 2.125% Cash Convertible Senior </w:t>
      </w:r>
      <w:r>
        <w:rPr>
          <w:rFonts w:ascii="Arial" w:cs="Arial" w:eastAsia="Arial" w:hAnsi="Arial"/>
          <w:sz w:val="17"/>
          <w:szCs w:val="17"/>
          <w:color w:val="000000"/>
        </w:rPr>
        <w:t>Notes Due 2019 (the "2019 Convertible Notes"), with</w:t>
      </w:r>
      <w:r>
        <w:rPr>
          <w:rFonts w:ascii="Arial" w:cs="Arial" w:eastAsia="Arial" w:hAnsi="Arial"/>
          <w:sz w:val="17"/>
          <w:szCs w:val="17"/>
          <w:color w:val="252525"/>
        </w:rPr>
        <w:t xml:space="preserve"> </w:t>
      </w:r>
      <w:r>
        <w:rPr>
          <w:rFonts w:ascii="Arial" w:cs="Arial" w:eastAsia="Arial" w:hAnsi="Arial"/>
          <w:sz w:val="17"/>
          <w:szCs w:val="17"/>
          <w:color w:val="000000"/>
        </w:rPr>
        <w:t xml:space="preserve">an additional $30 million principal amount of 2019 Convertible Notes issued in July 2014. </w:t>
      </w:r>
      <w:r>
        <w:rPr>
          <w:rFonts w:ascii="Arial" w:cs="Arial" w:eastAsia="Arial" w:hAnsi="Arial"/>
          <w:sz w:val="17"/>
          <w:szCs w:val="17"/>
          <w:color w:val="252525"/>
        </w:rPr>
        <w:t>In</w:t>
      </w:r>
      <w:r>
        <w:rPr>
          <w:rFonts w:ascii="Arial" w:cs="Arial" w:eastAsia="Arial" w:hAnsi="Arial"/>
          <w:sz w:val="17"/>
          <w:szCs w:val="17"/>
          <w:color w:val="000000"/>
        </w:rPr>
        <w:t xml:space="preserve"> July 2017, we used $34.4 million of net proceeds from the 2024 Convertible Notes offering to repurchase and retire $35.0 million aggregate principal amount of 2019 Convertible Notes. All of the 2019 Convertible Notes were issued </w:t>
      </w:r>
      <w:r>
        <w:rPr>
          <w:rFonts w:ascii="Arial" w:cs="Arial" w:eastAsia="Arial" w:hAnsi="Arial"/>
          <w:sz w:val="17"/>
          <w:szCs w:val="17"/>
          <w:color w:val="252525"/>
        </w:rPr>
        <w:t>pursuant to an indenture dated June 23, 2014 (the "2014 Indenture") by and between us and Wells Fargo Bank, National Association, as the</w:t>
      </w:r>
      <w:r>
        <w:rPr>
          <w:rFonts w:ascii="Arial" w:cs="Arial" w:eastAsia="Arial" w:hAnsi="Arial"/>
          <w:sz w:val="17"/>
          <w:szCs w:val="17"/>
          <w:color w:val="000000"/>
        </w:rPr>
        <w:t xml:space="preserve"> </w:t>
      </w:r>
      <w:r>
        <w:rPr>
          <w:rFonts w:ascii="Arial" w:cs="Arial" w:eastAsia="Arial" w:hAnsi="Arial"/>
          <w:sz w:val="17"/>
          <w:szCs w:val="17"/>
          <w:color w:val="252525"/>
        </w:rPr>
        <w:t xml:space="preserve">trustee. The 2019 Convertible Notes were issued in a private offering </w:t>
      </w:r>
      <w:r>
        <w:rPr>
          <w:rFonts w:ascii="Arial" w:cs="Arial" w:eastAsia="Arial" w:hAnsi="Arial"/>
          <w:sz w:val="17"/>
          <w:szCs w:val="17"/>
          <w:color w:val="000000"/>
        </w:rPr>
        <w:t>and resold under Rule 144A under the Securities Act of 1933.</w:t>
      </w:r>
      <w:r>
        <w:rPr>
          <w:rFonts w:ascii="Arial" w:cs="Arial" w:eastAsia="Arial" w:hAnsi="Arial"/>
          <w:sz w:val="17"/>
          <w:szCs w:val="17"/>
          <w:color w:val="252525"/>
        </w:rPr>
        <w:t xml:space="preserve"> The 2019 Convertible Notes pay interest semi-annually in arrears at a rate of 2.125% per annum on June 15 and December 15 of each year and mature on June 15, 2019 (the "2019 Maturity Date")</w:t>
      </w:r>
      <w:r>
        <w:rPr>
          <w:rFonts w:ascii="Arial" w:cs="Arial" w:eastAsia="Arial" w:hAnsi="Arial"/>
          <w:sz w:val="17"/>
          <w:szCs w:val="17"/>
          <w:color w:val="000000"/>
        </w:rPr>
        <w:t>, unless converted, redeemed or repurchased in accordance with their terms prior to such date</w:t>
      </w:r>
      <w:r>
        <w:rPr>
          <w:rFonts w:ascii="Arial" w:cs="Arial" w:eastAsia="Arial" w:hAnsi="Arial"/>
          <w:sz w:val="17"/>
          <w:szCs w:val="17"/>
          <w:color w:val="252525"/>
        </w:rPr>
        <w:t xml:space="preserve">. </w:t>
      </w:r>
      <w:r>
        <w:rPr>
          <w:rFonts w:ascii="Arial" w:cs="Arial" w:eastAsia="Arial" w:hAnsi="Arial"/>
          <w:sz w:val="17"/>
          <w:szCs w:val="17"/>
          <w:color w:val="000000"/>
        </w:rPr>
        <w:t>The effective interest rate for the three months</w:t>
      </w:r>
      <w:r>
        <w:rPr>
          <w:rFonts w:ascii="Arial" w:cs="Arial" w:eastAsia="Arial" w:hAnsi="Arial"/>
          <w:sz w:val="17"/>
          <w:szCs w:val="17"/>
          <w:color w:val="252525"/>
        </w:rPr>
        <w:t xml:space="preserve"> </w:t>
      </w:r>
      <w:r>
        <w:rPr>
          <w:rFonts w:ascii="Arial" w:cs="Arial" w:eastAsia="Arial" w:hAnsi="Arial"/>
          <w:sz w:val="17"/>
          <w:szCs w:val="17"/>
          <w:color w:val="000000"/>
        </w:rPr>
        <w:t>ended December 31, 2018 was approximately 8%. As of December 31, 2018, the remaining unamortized debt discount and issuance costs will be amortized through the 2019 Maturity Date assuming no early conversion.</w:t>
      </w:r>
    </w:p>
    <w:p>
      <w:pPr>
        <w:spacing w:after="0" w:line="12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2019 Convertible Notes are convertible into cash, subject to satisfaction of certain conditions and during the periods described in the 2014 Indenture, based on an initial conversion rate of 62.2471 shares of Class A Common Stock per $1,000 principal amount of 2019 Convertible Notes (equivalent to an initial conversion price of approximately $16.065 per share of our Class A Common Stock). As of December 31, 2018, the if-converted value of the 2019 Convertible Notes did not exceed the principal amount.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2019 Convertible Notes, we purchased cash-settled call options (the “2019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2019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12.1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2019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2019 Convertible Notes. </w:t>
      </w:r>
      <w:r>
        <w:rPr>
          <w:rFonts w:ascii="Arial" w:cs="Arial" w:eastAsia="Arial" w:hAnsi="Arial"/>
          <w:sz w:val="16"/>
          <w:szCs w:val="16"/>
          <w:color w:val="252525"/>
        </w:rPr>
        <w:t>If we exercise the 2019 Convertible Notes</w:t>
      </w:r>
      <w:r>
        <w:rPr>
          <w:rFonts w:ascii="Arial" w:cs="Arial" w:eastAsia="Arial" w:hAnsi="Arial"/>
          <w:sz w:val="16"/>
          <w:szCs w:val="16"/>
          <w:color w:val="auto"/>
        </w:rPr>
        <w:t xml:space="preserve"> Hedges</w:t>
      </w:r>
      <w:r>
        <w:rPr>
          <w:rFonts w:ascii="Arial" w:cs="Arial" w:eastAsia="Arial" w:hAnsi="Arial"/>
          <w:sz w:val="16"/>
          <w:szCs w:val="16"/>
          <w:color w:val="252525"/>
        </w:rPr>
        <w:t>, the aggregate amount of cash we will receive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Option Counterparties will cover the aggregate amount of cash that we would be required to pay to the holders of the converted 2019 Convertible Notes,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the principal amount thereof.</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the issuance of the 2019 Convertible Notes, we also sold net-share-settled warrants (the “2019 Convertible Notes Warrants”) in privately negotiated transactions with the Option Counterparties. The 2019 Convertible Notes Warrants allow for the purchase of up to approximately 12.1</w:t>
      </w:r>
    </w:p>
    <w:p>
      <w:pPr>
        <w:ind w:right="20"/>
        <w:spacing w:after="0" w:line="273" w:lineRule="auto"/>
        <w:rPr>
          <w:sz w:val="20"/>
          <w:szCs w:val="20"/>
          <w:color w:val="auto"/>
        </w:rPr>
      </w:pPr>
      <w:r>
        <w:rPr>
          <w:rFonts w:ascii="Arial" w:cs="Arial" w:eastAsia="Arial" w:hAnsi="Arial"/>
          <w:sz w:val="17"/>
          <w:szCs w:val="17"/>
          <w:color w:val="auto"/>
        </w:rPr>
        <w:t>million shares of our Class A Common Stock at a strike price of $20.83 per share. We account for the Class A Common Stock issuable upon exercise under the treasury stock method. As a result of the 2019 Convertible Notes Warrants and related transactions, we are required to recognize incremental dilution of our earnings per share to the extent our average share price is over $20.83 for any fiscal quarter. The 2019 Convertible Notes Warrants expire on various dates from September 2019 through February 2020 and must be settled in net shares of our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CASHMAX Secured Borrowing Facility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2018 we entered into a receivables securitization facility with a third-party lender (the "lender") to provide funding for installment loan originations in our Canadian CASHMAX business. Under the facility, an unconsolidated variable interest entity (the "trust") has the right, subject to various conditions, to borrow up to CAD $25 million 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owning under or repurchase the underlying installment loans in the event of a breach by CASHMAX or in certain other limited circumstances. The facility is generally nonrecourse to EZCORP. The amount outstanding under the facility as of December 31, 2018 was $1.2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May 1, 2010 our Board of Directors approved the adoption of the EZCORP, Inc. 2010 Long-Term Incentive Plan (the “2010 Plan”). As of September 30, 2018, the 2010 Plan permitted grants of options, restricted stock awards and stock appreciation rights covering up to 5,085,649 shares of our Class A Common Stock. In November 2018, the Board of Directors and the voting stockholder approved the addition of 400,000 shares to the 2010 Plan.</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2018, we granted 1,008,998 restricted stock unit awards to employees and 59,812 restricted stock awards to non-employee directors with a grant date fair value of primarily $9.18 per share. The number of long-term incentive award shares and units granted are generally determined based on our share price as of October 1 each year, which was $10.51 for these fiscal 2019 awards. The awards granted to employees vest on September 30, 2021, subject to the achievement of certain adjusted net income and adjusted diluted earnings per share performance targets. As of December 31, 2018, we considered the achievement of these performance targets probable. The awards granted to non-employee directors vest on September 30, 2019 and are subject only to service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17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December 31, 2018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Federal Securities Litigation </w:t>
      </w:r>
      <w:r>
        <w:rPr>
          <w:rFonts w:ascii="Arial" w:cs="Arial" w:eastAsia="Arial" w:hAnsi="Arial"/>
          <w:sz w:val="16"/>
          <w:szCs w:val="16"/>
          <w:color w:val="auto"/>
        </w:rPr>
        <w:t>— On July 20, 2015, Wu Winfred Huang, a purported holder of Class A Common Stock, for himself and on behalf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similarly situated holders of Class A Common Stock, filed a lawsuit in the United States District Court for the Western District of Texas styled </w:t>
      </w:r>
      <w:r>
        <w:rPr>
          <w:rFonts w:ascii="Arial" w:cs="Arial" w:eastAsia="Arial" w:hAnsi="Arial"/>
          <w:sz w:val="16"/>
          <w:szCs w:val="16"/>
          <w:i w:val="1"/>
          <w:iCs w:val="1"/>
          <w:color w:val="auto"/>
        </w:rPr>
        <w:t>Huang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EZCORP, Inc., et al. </w:t>
      </w:r>
      <w:r>
        <w:rPr>
          <w:rFonts w:ascii="Arial" w:cs="Arial" w:eastAsia="Arial" w:hAnsi="Arial"/>
          <w:sz w:val="16"/>
          <w:szCs w:val="16"/>
          <w:color w:val="auto"/>
        </w:rPr>
        <w:t>(Case No. 1:15-cv-00608-SS). The complaint names as defendants EZCORP, Inc., Stuart I. Grimshaw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(Master File No. 1:15-cv-00608-SS), and appointed the two plaintiffs as co-lead plaintiffs, with their respective counsel appointed as co-lead</w:t>
      </w:r>
      <w:r>
        <w:rPr>
          <w:rFonts w:ascii="Arial" w:cs="Arial" w:eastAsia="Arial" w:hAnsi="Arial"/>
          <w:sz w:val="18"/>
          <w:szCs w:val="18"/>
          <w:i w:val="1"/>
          <w:iCs w:val="1"/>
          <w:color w:val="auto"/>
        </w:rPr>
        <w:t xml:space="preserve"> </w:t>
      </w:r>
      <w:r>
        <w:rPr>
          <w:rFonts w:ascii="Arial" w:cs="Arial" w:eastAsia="Arial" w:hAnsi="Arial"/>
          <w:sz w:val="18"/>
          <w:szCs w:val="18"/>
          <w:color w:val="auto"/>
        </w:rPr>
        <w:t>counsel.</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w:t>
      </w:r>
    </w:p>
    <w:p>
      <w:pPr>
        <w:spacing w:after="0" w:line="12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Following discovery on the surviving claims, the plaintiff filed a Motion for Leave to File a Third Amended Complaint, seeking to revive the "nonperforming" loan claims that the Court previously dismissed. We opposed that motion, and on May 14, 2018, the Court heard oral arguments on the motion, as well as plaintiff's Motion for Class Certification and Appointment of Class Representative and Class Counsel, which was also pending.</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26, 2018, the Court granted the plaintiff's motion for leave to amend, thus accepting the Third Amended Consolidated Class Action Complaint, and we filed our answer on August 3, 2018. On August 31, 2018, the plaintiff filed an Amended Motion for Class Certification and Appointment of Class Representative and Class Counsel, and we filed our opposition on September 28, 2018. The Court held a hearing on that motion on November 15, 2018, and the motion is pending decision of the Court.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condensed consolidated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Latin</w:t>
            </w:r>
          </w:p>
        </w:tc>
        <w:tc>
          <w:tcPr>
            <w:tcW w:w="120" w:type="dxa"/>
            <w:vAlign w:val="bottom"/>
          </w:tcPr>
          <w:p>
            <w:pPr>
              <w:spacing w:after="0"/>
              <w:rPr>
                <w:sz w:val="13"/>
                <w:szCs w:val="13"/>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95,103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25,921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121,024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121,024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19,371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83,674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166,006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48,063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215,850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215,850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77,112</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101,348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27,559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130,204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130,204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18,848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89,546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89,546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Equity in net loss of unconsolidated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Impairment of 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w w:val="91"/>
              </w:rPr>
              <w:t>(Loss) income from continuing operations before income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restart"/>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(23,317)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42"/>
        </w:trPr>
        <w:tc>
          <w:tcPr>
            <w:tcW w:w="4180" w:type="dxa"/>
            <w:vAlign w:val="bottom"/>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91,494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22,094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113,588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113,588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59,705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76,360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76,360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159,798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204,508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204,508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96,868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122,427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66,300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14,687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83,610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83,610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29"/>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27,757</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37,158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37,158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19,792</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1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SUPPLEMENTAL CONSOLIDATED FINANCIAL INFORMATION AND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2018</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49,629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38,959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38,318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163,310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166,997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receivable and other</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20,933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2019 Convertible Notes Hedges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26,516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33,154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(179,373)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62,098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73,649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45,978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47,300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60,207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57,800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Jewelry Scrap Receivable</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2018, our principal refiner that processes our scrap jewelry announced Chapter 11 bankruptcy restructuring proceedings in the U.S. As of December 31, 2018, we had potential exposure from this refiner of $4.4 million on our balance sheet. In the first quarter of our fiscal 2019, we recorded a full reserve of $4.4 million against this amount which is included under "Loss on sale or disposal of assets and other" and "Other adjustments" in our condensed consolidated statements of operations and cash flows, respectively. We continue to monitor the bankruptcy process and may record recoveries of such reserved amounts in a future period as we gather more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2018, as supplemented by the information set forth in “Part I, Item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Quantitative and Qualitative Disclosures about Market Risk” and "Part II, Item 1 — Legal Proceedings" of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EZCORP is a Delaware corporation headquartered in Austin, Texas. We are a leading provider of pawn loans in the United States and Latin America.</w:t>
      </w:r>
    </w:p>
    <w:p>
      <w:pPr>
        <w:spacing w:after="0" w:line="1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Exceptional Staff Engagement;</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remain focused on growing our balance of pawn loans outstanding (“PLO”) and generating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48985" cy="237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48985" cy="237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48985" cy="237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involve gold and jewelry, our results can be heavily influenced by the market price of gold.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There are growth opportunities with de novo stores in Latin America and pawn store acquisitions in both Latin America and to a lesser extent in the U.S. Our ability to add new stores is dependent on several variables, such as the availability of acceptable sites or acquisition candidates, the alignment of acquirer/seller price expectations, the regulatory environment, local zoning ordinances, access to capital, availability of qualified personnel, and projected financial results meeting our investment hurdles.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Latin America customers receive additional compensation from their employers in December, and many also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December 31, 2018</w:t>
            </w: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1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jc w:val="center"/>
              <w:ind w:right="1730"/>
              <w:spacing w:after="0"/>
              <w:rPr>
                <w:sz w:val="20"/>
                <w:szCs w:val="20"/>
                <w:color w:val="auto"/>
              </w:rPr>
            </w:pPr>
            <w:r>
              <w:rPr>
                <w:rFonts w:ascii="Arial" w:cs="Arial" w:eastAsia="Arial" w:hAnsi="Arial"/>
                <w:sz w:val="18"/>
                <w:szCs w:val="18"/>
                <w:color w:val="auto"/>
                <w:w w:val="89"/>
              </w:rPr>
              <w:t>As of September 30, 2018</w:t>
            </w:r>
          </w:p>
        </w:tc>
        <w:tc>
          <w:tcPr>
            <w:tcW w:w="330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5"/>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jc w:val="center"/>
              <w:ind w:right="1750"/>
              <w:spacing w:after="0"/>
              <w:rPr>
                <w:sz w:val="20"/>
                <w:szCs w:val="20"/>
                <w:color w:val="auto"/>
              </w:rPr>
            </w:pPr>
            <w:r>
              <w:rPr>
                <w:rFonts w:ascii="Arial" w:cs="Arial" w:eastAsia="Arial" w:hAnsi="Arial"/>
                <w:sz w:val="18"/>
                <w:szCs w:val="18"/>
                <w:color w:val="auto"/>
                <w:w w:val="91"/>
              </w:rPr>
              <w:t>Locations acquired</w:t>
            </w:r>
          </w:p>
        </w:tc>
        <w:tc>
          <w:tcPr>
            <w:tcW w:w="2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ind w:right="1770"/>
              <w:spacing w:after="0"/>
              <w:rPr>
                <w:sz w:val="20"/>
                <w:szCs w:val="20"/>
                <w:color w:val="auto"/>
              </w:rPr>
            </w:pPr>
            <w:r>
              <w:rPr>
                <w:rFonts w:ascii="Arial" w:cs="Arial" w:eastAsia="Arial" w:hAnsi="Arial"/>
                <w:sz w:val="18"/>
                <w:szCs w:val="18"/>
                <w:color w:val="auto"/>
                <w:w w:val="90"/>
              </w:rPr>
              <w:t>As of December 31, 2018</w:t>
            </w:r>
          </w:p>
        </w:tc>
        <w:tc>
          <w:tcPr>
            <w:tcW w:w="226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55"/>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96"/>
              </w:rPr>
              <w:t>Three Months Ended December 31, 2017</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1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jc w:val="center"/>
              <w:ind w:right="1730"/>
              <w:spacing w:after="0"/>
              <w:rPr>
                <w:sz w:val="20"/>
                <w:szCs w:val="20"/>
                <w:color w:val="auto"/>
              </w:rPr>
            </w:pPr>
            <w:r>
              <w:rPr>
                <w:rFonts w:ascii="Arial" w:cs="Arial" w:eastAsia="Arial" w:hAnsi="Arial"/>
                <w:sz w:val="18"/>
                <w:szCs w:val="18"/>
                <w:color w:val="auto"/>
                <w:w w:val="89"/>
              </w:rPr>
              <w:t>As of September 30, 2017</w:t>
            </w:r>
          </w:p>
        </w:tc>
        <w:tc>
          <w:tcPr>
            <w:tcW w:w="33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513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jc w:val="center"/>
              <w:ind w:right="1750"/>
              <w:spacing w:after="0"/>
              <w:rPr>
                <w:sz w:val="20"/>
                <w:szCs w:val="20"/>
                <w:color w:val="auto"/>
              </w:rPr>
            </w:pPr>
            <w:r>
              <w:rPr>
                <w:rFonts w:ascii="Arial" w:cs="Arial" w:eastAsia="Arial" w:hAnsi="Arial"/>
                <w:sz w:val="18"/>
                <w:szCs w:val="18"/>
                <w:color w:val="auto"/>
                <w:w w:val="91"/>
              </w:rPr>
              <w:t>Locations acquired</w:t>
            </w:r>
          </w:p>
        </w:tc>
        <w:tc>
          <w:tcPr>
            <w:tcW w:w="2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133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ind w:right="1770"/>
              <w:spacing w:after="0"/>
              <w:rPr>
                <w:sz w:val="20"/>
                <w:szCs w:val="20"/>
                <w:color w:val="auto"/>
              </w:rPr>
            </w:pPr>
            <w:r>
              <w:rPr>
                <w:rFonts w:ascii="Arial" w:cs="Arial" w:eastAsia="Arial" w:hAnsi="Arial"/>
                <w:sz w:val="18"/>
                <w:szCs w:val="18"/>
                <w:color w:val="auto"/>
                <w:w w:val="90"/>
              </w:rPr>
              <w:t>As of December 31, 2017</w:t>
            </w:r>
          </w:p>
        </w:tc>
        <w:tc>
          <w:tcPr>
            <w:tcW w:w="2280" w:type="dxa"/>
            <w:vAlign w:val="bottom"/>
            <w:gridSpan w:val="2"/>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513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5"/>
              <w:spacing w:after="0"/>
              <w:rPr>
                <w:sz w:val="20"/>
                <w:szCs w:val="20"/>
                <w:color w:val="auto"/>
              </w:rPr>
            </w:pPr>
            <w:r>
              <w:rPr>
                <w:rFonts w:ascii="Arial" w:cs="Arial" w:eastAsia="Arial" w:hAnsi="Arial"/>
                <w:sz w:val="18"/>
                <w:szCs w:val="18"/>
                <w:color w:val="auto"/>
              </w:rPr>
              <w:t>383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vMerge w:val="restart"/>
          </w:tcPr>
          <w:p>
            <w:pPr>
              <w:jc w:val="right"/>
              <w:ind w:right="15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December 31, 2018 vs. Three Months Ended December 31, 2017</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64,303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59,705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95,103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91,494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35,955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35,406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8,525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(23)%</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(38)%</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(35)%</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101,348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96,868</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324"/>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68,068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66,300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30,245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27,769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23,675%</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27,392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27,757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299,160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284,933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282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(100)bps</w:t>
            </w:r>
          </w:p>
        </w:tc>
      </w:tr>
    </w:tbl>
    <w:p>
      <w:pPr>
        <w:spacing w:after="0" w:line="170" w:lineRule="exact"/>
        <w:rPr>
          <w:sz w:val="20"/>
          <w:szCs w:val="20"/>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revenue was up 5%, or $4.5 million, primarily due to an 8%, or $4.6 million, increase in pawn service charges and a 2%, or $0.5 million, increase in merchandise sales gross profit, offset by a 38%, or $0.6 million, decrease in jewelry scrapping sales gross profit. The change in net revenue attributable to same stores and new stores added since the prior-year quarter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Pawn service charges increased 8% primarily due to an 8% increase in average ending monthly pawn loan balances outstanding during the current quarter. The higher average loan balance was driven by disciplined lending practices, a focus on meeting customers' need for cash and stronger performance from stores affected by hurricanes in the prior-year quarter.</w:t>
      </w:r>
    </w:p>
    <w:p>
      <w:pPr>
        <w:spacing w:after="0" w:line="12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Merchandise sales increased 4% with gross margin on merchandise sales of 38%, a 100 basis point decline over the prior-year quarter. As a result, merchandise sales gross profit increased 2% to $36.0 million. The increase in merchandise sales gross profit is inclusive of the impacts of the hurricanes in the prior-year quarter. We expect sales gross margin for the full fiscal year to be within our target range of 35-38%.</w:t>
      </w:r>
    </w:p>
    <w:p>
      <w:pPr>
        <w:spacing w:after="0" w:line="1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Jewelry scrapping sales gross profit remained relatively flat at 1% of current quarter net revenues, in-line with our strategy to sell rather than scrap merchandise, with a 400 basis point decline in gross margin to 16%.</w:t>
      </w:r>
    </w:p>
    <w:p>
      <w:pPr>
        <w:spacing w:after="0" w:line="1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 5% increase in net revenue turned into a 1% decrease in segment contribution primarily as a result of a $2.9 million reserve against a receivable balance deemed uncollectible from a refiner, in addition to a 3% increase in operations expense due to ordinary inflation of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Mexican pesos, Guatemalan quetzals, Honduran lempiras and Peruvian sols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currency as compared to U.S. dollars as of and for the three months ended December 31, 2018 and 2017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1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5160" w:type="dxa"/>
            <w:vAlign w:val="bottom"/>
          </w:tcPr>
          <w:p>
            <w:pPr>
              <w:spacing w:after="0"/>
              <w:rPr>
                <w:sz w:val="22"/>
                <w:szCs w:val="22"/>
                <w:color w:val="auto"/>
              </w:rPr>
            </w:pP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21"/>
        </w:trPr>
        <w:tc>
          <w:tcPr>
            <w:tcW w:w="5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Guatemalan quetzal</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Honduran lempira</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Peruvian sol</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3.2</w:t>
            </w:r>
          </w:p>
        </w:tc>
      </w:tr>
    </w:tbl>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Latin America Pawn segment, including constant currency results, after translation to U.S. dollars from its functional currencies noted above under “Results of Operations — Non-GAAP Financial Information.”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right"/>
              <w:ind w:right="672"/>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2018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2017 (GAAP)</w:t>
            </w: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2018 (Constant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Change (Constant</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Currency)</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right"/>
              <w:ind w:right="572"/>
              <w:spacing w:after="0"/>
              <w:rPr>
                <w:sz w:val="20"/>
                <w:szCs w:val="20"/>
                <w:color w:val="auto"/>
              </w:rPr>
            </w:pPr>
            <w:r>
              <w:rPr>
                <w:rFonts w:ascii="Arial" w:cs="Arial" w:eastAsia="Arial" w:hAnsi="Arial"/>
                <w:sz w:val="14"/>
                <w:szCs w:val="14"/>
                <w:i w:val="1"/>
                <w:iCs w:val="1"/>
                <w:color w:val="auto"/>
              </w:rPr>
              <w:t>(in USD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19,371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16,655</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20,259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22,094</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27,117</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7,015</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8,323</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3,688</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2,852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24,032</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28,822</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18,848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14,687</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19,712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845</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1,487</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8,500</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7,623</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segment loss (income) (a)</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1,201</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6,216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9,011</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6,422</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70,246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55,352</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70,971</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w w:val="94"/>
              </w:rPr>
              <w:t>Average monthly ending pawn loan balance per store (c)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(200)bps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(200)bps</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right="420" w:hanging="345"/>
        <w:spacing w:after="0" w:line="253"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Fiscal 2019 constant currency amount excludes $0.1 million of net GAAP basis foreign currency transaction gains resulting from movement in exchange rates. The net foreign currency transaction gains for fiscal 2018 were nominal and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the current quarter, we acquired five pawn stores in Mexico and opened four de novo stores. We see opportunity for further expansion in Latin America through de novo openings and acquisitions, and plan to open at least ten additional stores in Latin America during the remainder of fiscal 2019.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revenue increased $3.5 million, or 15% (up $4.8 million, or 20%, on a constant currency basis). The increase in net revenue attributable to same stores and new stores added since the prior-year quarter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Pawn service charges increased 16% (22% on a constant currency basis) primarily from newly acquired stores as well as continued same store growth. As a result and in addition to foreign currency impacts, the average ending monthly pawn loan balance outstanding during the current year was flat (up 4% on a constant currency basis).</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Merchandise sales increased 17% (23% on a constant currency basis) primarily from newly acquired stores as well as continued same store growth. Gross margin on merchandise sales was 31%, or 100 basis points below the prior-year quarter. As a result and in addition to foreign currency impacts, merchandise sales gross profit was up 13% to $8.0 million (19% to $8.3 million on a constant currency basis).</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Jewelry scrapping sales decreased 26% (23% on a constant currency basis) with a 200 basis point increase in margin, in-line with our strategy to sell rather than scrap merchandise.</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revenue increased 15% (20% on a constant currency basis). However, operations expense increased 28% (34% on a constant currency basis) as a result of increased staffing counts and wage costs of $1.6 million ($2.0 million on a constant currency basis), non-recurring charges of $0.5 million ($0.6 million on a constant currency basis) and ordinary inflation of other costs. Additionally, we recorded a $1.5 million reserve against a receivable and inventory balance deemed uncollectible from a refiner. These factors resulted in a decrease in segment contribution of 31% (29% on a constant currency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2,104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Equity in net loss (income) of unconsolidated affiliate</w:t>
            </w:r>
          </w:p>
        </w:tc>
        <w:tc>
          <w:tcPr>
            <w:tcW w:w="9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contribution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 in unconsolidated affiliate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13,274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segment expense (income)</w:t>
            </w:r>
          </w:p>
        </w:tc>
        <w:tc>
          <w:tcPr>
            <w:tcW w:w="9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contribution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$15.9 million, a decrease of $16.3 million from the prior-year quarter, primarily due to:</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in the amount of $13.3 million; and</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charge of $2.9 million included in our ordinary estimated share of earnings of $1.8 million from Cash Converters International for estimated charges relating to settlement of Queensland class action litigation in October 2018.</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Due to regulatory changes that became effective January 1, 2018, we added installment loan products in our Canada CASHMAX business to meet the needs of our customers. In addition to payday loans, all CASHMAX stores are now offering installment loans with terms ranging from six to 18 months and average yields of 47% per annum. We entered into a secured borrowing arrangement in November 2018 to provide up to CAD $25.0 million to fund originations of installment loans through November 2019 and have obtained $1.2 million in proceeds from the facility through December 31, 2018. See Note 6 of Notes to Interim Condensed Consolidated Financial Statements included in "Part I, Item 1 —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8"/>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37,158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(52)%</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2,032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8,690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5,846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19,792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7,437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12,748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Segment contribution decreased primarily due to impairment of our investment in Cash Converters International of $13.3 million, a $2.6 million decrease in earnings from Cash Converters International, a $2.8 million decrease in Latin America Pawn contribution and a $0.4 million decrease in U.S. Pawn contribution.</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Administrative expenses increased $2.2 million, or 16%, in the current quarter primarily due to costs of $2.1 million associated with the strategic investment in a new digital platform.</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increased $2.8 million, or 49%, primarily due to an increase in debt outstanding during the current quarter compared to the first quarter of fiscal 2018. Effective interest rates on our outstanding convertible debt were approximately 8% to 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$0.7 million, or 20%, primarily due to a decrease in notes receivable outstanding during the current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decreased $8.5 million due primarily to:</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$25.4 million decrease in income from continuing operations before income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lower maximum U.S. corporate rate of 21% compared to 24.5% in the prior-year quarter;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prior-year quarter charge related to the impacts of the U.S. Tax Cuts and Jobs Act of 2017;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elimination of benefits in the prior-year quarter for the expiration of statute of limitations on an uncertain tax position.</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19,252</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(68,332)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11,004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Cash and Cash Equivalents and Restricted Cash for the Three Months Ended December 31, 2018 vs. Three Months Ended December 31, 2017</w:t>
      </w:r>
    </w:p>
    <w:p>
      <w:pPr>
        <w:spacing w:after="0" w:line="19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increase in cash flows from operating activities year-over-year was due to a $4.2 million increase in net income exclusive of non-cash items due to operational results and stores acquired in the prior year, offset by a $0.7 million decrease from changes in operating assets and liabilities.</w:t>
      </w:r>
    </w:p>
    <w:p>
      <w:pPr>
        <w:spacing w:after="0" w:line="9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increase in cash flows from investing activities year-over-year was due to a $61.8 million decrease in cash paid for acquisitions, a $3.7 million decrease in additions to property and equipment and a $4.4 million decrease in principal collections on notes receivable, offset by a $9.9 million net decrease in proceeds related to loan activities (net loans repaid and recovery of pawn loan principal through sale of forfeited collateral).</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decrease in cash flows from financing activities year-over-year was due to a $3.0 million increase in cash paid for employee net share settlement of individual tax liabilities on vested share-based awards, offset by $0.7 million in net proceeds from borrowing.</w:t>
      </w:r>
    </w:p>
    <w:p>
      <w:pPr>
        <w:spacing w:after="0" w:line="11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net effect of these and other smaller items was a $11.0 million increase in cash on hand during the three months ended December 31, 2018, resulting in a $297.0 million ending cash balance compared to $113.6 million as of December 31, 2017. Of the ending cash balance as of December 31, 2018, $22.2 million was not available to fund domestic operations as we intend to permanently reinvest those earnings in our foreign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anticipate that cash flow from operations and cash on hand will be adequate to fund our contractual obligations, planned de novo store growth, capital expenditures and working capital requirements, as well as a limited amount of acquisitions, through fiscal 2019. Depending on the level of acquisition activity and other factors, our ability to repay our debt obligations, including the $195 million of convertible debt that matures in June 2019, may require us to refinance those obligations through the issuance of new debt securities, equity securities, convertible securities or through new credit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2018, we reported that we had $795.8 million in total contractual obligations as of September 30, 2018. There have been no material changes to this total obligation since September 30, 2018.</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2018, these collectively amounted to $22.4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2018, supplemented by those described in "Part II, Item 1A — Risk Factors" of this Quarterly 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2018. There have been no material changes to our exposure to market risks since September 30,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2018. Based on that evaluation, our Chief Executive Officer and Chief Financial Officer concluded that our disclosure controls and procedures were effective as of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2018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60" w:right="60" w:hanging="325"/>
        <w:spacing w:after="0" w:line="277"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320" w:hanging="325"/>
        <w:spacing w:after="0" w:line="277"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8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2018, as supplemented by the information set forth below.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a digital platform to provide transaction and lending services, and the commercialization of that platform, may not be successful.</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investing in the design and development of a digital platform to enhance our relationships with customers and provide them access to a broader and more targeted range of financial products and services. At this early stage, there can be no assurance that our efforts to develop and launch such a digital platform will be successful or, if launched, that the platform will be accepted by existing customers or attract new customers. Consequently, we may not realize the expected return on 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10000" w:type="dxa"/>
            <w:vAlign w:val="bottom"/>
            <w:gridSpan w:val="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3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FF"/>
            </w:tcBorders>
            <w:shd w:val="clear" w:color="auto" w:fill="CCEEFF"/>
          </w:tcPr>
          <w:p>
            <w:pPr>
              <w:jc w:val="center"/>
              <w:spacing w:after="0" w:line="202" w:lineRule="exact"/>
              <w:rPr>
                <w:rFonts w:ascii="Arial" w:cs="Arial" w:eastAsia="Arial" w:hAnsi="Arial"/>
                <w:sz w:val="18"/>
                <w:szCs w:val="18"/>
                <w:color w:val="0000FF"/>
                <w:w w:val="93"/>
              </w:rPr>
            </w:pPr>
            <w:hyperlink w:anchor="page36">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w:t>
              </w:r>
            </w:hyperlink>
          </w:p>
        </w:tc>
        <w:tc>
          <w:tcPr>
            <w:tcW w:w="540" w:type="dxa"/>
            <w:vAlign w:val="bottom"/>
            <w:tcBorders>
              <w:bottom w:val="single" w:sz="8" w:color="CCEEFF"/>
            </w:tcBorders>
            <w:gridSpan w:val="3"/>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Certification of Stuart I. Grimshaw, Chief Executive Officer, pursuant to Rule 13a-14(a) under the Securities Exchange Act of 1934, as</w:t>
              </w:r>
            </w:hyperlink>
          </w:p>
        </w:tc>
        <w:tc>
          <w:tcPr>
            <w:tcW w:w="280" w:type="dxa"/>
            <w:vAlign w:val="bottom"/>
            <w:tcBorders>
              <w:bottom w:val="single" w:sz="8" w:color="CCEEFF"/>
            </w:tcBorders>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adopted pursuant to Section 302 of the Sarbanes-Oxley Act of 2002</w:t>
              </w:r>
            </w:hyperlink>
          </w:p>
        </w:tc>
        <w:tc>
          <w:tcPr>
            <w:tcW w:w="512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center"/>
              <w:spacing w:after="0" w:line="202" w:lineRule="exact"/>
              <w:rPr>
                <w:rFonts w:ascii="Arial" w:cs="Arial" w:eastAsia="Arial" w:hAnsi="Arial"/>
                <w:sz w:val="18"/>
                <w:szCs w:val="18"/>
                <w:color w:val="0000FF"/>
                <w:w w:val="93"/>
              </w:rPr>
            </w:pPr>
            <w:hyperlink w:anchor="page37">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hyperlink>
          </w:p>
        </w:tc>
        <w:tc>
          <w:tcPr>
            <w:tcW w:w="5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202" w:lineRule="exact"/>
              <w:rPr>
                <w:rFonts w:ascii="Arial" w:cs="Arial" w:eastAsia="Arial" w:hAnsi="Arial"/>
                <w:sz w:val="18"/>
                <w:szCs w:val="18"/>
                <w:color w:val="0000FF"/>
                <w:w w:val="96"/>
              </w:rPr>
            </w:pPr>
            <w:hyperlink w:anchor="page37">
              <w:r>
                <w:rPr>
                  <w:rFonts w:ascii="Arial" w:cs="Arial" w:eastAsia="Arial" w:hAnsi="Arial"/>
                  <w:sz w:val="18"/>
                  <w:szCs w:val="18"/>
                  <w:color w:val="0000FF"/>
                  <w:w w:val="96"/>
                </w:rPr>
                <w:t>Certification of Daniel M. Chism, Chief Financial Officer, pursuant to Rule 13a-14(a) under the Securities Exchange Act of 1934, as</w:t>
              </w:r>
            </w:hyperlink>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adopted pursuant to Section 302 of the Sarbanes-Oxley Act of 2002</w:t>
              </w:r>
            </w:hyperlink>
          </w:p>
        </w:tc>
        <w:tc>
          <w:tcPr>
            <w:tcW w:w="460" w:type="dxa"/>
            <w:vAlign w:val="bottom"/>
            <w:gridSpan w:val="2"/>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8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FF"/>
            </w:tcBorders>
            <w:gridSpan w:val="3"/>
            <w:shd w:val="clear" w:color="auto" w:fill="CCEEFF"/>
          </w:tcPr>
          <w:p>
            <w:pPr>
              <w:jc w:val="center"/>
              <w:spacing w:after="0" w:line="202"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Certifications of Stuart I. Grimshaw, Chief Executive Officer, and Daniel M. Chism, Chief Financial Officer, pursuant to 18 U.S.C.</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r>
      <w:tr>
        <w:trPr>
          <w:trHeight w:val="244"/>
        </w:trPr>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Section 1350, as adopted pursuant to Section 906 of the Sarbanes-Oxley Act of 2002</w:t>
              </w:r>
            </w:hyperlink>
          </w:p>
        </w:tc>
      </w:tr>
      <w:tr>
        <w:trPr>
          <w:trHeight w:val="243"/>
        </w:trPr>
        <w:tc>
          <w:tcPr>
            <w:tcW w:w="1380" w:type="dxa"/>
            <w:vAlign w:val="bottom"/>
            <w:tcBorders>
              <w:top w:val="single" w:sz="8" w:color="CCEEFF"/>
            </w:tcBorders>
            <w:gridSpan w:val="6"/>
          </w:tcPr>
          <w:p>
            <w:pPr>
              <w:jc w:val="center"/>
              <w:ind w:right="120"/>
              <w:spacing w:after="0"/>
              <w:rPr>
                <w:sz w:val="20"/>
                <w:szCs w:val="20"/>
                <w:color w:val="auto"/>
              </w:rPr>
            </w:pPr>
            <w:r>
              <w:rPr>
                <w:rFonts w:ascii="Arial" w:cs="Arial" w:eastAsia="Arial" w:hAnsi="Arial"/>
                <w:sz w:val="18"/>
                <w:szCs w:val="18"/>
                <w:color w:val="auto"/>
                <w:w w:val="90"/>
              </w:rPr>
              <w:t>101.INS†††</w:t>
            </w:r>
          </w:p>
        </w:tc>
        <w:tc>
          <w:tcPr>
            <w:tcW w:w="40" w:type="dxa"/>
            <w:vAlign w:val="bottom"/>
            <w:tcBorders>
              <w:top w:val="single" w:sz="8" w:color="CCEEFF"/>
            </w:tcBorders>
          </w:tcPr>
          <w:p>
            <w:pPr>
              <w:spacing w:after="0"/>
              <w:rPr>
                <w:sz w:val="21"/>
                <w:szCs w:val="21"/>
                <w:color w:val="auto"/>
              </w:rPr>
            </w:pPr>
          </w:p>
        </w:tc>
        <w:tc>
          <w:tcPr>
            <w:tcW w:w="61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3900" w:type="dxa"/>
            <w:vAlign w:val="bottom"/>
            <w:tcBorders>
              <w:top w:val="single" w:sz="8" w:color="CCEEFF"/>
            </w:tcBorders>
            <w:gridSpan w:val="4"/>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3"/>
              </w:rPr>
              <w:t>101.CAL†††</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101.LAB†††</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43"/>
        </w:trPr>
        <w:tc>
          <w:tcPr>
            <w:tcW w:w="1380" w:type="dxa"/>
            <w:vAlign w:val="bottom"/>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260" w:hanging="465"/>
        <w:spacing w:after="0" w:line="293"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2018, December 31, 2017 and September 30, 2018; (ii) Condensed Consolidated Statements of Operations for the three months ended December 31, 2018 and December 31, 2017; (iii) Condensed Consolidated Statements of Comprehensive (Loss) Income for the three months ended December 31, 2018 and December 31, 2017; (iv) Condensed Consolidated Statements of Stockholders' Equity for the three months ended December 31, 2018 and December 31, 2017; (v) Condensed Consolidated Statements of Cash Flows for the three months ended December 31, 2018 and December 31, 2017; and (vi) Notes to Interim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January 30, 2019</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122"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January 30, 2019</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Daniel M. Chism,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17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January 30, 2019</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Daniel M. Chism</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Certifications of Stuart I. Grimshaw, Chief Executive Officer, and Daniel M. Chism,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December 31, 2018,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Date: January 30, 2019</w:t>
            </w:r>
          </w:p>
        </w:tc>
        <w:tc>
          <w:tcPr>
            <w:tcW w:w="3640" w:type="dxa"/>
            <w:vAlign w:val="bottom"/>
          </w:tcPr>
          <w:p>
            <w:pPr>
              <w:ind w:left="20"/>
              <w:spacing w:after="0"/>
              <w:rPr>
                <w:sz w:val="20"/>
                <w:szCs w:val="20"/>
                <w:color w:val="auto"/>
              </w:rPr>
            </w:pPr>
            <w:r>
              <w:rPr>
                <w:rFonts w:ascii="Arial" w:cs="Arial" w:eastAsia="Arial" w:hAnsi="Arial"/>
                <w:sz w:val="18"/>
                <w:szCs w:val="18"/>
                <w:color w:val="auto"/>
              </w:rPr>
              <w:t>/s/ Stuart I. Grimshaw</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750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7500" w:type="dxa"/>
            <w:vAlign w:val="bottom"/>
          </w:tcPr>
          <w:p>
            <w:pPr>
              <w:spacing w:after="0"/>
              <w:rPr>
                <w:sz w:val="20"/>
                <w:szCs w:val="20"/>
                <w:color w:val="auto"/>
              </w:rPr>
            </w:pPr>
            <w:r>
              <w:rPr>
                <w:rFonts w:ascii="Arial" w:cs="Arial" w:eastAsia="Arial" w:hAnsi="Arial"/>
                <w:sz w:val="18"/>
                <w:szCs w:val="18"/>
                <w:color w:val="auto"/>
              </w:rPr>
              <w:t>Date: January 30, 2019</w:t>
            </w:r>
          </w:p>
        </w:tc>
        <w:tc>
          <w:tcPr>
            <w:tcW w:w="3640" w:type="dxa"/>
            <w:vAlign w:val="bottom"/>
          </w:tcPr>
          <w:p>
            <w:pPr>
              <w:ind w:left="20"/>
              <w:spacing w:after="0"/>
              <w:rPr>
                <w:sz w:val="20"/>
                <w:szCs w:val="20"/>
                <w:color w:val="auto"/>
              </w:rPr>
            </w:pPr>
            <w:r>
              <w:rPr>
                <w:rFonts w:ascii="Arial" w:cs="Arial" w:eastAsia="Arial" w:hAnsi="Arial"/>
                <w:sz w:val="18"/>
                <w:szCs w:val="18"/>
                <w:color w:val="auto"/>
              </w:rPr>
              <w:t>/s/ Daniel M. Chism</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Daniel M. Chism</w:t>
            </w:r>
          </w:p>
        </w:tc>
      </w:tr>
      <w:tr>
        <w:trPr>
          <w:trHeight w:val="432"/>
        </w:trPr>
        <w:tc>
          <w:tcPr>
            <w:tcW w:w="750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emdash "/>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emdash "/>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2020-01-10T04:41:05Z</dcterms:created>
  <dcterms:modified xsi:type="dcterms:W3CDTF">2020-01-10T04:41:05Z</dcterms:modified>
</cp:coreProperties>
</file>