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center"/>
        <w:rPr>
          <w:rFonts w:ascii="inherit" w:hAnsi="inherit"/>
          <w:b/>
          <w:sz w:val="17"/>
        </w:rPr>
      </w:pPr>
      <w:bookmarkStart w:id="0" w:name="sc0d5c9157ec04c20a4ed371885e8b7fc"/>
      <w:bookmarkStart w:id="1" w:name="ezcorp-2006ipxpostxeffecti.htm"/>
      <w:bookmarkStart w:id="2" w:name="ksezcorp2006ipxpostxeffecti"/>
      <w:bookmarkEnd w:id="0"/>
      <w:bookmarkEnd w:id="1"/>
      <w:bookmarkEnd w:id="2"/>
      <w:r>
        <w:rPr>
          <w:rFonts w:ascii="inherit" w:hAnsi="inherit"/>
          <w:b/>
          <w:sz w:val="17"/>
        </w:rPr>
        <w:t>As filed with the Securities and Exchange Commission on October 4, 2013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right"/>
        <w:rPr>
          <w:rFonts w:ascii="inherit" w:hAnsi="inherit"/>
          <w:b/>
          <w:sz w:val="17"/>
        </w:rPr>
      </w:pPr>
      <w:r>
        <w:rPr>
          <w:rFonts w:ascii="inherit" w:hAnsi="inherit"/>
          <w:b/>
          <w:sz w:val="17"/>
        </w:rPr>
        <w:t xml:space="preserve">Registration No. 333-140492 </w:t>
      </w:r>
    </w:p>
    <w:tbl>
      <w:tblPr>
        <w:tblW w:w="525" w:type="dxa"/>
        <w:jc w:val="left"/>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27"/>
        </w:rPr>
      </w:pPr>
      <w:r>
        <w:rPr>
          <w:rFonts w:ascii="inherit" w:hAnsi="inherit"/>
          <w:sz w:val="27"/>
        </w:rPr>
      </w:r>
    </w:p>
    <w:p>
      <w:pPr>
        <w:pStyle w:val="TextBody"/>
        <w:spacing w:lineRule="auto" w:line="288" w:before="0" w:after="0"/>
        <w:jc w:val="center"/>
        <w:rPr>
          <w:rFonts w:ascii="inherit" w:hAnsi="inherit"/>
          <w:b/>
          <w:sz w:val="27"/>
        </w:rPr>
      </w:pPr>
      <w:r>
        <w:rPr>
          <w:rFonts w:ascii="inherit" w:hAnsi="inherit"/>
          <w:b/>
          <w:sz w:val="27"/>
        </w:rPr>
        <w:t>UNITED STATES</w:t>
      </w:r>
    </w:p>
    <w:p>
      <w:pPr>
        <w:pStyle w:val="TextBody"/>
        <w:spacing w:lineRule="auto" w:line="288" w:before="0" w:after="0"/>
        <w:jc w:val="center"/>
        <w:rPr>
          <w:rFonts w:ascii="inherit" w:hAnsi="inherit"/>
          <w:b/>
          <w:sz w:val="27"/>
        </w:rPr>
      </w:pPr>
      <w:r>
        <w:rPr>
          <w:rFonts w:ascii="inherit" w:hAnsi="inherit"/>
          <w:b/>
          <w:sz w:val="27"/>
        </w:rPr>
        <w:t>SECURITIES AND EXCHANGE COMMISSION</w:t>
      </w:r>
    </w:p>
    <w:p>
      <w:pPr>
        <w:pStyle w:val="TextBody"/>
        <w:spacing w:lineRule="auto" w:line="288" w:before="0" w:after="0"/>
        <w:jc w:val="center"/>
        <w:rPr>
          <w:rFonts w:ascii="inherit" w:hAnsi="inherit"/>
          <w:b/>
          <w:sz w:val="27"/>
        </w:rPr>
      </w:pPr>
      <w:r>
        <w:rPr>
          <w:rFonts w:ascii="inherit" w:hAnsi="inherit"/>
          <w:b/>
          <w:sz w:val="27"/>
        </w:rPr>
        <w:t>Washington, D.C. 20549</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33"/>
        </w:rPr>
      </w:pPr>
      <w:r>
        <w:rPr>
          <w:rFonts w:ascii="inherit" w:hAnsi="inherit"/>
          <w:b/>
          <w:sz w:val="33"/>
        </w:rPr>
        <w:t>POST-EFFECTIVE AMENDMENT NO. 2</w:t>
      </w:r>
    </w:p>
    <w:p>
      <w:pPr>
        <w:pStyle w:val="TextBody"/>
        <w:spacing w:lineRule="auto" w:line="288" w:before="0" w:after="0"/>
        <w:jc w:val="center"/>
        <w:rPr>
          <w:rFonts w:ascii="inherit" w:hAnsi="inherit"/>
          <w:b/>
          <w:sz w:val="33"/>
        </w:rPr>
      </w:pPr>
      <w:r>
        <w:rPr>
          <w:rFonts w:ascii="inherit" w:hAnsi="inherit"/>
          <w:b/>
          <w:sz w:val="33"/>
        </w:rPr>
        <w:t>TO</w:t>
      </w:r>
    </w:p>
    <w:p>
      <w:pPr>
        <w:pStyle w:val="TextBody"/>
        <w:spacing w:lineRule="auto" w:line="288" w:before="0" w:after="0"/>
        <w:jc w:val="center"/>
        <w:rPr>
          <w:rFonts w:ascii="inherit" w:hAnsi="inherit"/>
          <w:b/>
          <w:sz w:val="33"/>
        </w:rPr>
      </w:pPr>
      <w:r>
        <w:rPr>
          <w:rFonts w:ascii="inherit" w:hAnsi="inherit"/>
          <w:b/>
          <w:sz w:val="33"/>
        </w:rPr>
        <w:t>FORM S-8</w:t>
      </w:r>
    </w:p>
    <w:p>
      <w:pPr>
        <w:pStyle w:val="TextBody"/>
        <w:spacing w:lineRule="auto" w:line="288" w:before="0" w:after="0"/>
        <w:jc w:val="center"/>
        <w:rPr>
          <w:rFonts w:ascii="inherit" w:hAnsi="inherit"/>
          <w:b/>
          <w:sz w:val="23"/>
        </w:rPr>
      </w:pPr>
      <w:r>
        <w:rPr>
          <w:rFonts w:ascii="inherit" w:hAnsi="inherit"/>
          <w:b/>
          <w:sz w:val="23"/>
        </w:rPr>
        <w:t>REGISTRATION STATEMENT UNDER</w:t>
      </w:r>
    </w:p>
    <w:p>
      <w:pPr>
        <w:pStyle w:val="TextBody"/>
        <w:spacing w:lineRule="auto" w:line="288" w:before="0" w:after="0"/>
        <w:jc w:val="center"/>
        <w:rPr>
          <w:rFonts w:ascii="inherit" w:hAnsi="inherit"/>
          <w:b/>
          <w:sz w:val="23"/>
        </w:rPr>
      </w:pPr>
      <w:r>
        <w:rPr>
          <w:rFonts w:ascii="inherit" w:hAnsi="inherit"/>
          <w:b/>
          <w:sz w:val="23"/>
        </w:rPr>
        <w:t>THE SECURITIES ACT OF 1933</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tbl>
      <w:tblPr>
        <w:tblW w:w="7974" w:type="dxa"/>
        <w:jc w:val="left"/>
        <w:tblInd w:w="0" w:type="dxa"/>
        <w:tblCellMar>
          <w:top w:w="0" w:type="dxa"/>
          <w:left w:w="0" w:type="dxa"/>
          <w:bottom w:w="0" w:type="dxa"/>
          <w:right w:w="0" w:type="dxa"/>
        </w:tblCellMar>
      </w:tblPr>
      <w:tblGrid>
        <w:gridCol w:w="3987"/>
        <w:gridCol w:w="3987"/>
      </w:tblGrid>
      <w:tr>
        <w:trPr/>
        <w:tc>
          <w:tcPr>
            <w:tcW w:w="7974" w:type="dxa"/>
            <w:gridSpan w:val="2"/>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center"/>
          </w:tcPr>
          <w:p>
            <w:pPr>
              <w:pStyle w:val="TableContents"/>
              <w:spacing w:before="0" w:after="283"/>
              <w:rPr>
                <w:sz w:val="4"/>
                <w:szCs w:val="4"/>
              </w:rPr>
            </w:pPr>
            <w:r>
              <w:rPr>
                <w:sz w:val="4"/>
                <w:szCs w:val="4"/>
              </w:rPr>
            </w:r>
          </w:p>
        </w:tc>
        <w:tc>
          <w:tcPr>
            <w:tcW w:w="39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jc w:val="center"/>
              <w:rPr>
                <w:rFonts w:ascii="inherit" w:hAnsi="inherit"/>
                <w:sz w:val="13"/>
              </w:rPr>
            </w:pPr>
            <w:r>
              <w:rPr>
                <w:rFonts w:ascii="inherit" w:hAnsi="inherit"/>
                <w:sz w:val="13"/>
              </w:rPr>
              <w:t>(State or other jurisdiction</w:t>
            </w:r>
          </w:p>
          <w:p>
            <w:pPr>
              <w:pStyle w:val="TableContents"/>
              <w:spacing w:before="0" w:after="0"/>
              <w:ind w:left="0" w:right="0" w:firstLine="30"/>
              <w:jc w:val="center"/>
              <w:rPr>
                <w:rFonts w:ascii="inherit" w:hAnsi="inherit"/>
                <w:sz w:val="13"/>
              </w:rPr>
            </w:pPr>
            <w:r>
              <w:rPr>
                <w:rFonts w:ascii="inherit" w:hAnsi="inherit"/>
                <w:sz w:val="13"/>
              </w:rPr>
              <w:t>of incorporation or organization)</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74-2540145</w:t>
            </w:r>
          </w:p>
          <w:p>
            <w:pPr>
              <w:pStyle w:val="TableContents"/>
              <w:spacing w:before="0" w:after="0"/>
              <w:jc w:val="center"/>
              <w:rPr/>
            </w:pPr>
            <w:r>
              <w:rPr/>
              <w:t> </w:t>
            </w:r>
            <w:r>
              <w:rPr>
                <w:rFonts w:ascii="inherit" w:hAnsi="inherit"/>
                <w:sz w:val="13"/>
              </w:rPr>
              <w:t>(I.R.S. Employer</w:t>
            </w:r>
          </w:p>
          <w:p>
            <w:pPr>
              <w:pStyle w:val="TableContents"/>
              <w:spacing w:before="0" w:after="0"/>
              <w:ind w:left="0" w:right="0" w:firstLine="30"/>
              <w:jc w:val="center"/>
              <w:rPr>
                <w:rFonts w:ascii="inherit" w:hAnsi="inherit"/>
                <w:sz w:val="13"/>
              </w:rPr>
            </w:pPr>
            <w:r>
              <w:rPr>
                <w:rFonts w:ascii="inherit" w:hAnsi="inherit"/>
                <w:sz w:val="13"/>
              </w:rPr>
              <w:t>Identification Number)</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jc w:val="center"/>
              <w:rPr>
                <w:rFonts w:ascii="inherit" w:hAnsi="inherit"/>
                <w:b/>
                <w:sz w:val="13"/>
              </w:rPr>
            </w:pPr>
            <w:r>
              <w:rPr>
                <w:rFonts w:ascii="inherit" w:hAnsi="inherit"/>
                <w:b/>
                <w:sz w:val="13"/>
              </w:rPr>
              <w:t xml:space="preserve">Austin, Texas </w:t>
            </w:r>
          </w:p>
          <w:p>
            <w:pPr>
              <w:pStyle w:val="TableContents"/>
              <w:spacing w:before="0" w:after="0"/>
              <w:ind w:left="0" w:right="0" w:firstLine="30"/>
              <w:jc w:val="center"/>
              <w:rPr>
                <w:rFonts w:ascii="inherit" w:hAnsi="inherit"/>
                <w:sz w:val="13"/>
              </w:rPr>
            </w:pPr>
            <w:r>
              <w:rPr>
                <w:rFonts w:ascii="inherit" w:hAnsi="inherit"/>
                <w:sz w:val="13"/>
              </w:rPr>
              <w:t>(Address of principal executive offices)</w:t>
            </w:r>
          </w:p>
        </w:tc>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r>
          </w:p>
          <w:p>
            <w:pPr>
              <w:pStyle w:val="TableContents"/>
              <w:spacing w:before="0" w:after="0"/>
              <w:jc w:val="center"/>
              <w:rPr>
                <w:rFonts w:ascii="inherit" w:hAnsi="inherit"/>
                <w:b/>
                <w:sz w:val="13"/>
              </w:rPr>
            </w:pPr>
            <w:r>
              <w:rPr>
                <w:rFonts w:ascii="inherit" w:hAnsi="inherit"/>
                <w:b/>
                <w:sz w:val="13"/>
              </w:rPr>
              <w:t>78746</w:t>
            </w:r>
          </w:p>
          <w:p>
            <w:pPr>
              <w:pStyle w:val="TableContents"/>
              <w:spacing w:before="0" w:after="0"/>
              <w:ind w:left="0" w:right="0" w:firstLine="30"/>
              <w:jc w:val="center"/>
              <w:rPr>
                <w:rFonts w:ascii="inherit" w:hAnsi="inherit"/>
                <w:sz w:val="13"/>
              </w:rPr>
            </w:pPr>
            <w:r>
              <w:rPr>
                <w:rFonts w:ascii="inherit" w:hAnsi="inherit"/>
                <w:sz w:val="13"/>
              </w:rPr>
              <w:t>(Zip code)</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jc w:val="center"/>
              <w:rPr>
                <w:rFonts w:ascii="inherit" w:hAnsi="inherit"/>
                <w:b/>
                <w:sz w:val="17"/>
              </w:rPr>
            </w:pPr>
            <w:r>
              <w:rPr>
                <w:rFonts w:ascii="inherit" w:hAnsi="inherit"/>
                <w:b/>
                <w:sz w:val="17"/>
              </w:rPr>
              <w:t>EZCORP, INC. 2006 INCENTIVE PLAN</w:t>
            </w:r>
          </w:p>
          <w:p>
            <w:pPr>
              <w:pStyle w:val="TableContents"/>
              <w:spacing w:before="0" w:after="0"/>
              <w:ind w:left="0" w:right="0" w:firstLine="30"/>
              <w:jc w:val="center"/>
              <w:rPr>
                <w:rFonts w:ascii="inherit" w:hAnsi="inherit"/>
                <w:sz w:val="13"/>
              </w:rPr>
            </w:pPr>
            <w:r>
              <w:rPr>
                <w:rFonts w:ascii="inherit" w:hAnsi="inherit"/>
                <w:sz w:val="13"/>
              </w:rPr>
              <w:t>(Full title of the plan)</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t>Name and address</w:t>
            </w:r>
          </w:p>
          <w:p>
            <w:pPr>
              <w:pStyle w:val="TableContents"/>
              <w:spacing w:before="0" w:after="0"/>
              <w:ind w:left="0" w:right="0" w:firstLine="30"/>
              <w:jc w:val="center"/>
              <w:rPr>
                <w:rFonts w:ascii="inherit" w:hAnsi="inherit"/>
                <w:sz w:val="13"/>
              </w:rPr>
            </w:pPr>
            <w:r>
              <w:rPr>
                <w:rFonts w:ascii="inherit" w:hAnsi="inherit"/>
                <w:sz w:val="13"/>
              </w:rPr>
              <w:t>of agent for service:</w:t>
            </w:r>
          </w:p>
        </w:tc>
        <w:tc>
          <w:tcPr>
            <w:tcW w:w="3987"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Copy of communications to:</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Thomas H. Welch, Jr.</w:t>
            </w:r>
          </w:p>
          <w:p>
            <w:pPr>
              <w:pStyle w:val="TableContents"/>
              <w:spacing w:before="0" w:after="0"/>
              <w:jc w:val="center"/>
              <w:rPr>
                <w:rFonts w:ascii="inherit" w:hAnsi="inherit"/>
                <w:b/>
                <w:sz w:val="13"/>
              </w:rPr>
            </w:pPr>
            <w:r>
              <w:rPr>
                <w:rFonts w:ascii="inherit" w:hAnsi="inherit"/>
                <w:b/>
                <w:sz w:val="13"/>
              </w:rPr>
              <w:t>Senior Vice President, General Counsel and Secretary</w:t>
            </w:r>
          </w:p>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ind w:left="0" w:right="0" w:firstLine="30"/>
              <w:jc w:val="center"/>
              <w:rPr>
                <w:rFonts w:ascii="inherit" w:hAnsi="inherit"/>
                <w:b/>
                <w:sz w:val="13"/>
              </w:rPr>
            </w:pPr>
            <w:r>
              <w:rPr>
                <w:rFonts w:ascii="inherit" w:hAnsi="inherit"/>
                <w:b/>
                <w:sz w:val="13"/>
              </w:rPr>
              <w:t>Austin, Texas 78746</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Christine A. Hathaway</w:t>
            </w:r>
          </w:p>
          <w:p>
            <w:pPr>
              <w:pStyle w:val="TableContents"/>
              <w:spacing w:before="0" w:after="0"/>
              <w:jc w:val="center"/>
              <w:rPr>
                <w:rFonts w:ascii="inherit" w:hAnsi="inherit"/>
                <w:b/>
                <w:sz w:val="13"/>
              </w:rPr>
            </w:pPr>
            <w:r>
              <w:rPr>
                <w:rFonts w:ascii="inherit" w:hAnsi="inherit"/>
                <w:b/>
                <w:sz w:val="13"/>
              </w:rPr>
              <w:t>Vinson &amp; Elkins L.L.P.</w:t>
            </w:r>
          </w:p>
          <w:p>
            <w:pPr>
              <w:pStyle w:val="TableContents"/>
              <w:spacing w:before="0" w:after="0"/>
              <w:jc w:val="center"/>
              <w:rPr>
                <w:rFonts w:ascii="inherit" w:hAnsi="inherit"/>
                <w:b/>
                <w:sz w:val="13"/>
              </w:rPr>
            </w:pPr>
            <w:r>
              <w:rPr>
                <w:rFonts w:ascii="inherit" w:hAnsi="inherit"/>
                <w:b/>
                <w:sz w:val="13"/>
              </w:rPr>
              <w:t>2001 Ross Avenue, Suite 3700</w:t>
            </w:r>
          </w:p>
          <w:p>
            <w:pPr>
              <w:pStyle w:val="TableContents"/>
              <w:spacing w:before="0" w:after="0"/>
              <w:jc w:val="center"/>
              <w:rPr>
                <w:rFonts w:ascii="inherit" w:hAnsi="inherit"/>
                <w:b/>
                <w:sz w:val="13"/>
              </w:rPr>
            </w:pPr>
            <w:r>
              <w:rPr>
                <w:rFonts w:ascii="inherit" w:hAnsi="inherit"/>
                <w:b/>
                <w:sz w:val="13"/>
              </w:rPr>
              <w:t>Dallas, Texas 75201-2975</w:t>
            </w:r>
          </w:p>
          <w:p>
            <w:pPr>
              <w:pStyle w:val="TableContents"/>
              <w:spacing w:before="0" w:after="0"/>
              <w:jc w:val="center"/>
              <w:rPr>
                <w:rFonts w:ascii="inherit" w:hAnsi="inherit"/>
                <w:b/>
                <w:sz w:val="13"/>
              </w:rPr>
            </w:pPr>
            <w:r>
              <w:rPr>
                <w:rFonts w:ascii="inherit" w:hAnsi="inherit"/>
                <w:b/>
                <w:sz w:val="13"/>
              </w:rPr>
              <w:t>214-220-7700</w:t>
            </w:r>
          </w:p>
          <w:p>
            <w:pPr>
              <w:pStyle w:val="TableContents"/>
              <w:spacing w:before="0" w:after="0"/>
              <w:ind w:left="0" w:right="0" w:firstLine="30"/>
              <w:jc w:val="center"/>
              <w:rPr>
                <w:rFonts w:ascii="inherit" w:hAnsi="inherit"/>
                <w:sz w:val="13"/>
              </w:rPr>
            </w:pPr>
            <w:r>
              <w:rPr>
                <w:rFonts w:ascii="inherit" w:hAnsi="inherit"/>
                <w:sz w:val="13"/>
              </w:rPr>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Telephone number, including area code, of agent for service:</w:t>
            </w:r>
          </w:p>
        </w:tc>
      </w:tr>
      <w:tr>
        <w:trPr/>
        <w:tc>
          <w:tcPr>
            <w:tcW w:w="7974"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(512) 314-3400</w:t>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left"/>
        <w:rPr>
          <w:rFonts w:ascii="inherit" w:hAnsi="inherit"/>
          <w:sz w:val="17"/>
        </w:rPr>
      </w:pPr>
      <w:r>
        <w:rPr>
          <w:rFonts w:ascii="inherit" w:hAnsi="inherit"/>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jc w:val="left"/>
        <w:rPr>
          <w:sz w:val="13"/>
        </w:rPr>
      </w:pPr>
      <w:r>
        <w:rPr>
          <w:rFonts w:ascii="inherit" w:hAnsi="inherit"/>
          <w:sz w:val="13"/>
        </w:rPr>
        <w:t>Large accelerated filer    </w:t>
      </w:r>
      <w:r>
        <w:rPr>
          <w:rFonts w:ascii="Wingdings" w:hAnsi="Wingdings"/>
          <w:sz w:val="13"/>
        </w:rPr>
        <w:t>x</w:t>
      </w:r>
      <w:r>
        <w:rPr>
          <w:sz w:val="13"/>
        </w:rPr>
        <w:t>    </w:t>
      </w:r>
      <w:r>
        <w:rPr>
          <w:rFonts w:ascii="inherit" w:hAnsi="inherit"/>
          <w:sz w:val="13"/>
        </w:rPr>
        <w:t>Accelerated filer    </w:t>
      </w:r>
      <w:r>
        <w:rPr>
          <w:rFonts w:ascii="Wingdings" w:hAnsi="Wingdings"/>
          <w:sz w:val="13"/>
        </w:rPr>
        <w:t>o</w:t>
      </w:r>
      <w:r>
        <w:rPr>
          <w:sz w:val="13"/>
        </w:rPr>
        <w:t>    </w:t>
      </w:r>
      <w:r>
        <w:rPr>
          <w:rFonts w:ascii="inherit" w:hAnsi="inherit"/>
          <w:sz w:val="13"/>
        </w:rPr>
        <w:t>Non-accelerated filer    </w:t>
      </w:r>
      <w:r>
        <w:rPr>
          <w:rFonts w:ascii="Wingdings" w:hAnsi="Wingdings"/>
          <w:sz w:val="13"/>
        </w:rPr>
        <w:t>o</w:t>
      </w:r>
      <w:r>
        <w:rPr>
          <w:sz w:val="13"/>
        </w:rPr>
        <w:t>    </w:t>
      </w:r>
      <w:r>
        <w:rPr>
          <w:rFonts w:ascii="inherit" w:hAnsi="inherit"/>
          <w:sz w:val="13"/>
        </w:rPr>
        <w:t>Smaller reporting company    </w:t>
      </w:r>
      <w:r>
        <w:rPr>
          <w:rFonts w:ascii="Wingdings" w:hAnsi="Wingdings"/>
          <w:sz w:val="13"/>
        </w:rPr>
        <w:t>o</w:t>
      </w:r>
    </w:p>
    <w:p>
      <w:pPr>
        <w:pStyle w:val="TextBody"/>
        <w:spacing w:lineRule="auto" w:line="288" w:before="0" w:after="0"/>
        <w:ind w:left="0" w:right="0" w:firstLine="4080"/>
        <w:jc w:val="left"/>
        <w:rPr>
          <w:rFonts w:ascii="inherit" w:hAnsi="inherit"/>
          <w:sz w:val="12"/>
        </w:rPr>
      </w:pPr>
      <w:r>
        <w:rPr>
          <w:rFonts w:ascii="inherit" w:hAnsi="inherit"/>
          <w:sz w:val="12"/>
        </w:rPr>
        <w:t>(Do not check if a smaller reporting company)</w:t>
      </w:r>
    </w:p>
    <w:p>
      <w:pPr>
        <w:pStyle w:val="TextBody"/>
        <w:spacing w:before="0" w:after="0"/>
        <w:rPr/>
      </w:pPr>
      <w:r>
        <w:rPr/>
      </w:r>
    </w:p>
    <w:p>
      <w:pPr>
        <w:pStyle w:val="TextBody"/>
        <w:spacing w:lineRule="auto" w:line="288" w:before="0" w:after="0"/>
        <w:ind w:left="0" w:right="0" w:firstLine="450"/>
        <w:jc w:val="left"/>
        <w:rPr>
          <w:rFonts w:ascii="inherit" w:hAnsi="inherit"/>
          <w:sz w:val="15"/>
        </w:rPr>
      </w:pPr>
      <w:r>
        <w:rPr>
          <w:rFonts w:ascii="inherit" w:hAnsi="inherit"/>
          <w:sz w:val="15"/>
        </w:rPr>
        <w:t>US 2104041v.9</w:t>
      </w:r>
    </w:p>
    <w:p>
      <w:pPr>
        <w:pStyle w:val="TextBody"/>
        <w:spacing w:lineRule="auto" w:line="288"/>
        <w:rPr>
          <w:rFonts w:ascii="inherit" w:hAnsi="inherit"/>
          <w:sz w:val="17"/>
        </w:rPr>
      </w:pPr>
      <w:r>
        <w:rPr>
          <w:rFonts w:ascii="inherit" w:hAnsi="inherit"/>
          <w:sz w:val="17"/>
        </w:rPr>
      </w:r>
      <w:r>
        <w:br w:type="page"/>
      </w:r>
    </w:p>
    <w:p>
      <w:pPr>
        <w:pStyle w:val="TextBody"/>
        <w:spacing w:before="0" w:after="0"/>
        <w:rPr/>
      </w:pPr>
      <w:r>
        <w:rPr/>
      </w:r>
      <w:bookmarkStart w:id="3" w:name="s61534b6e50cc46bfb0f40f9144e6c240"/>
      <w:bookmarkStart w:id="4" w:name="s61534b6e50cc46bfb0f40f9144e6c240"/>
      <w:bookmarkEnd w:id="4"/>
    </w:p>
    <w:p>
      <w:pPr>
        <w:pStyle w:val="TextBody"/>
        <w:spacing w:lineRule="auto" w:line="288" w:before="0" w:after="0"/>
        <w:jc w:val="center"/>
        <w:rPr>
          <w:rFonts w:ascii="inherit" w:hAnsi="inherit"/>
          <w:b/>
          <w:sz w:val="17"/>
        </w:rPr>
      </w:pPr>
      <w:r>
        <w:rPr>
          <w:rFonts w:ascii="inherit" w:hAnsi="inherit"/>
          <w:b/>
          <w:sz w:val="17"/>
        </w:rPr>
        <w:t>DEREGISTRATION OF SECURITIES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ind w:left="0" w:right="0" w:firstLine="360"/>
        <w:jc w:val="left"/>
        <w:rPr>
          <w:sz w:val="17"/>
        </w:rPr>
      </w:pPr>
      <w:r>
        <w:rPr>
          <w:rFonts w:ascii="inherit" w:hAnsi="inherit"/>
          <w:sz w:val="17"/>
        </w:rPr>
        <w:t>This Post-Effective Amendment No. 2 to the Registration Statement on Form S-8 (File No. 333-140492) (the “</w:t>
      </w:r>
      <w:r>
        <w:rPr>
          <w:rFonts w:ascii="inherit" w:hAnsi="inherit"/>
          <w:sz w:val="17"/>
          <w:u w:val="single"/>
        </w:rPr>
        <w:t>Registration Statement</w:t>
      </w:r>
      <w:r>
        <w:rPr>
          <w:sz w:val="17"/>
        </w:rPr>
        <w:t>”</w:t>
      </w:r>
      <w:r>
        <w:rPr>
          <w:rFonts w:ascii="inherit" w:hAnsi="inherit"/>
          <w:sz w:val="17"/>
        </w:rPr>
        <w:t>) filed by EZCORP, Inc., a Delaware corporation (“</w:t>
      </w:r>
      <w:r>
        <w:rPr>
          <w:rFonts w:ascii="inherit" w:hAnsi="inherit"/>
          <w:sz w:val="17"/>
          <w:u w:val="single"/>
        </w:rPr>
        <w:t>Registrant</w:t>
      </w:r>
      <w:r>
        <w:rPr>
          <w:sz w:val="17"/>
        </w:rPr>
        <w:t>”</w:t>
      </w:r>
      <w:r>
        <w:rPr>
          <w:rFonts w:ascii="inherit" w:hAnsi="inherit"/>
          <w:sz w:val="17"/>
        </w:rPr>
        <w:t>), with the Securities and Exchange Commission on February 7, 2007, which registered 2,250,000 shares of Registrant’s Class A Non-Voting Common Stock, par value $0.01 per share (“</w:t>
      </w:r>
      <w:r>
        <w:rPr>
          <w:rFonts w:ascii="inherit" w:hAnsi="inherit"/>
          <w:sz w:val="17"/>
          <w:u w:val="single"/>
        </w:rPr>
        <w:t>Class A Common Stock</w:t>
      </w:r>
      <w:r>
        <w:rPr>
          <w:sz w:val="17"/>
        </w:rPr>
        <w:t>”</w:t>
      </w:r>
      <w:r>
        <w:rPr>
          <w:rFonts w:ascii="inherit" w:hAnsi="inherit"/>
          <w:sz w:val="17"/>
        </w:rPr>
        <w:t>), under the EZCORP, Inc. 2006 Incentive Plan is being filed to deregister any securities registered pursuant to the Registration Statement and not otherwise sold thereunder.</w:t>
      </w:r>
    </w:p>
    <w:p>
      <w:pPr>
        <w:pStyle w:val="TextBody"/>
        <w:spacing w:lineRule="auto" w:line="288" w:before="0" w:after="0"/>
        <w:ind w:left="0" w:right="0" w:firstLine="360"/>
        <w:jc w:val="left"/>
        <w:rPr>
          <w:sz w:val="17"/>
        </w:rPr>
      </w:pPr>
      <w:r>
        <w:rPr>
          <w:rFonts w:ascii="inherit" w:hAnsi="inherit"/>
          <w:sz w:val="17"/>
        </w:rPr>
        <w:t>On October 2, 2013, pursuant to the Agreement and Plan of Merger, dated as of October 1, 2013 (the “</w:t>
      </w:r>
      <w:r>
        <w:rPr>
          <w:rFonts w:ascii="inherit" w:hAnsi="inherit"/>
          <w:sz w:val="17"/>
          <w:u w:val="single"/>
        </w:rPr>
        <w:t>Merger Agreement</w:t>
      </w:r>
      <w:r>
        <w:rPr>
          <w:sz w:val="17"/>
        </w:rPr>
        <w:t>”</w:t>
      </w:r>
      <w:r>
        <w:rPr>
          <w:rFonts w:ascii="inherit" w:hAnsi="inherit"/>
          <w:sz w:val="17"/>
        </w:rPr>
        <w:t>), between Registrant and EZMergeco, Inc., a Delaware corporation and a newly formed direct wholly owned subsidiary of Registrant (“</w:t>
      </w:r>
      <w:r>
        <w:rPr>
          <w:rFonts w:ascii="inherit" w:hAnsi="inherit"/>
          <w:sz w:val="17"/>
          <w:u w:val="single"/>
        </w:rPr>
        <w:t>MergeCo</w:t>
      </w:r>
      <w:r>
        <w:rPr>
          <w:sz w:val="17"/>
        </w:rPr>
        <w:t>”</w:t>
      </w:r>
      <w:r>
        <w:rPr>
          <w:rFonts w:ascii="inherit" w:hAnsi="inherit"/>
          <w:sz w:val="17"/>
        </w:rPr>
        <w:t>), in an internal reorganization transaction structured as a merger, Registrant merged with and into MergeCo, with MergeCo continuing as the surviving corporation (the “</w:t>
      </w:r>
      <w:r>
        <w:rPr>
          <w:rFonts w:ascii="inherit" w:hAnsi="inherit"/>
          <w:sz w:val="17"/>
          <w:u w:val="single"/>
        </w:rPr>
        <w:t>Reorganization</w:t>
      </w:r>
      <w:r>
        <w:rPr>
          <w:sz w:val="17"/>
        </w:rPr>
        <w:t>”</w:t>
      </w:r>
      <w:r>
        <w:rPr>
          <w:rFonts w:ascii="inherit" w:hAnsi="inherit"/>
          <w:sz w:val="17"/>
        </w:rPr>
        <w:t>). At the effective time of the Reorganization, MergeCo changed its name to “EZCORP, Inc.” (referred to herein as “</w:t>
      </w:r>
      <w:r>
        <w:rPr>
          <w:rFonts w:ascii="inherit" w:hAnsi="inherit"/>
          <w:sz w:val="17"/>
          <w:u w:val="single"/>
        </w:rPr>
        <w:t>EZCORP</w:t>
      </w:r>
      <w:r>
        <w:rPr>
          <w:sz w:val="17"/>
        </w:rPr>
        <w:t>”</w:t>
      </w:r>
      <w:r>
        <w:rPr>
          <w:rFonts w:ascii="inherit" w:hAnsi="inherit"/>
          <w:sz w:val="17"/>
        </w:rPr>
        <w:t>) and succeeded to all of the assets and liabilities of Registrant. EZCORP has conducted and will continue to conduct the same business and operations as Registrant immediately prior to the Reorganization.</w:t>
      </w:r>
    </w:p>
    <w:p>
      <w:pPr>
        <w:pStyle w:val="TextBody"/>
        <w:spacing w:lineRule="auto" w:line="288" w:before="0" w:after="0"/>
        <w:ind w:left="0" w:right="0" w:firstLine="360"/>
        <w:jc w:val="left"/>
        <w:rPr>
          <w:rFonts w:ascii="inherit" w:hAnsi="inherit"/>
          <w:sz w:val="17"/>
        </w:rPr>
      </w:pPr>
      <w:r>
        <w:rPr>
          <w:rFonts w:ascii="inherit" w:hAnsi="inherit"/>
          <w:sz w:val="17"/>
        </w:rPr>
        <w:t xml:space="preserve">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securities being registered which remain unsold at the termination of the offering, removes from registration any and all Class A Common Stock registered but unsold under the Registration Statement as of the date hereof. </w:t>
      </w:r>
    </w:p>
    <w:p>
      <w:pPr>
        <w:pStyle w:val="TextBody"/>
        <w:rPr/>
      </w:pPr>
      <w:r>
        <w:rPr/>
      </w:r>
      <w:r>
        <w:br w:type="page"/>
      </w:r>
    </w:p>
    <w:p>
      <w:pPr>
        <w:pStyle w:val="TextBody"/>
        <w:spacing w:before="0" w:after="0"/>
        <w:rPr/>
      </w:pPr>
      <w:r>
        <w:rPr/>
      </w:r>
      <w:bookmarkStart w:id="5" w:name="sD6D36F17EBDA7AEBC85D7F13D824B0D4"/>
      <w:bookmarkStart w:id="6" w:name="sD6D36F17EBDA7AEBC85D7F13D824B0D4"/>
      <w:bookmarkEnd w:id="6"/>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360"/>
        <w:jc w:val="left"/>
        <w:rPr>
          <w:rFonts w:ascii="inherit" w:hAnsi="inherit"/>
          <w:sz w:val="17"/>
        </w:rPr>
      </w:pPr>
      <w:r>
        <w:rPr>
          <w:rFonts w:ascii="inherit" w:hAnsi="inherit"/>
          <w:sz w:val="17"/>
        </w:rPr>
        <w:t>Pursuant to the requirements of the Securities Act of 1933 and Rule 478 thereunder, the registrant certifies that it has reasonable grounds to believe that it meets all of the requirements for filing on Form S-8 and has duly caused this Post-Effective Amendment No. 2 to the Registration Statement to be signed on its behalf by the undersigned, thereunto duly authorized, in the City of Austin, State of Texas, on this 4th day of October, 2013.</w:t>
      </w:r>
    </w:p>
    <w:tbl>
      <w:tblPr>
        <w:tblW w:w="8511" w:type="dxa"/>
        <w:jc w:val="center"/>
        <w:tblInd w:w="0" w:type="dxa"/>
        <w:tblCellMar>
          <w:top w:w="0" w:type="dxa"/>
          <w:left w:w="0" w:type="dxa"/>
          <w:bottom w:w="0" w:type="dxa"/>
          <w:right w:w="0" w:type="dxa"/>
        </w:tblCellMar>
      </w:tblPr>
      <w:tblGrid>
        <w:gridCol w:w="1702"/>
        <w:gridCol w:w="2724"/>
        <w:gridCol w:w="340"/>
        <w:gridCol w:w="2724"/>
        <w:gridCol w:w="1021"/>
      </w:tblGrid>
      <w:tr>
        <w:trPr/>
        <w:tc>
          <w:tcPr>
            <w:tcW w:w="8511" w:type="dxa"/>
            <w:gridSpan w:val="5"/>
            <w:tcBorders/>
            <w:shd w:fill="auto" w:val="clear"/>
            <w:vAlign w:val="center"/>
          </w:tcPr>
          <w:p>
            <w:pPr>
              <w:pStyle w:val="TableContents"/>
              <w:spacing w:before="0" w:after="283"/>
              <w:rPr>
                <w:sz w:val="4"/>
                <w:szCs w:val="4"/>
              </w:rPr>
            </w:pPr>
            <w:r>
              <w:rPr>
                <w:sz w:val="4"/>
                <w:szCs w:val="4"/>
              </w:rPr>
            </w:r>
          </w:p>
        </w:tc>
      </w:tr>
      <w:tr>
        <w:trPr/>
        <w:tc>
          <w:tcPr>
            <w:tcW w:w="1702"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06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7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 Agent for Service</w:t>
            </w:r>
          </w:p>
        </w:tc>
        <w:tc>
          <w:tcPr>
            <w:tcW w:w="1021"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Note: No other person is required to sign this Post-Effective Amendment No. 2 to the Registration Statement in reliance on Rule 478 of the Securities Act of 1933.</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630</Words>
  <CharactersWithSpaces>4201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