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March 9, 2015</w:t>
      </w:r>
    </w:p>
    <w:p>
      <w:pPr>
        <w:spacing w:after="0" w:line="121" w:lineRule="exact"/>
        <w:rPr>
          <w:sz w:val="24"/>
          <w:szCs w:val="24"/>
          <w:color w:val="auto"/>
        </w:rPr>
      </w:pPr>
    </w:p>
    <w:p>
      <w:pPr>
        <w:jc w:val="right"/>
        <w:ind w:right="20"/>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255270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169545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13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EZCORP, INC.</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368"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5060" w:type="dxa"/>
            <w:vAlign w:val="bottom"/>
          </w:tcPr>
          <w:p>
            <w:pPr>
              <w:jc w:val="center"/>
              <w:ind w:right="1539"/>
              <w:spacing w:after="0"/>
              <w:rPr>
                <w:sz w:val="20"/>
                <w:szCs w:val="20"/>
                <w:color w:val="auto"/>
              </w:rPr>
            </w:pPr>
            <w:r>
              <w:rPr>
                <w:rFonts w:ascii="Arial" w:cs="Arial" w:eastAsia="Arial" w:hAnsi="Arial"/>
                <w:sz w:val="18"/>
                <w:szCs w:val="18"/>
                <w:b w:val="1"/>
                <w:bCs w:val="1"/>
                <w:color w:val="auto"/>
                <w:w w:val="91"/>
              </w:rPr>
              <w:t>Delaware</w:t>
            </w:r>
          </w:p>
        </w:tc>
        <w:tc>
          <w:tcPr>
            <w:tcW w:w="3640" w:type="dxa"/>
            <w:vAlign w:val="bottom"/>
          </w:tcPr>
          <w:p>
            <w:pPr>
              <w:jc w:val="right"/>
              <w:ind w:right="499"/>
              <w:spacing w:after="0"/>
              <w:rPr>
                <w:sz w:val="20"/>
                <w:szCs w:val="20"/>
                <w:color w:val="auto"/>
              </w:rPr>
            </w:pPr>
            <w:r>
              <w:rPr>
                <w:rFonts w:ascii="Arial" w:cs="Arial" w:eastAsia="Arial" w:hAnsi="Arial"/>
                <w:sz w:val="18"/>
                <w:szCs w:val="18"/>
                <w:b w:val="1"/>
                <w:bCs w:val="1"/>
                <w:color w:val="auto"/>
              </w:rPr>
              <w:t>74-2540145</w:t>
            </w:r>
          </w:p>
        </w:tc>
      </w:tr>
      <w:tr>
        <w:trPr>
          <w:trHeight w:val="218"/>
        </w:trPr>
        <w:tc>
          <w:tcPr>
            <w:tcW w:w="5060" w:type="dxa"/>
            <w:vAlign w:val="bottom"/>
          </w:tcPr>
          <w:p>
            <w:pPr>
              <w:jc w:val="center"/>
              <w:ind w:right="1539"/>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640" w:type="dxa"/>
            <w:vAlign w:val="bottom"/>
          </w:tcPr>
          <w:p>
            <w:pPr>
              <w:jc w:val="center"/>
              <w:ind w:left="1519"/>
              <w:spacing w:after="0"/>
              <w:rPr>
                <w:sz w:val="20"/>
                <w:szCs w:val="20"/>
                <w:color w:val="auto"/>
              </w:rPr>
            </w:pPr>
            <w:r>
              <w:rPr>
                <w:rFonts w:ascii="Arial" w:cs="Arial" w:eastAsia="Arial" w:hAnsi="Arial"/>
                <w:sz w:val="14"/>
                <w:szCs w:val="14"/>
                <w:color w:val="auto"/>
                <w:w w:val="96"/>
              </w:rPr>
              <w:t>(I.R.S. Employer identification no.)</w:t>
            </w:r>
          </w:p>
        </w:tc>
      </w:tr>
      <w:tr>
        <w:trPr>
          <w:trHeight w:val="606"/>
        </w:trPr>
        <w:tc>
          <w:tcPr>
            <w:tcW w:w="5060" w:type="dxa"/>
            <w:vAlign w:val="bottom"/>
          </w:tcPr>
          <w:p>
            <w:pPr>
              <w:jc w:val="center"/>
              <w:ind w:right="1479"/>
              <w:spacing w:after="0"/>
              <w:rPr>
                <w:sz w:val="20"/>
                <w:szCs w:val="20"/>
                <w:color w:val="auto"/>
              </w:rPr>
            </w:pPr>
            <w:r>
              <w:rPr>
                <w:rFonts w:ascii="Arial" w:cs="Arial" w:eastAsia="Arial" w:hAnsi="Arial"/>
                <w:sz w:val="18"/>
                <w:szCs w:val="18"/>
                <w:b w:val="1"/>
                <w:bCs w:val="1"/>
                <w:color w:val="auto"/>
                <w:w w:val="90"/>
              </w:rPr>
              <w:t>1901 Capital Parkway, Austin, Texas</w:t>
            </w:r>
          </w:p>
        </w:tc>
        <w:tc>
          <w:tcPr>
            <w:tcW w:w="3640" w:type="dxa"/>
            <w:vAlign w:val="bottom"/>
          </w:tcPr>
          <w:p>
            <w:pPr>
              <w:jc w:val="right"/>
              <w:ind w:right="679"/>
              <w:spacing w:after="0"/>
              <w:rPr>
                <w:sz w:val="20"/>
                <w:szCs w:val="20"/>
                <w:color w:val="auto"/>
              </w:rPr>
            </w:pPr>
            <w:r>
              <w:rPr>
                <w:rFonts w:ascii="Arial" w:cs="Arial" w:eastAsia="Arial" w:hAnsi="Arial"/>
                <w:sz w:val="18"/>
                <w:szCs w:val="18"/>
                <w:b w:val="1"/>
                <w:bCs w:val="1"/>
                <w:color w:val="auto"/>
              </w:rPr>
              <w:t>78746</w:t>
            </w:r>
          </w:p>
        </w:tc>
      </w:tr>
      <w:tr>
        <w:trPr>
          <w:trHeight w:val="218"/>
        </w:trPr>
        <w:tc>
          <w:tcPr>
            <w:tcW w:w="5060" w:type="dxa"/>
            <w:vAlign w:val="bottom"/>
          </w:tcPr>
          <w:p>
            <w:pPr>
              <w:jc w:val="center"/>
              <w:ind w:right="1479"/>
              <w:spacing w:after="0"/>
              <w:rPr>
                <w:sz w:val="20"/>
                <w:szCs w:val="20"/>
                <w:color w:val="auto"/>
              </w:rPr>
            </w:pPr>
            <w:r>
              <w:rPr>
                <w:rFonts w:ascii="Arial" w:cs="Arial" w:eastAsia="Arial" w:hAnsi="Arial"/>
                <w:sz w:val="14"/>
                <w:szCs w:val="14"/>
                <w:color w:val="auto"/>
                <w:w w:val="95"/>
              </w:rPr>
              <w:t>(Address of principal executive offices)</w:t>
            </w:r>
          </w:p>
        </w:tc>
        <w:tc>
          <w:tcPr>
            <w:tcW w:w="3640" w:type="dxa"/>
            <w:vAlign w:val="bottom"/>
          </w:tcPr>
          <w:p>
            <w:pPr>
              <w:jc w:val="center"/>
              <w:ind w:left="1579"/>
              <w:spacing w:after="0"/>
              <w:rPr>
                <w:sz w:val="20"/>
                <w:szCs w:val="20"/>
                <w:color w:val="auto"/>
              </w:rPr>
            </w:pPr>
            <w:r>
              <w:rPr>
                <w:rFonts w:ascii="Arial" w:cs="Arial" w:eastAsia="Arial" w:hAnsi="Arial"/>
                <w:sz w:val="14"/>
                <w:szCs w:val="14"/>
                <w:color w:val="auto"/>
                <w:w w:val="98"/>
              </w:rPr>
              <w:t>(Zip code)</w:t>
            </w:r>
          </w:p>
        </w:tc>
      </w:tr>
    </w:tbl>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EZCORP, INC. 2010 LONG-TERM INCENTIVE PLAN</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(Full title of the plan)</w:t>
      </w: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Thomas H. Welch, Jr.</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EZCORP,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1901 Capital Parkway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Austin, Texas 78746</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(Name and address of agent for service)</w:t>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(512) 314-3400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(Telephone number, including area code, of agent for service)</w:t>
      </w:r>
    </w:p>
    <w:p>
      <w:pPr>
        <w:spacing w:after="0" w:line="211"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210" w:lineRule="exact"/>
        <w:rPr>
          <w:sz w:val="24"/>
          <w:szCs w:val="24"/>
          <w:color w:val="auto"/>
        </w:rPr>
      </w:pPr>
    </w:p>
    <w:tbl>
      <w:tblPr>
        <w:tblLayout w:type="fixed"/>
        <w:tblInd w:w="10" w:type="dxa"/>
        <w:tblCellMar>
          <w:top w:w="0" w:type="dxa"/>
          <w:left w:w="0" w:type="dxa"/>
          <w:bottom w:w="0" w:type="dxa"/>
          <w:right w:w="0" w:type="dxa"/>
        </w:tblCellMar>
      </w:tblPr>
      <w:tr>
        <w:trPr>
          <w:trHeight w:val="254"/>
        </w:trPr>
        <w:tc>
          <w:tcPr>
            <w:tcW w:w="2640" w:type="dxa"/>
            <w:vAlign w:val="bottom"/>
          </w:tcPr>
          <w:p>
            <w:pPr>
              <w:ind w:left="6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tc>
        <w:tc>
          <w:tcPr>
            <w:tcW w:w="1840" w:type="dxa"/>
            <w:vAlign w:val="bottom"/>
          </w:tcPr>
          <w:p>
            <w:pPr>
              <w:ind w:left="400"/>
              <w:spacing w:after="0"/>
              <w:rPr>
                <w:sz w:val="20"/>
                <w:szCs w:val="20"/>
                <w:color w:val="auto"/>
              </w:rPr>
            </w:pPr>
            <w:r>
              <w:rPr>
                <w:rFonts w:ascii="Arial" w:cs="Arial" w:eastAsia="Arial" w:hAnsi="Arial"/>
                <w:sz w:val="16"/>
                <w:szCs w:val="16"/>
                <w:color w:val="auto"/>
              </w:rPr>
              <w:t>Accelerated filer o</w:t>
            </w:r>
          </w:p>
        </w:tc>
        <w:tc>
          <w:tcPr>
            <w:tcW w:w="3640" w:type="dxa"/>
            <w:vAlign w:val="bottom"/>
            <w:gridSpan w:val="3"/>
          </w:tcPr>
          <w:p>
            <w:pPr>
              <w:jc w:val="center"/>
              <w:ind w:left="541"/>
              <w:spacing w:after="0"/>
              <w:rPr>
                <w:sz w:val="20"/>
                <w:szCs w:val="20"/>
                <w:color w:val="auto"/>
              </w:rPr>
            </w:pPr>
            <w:r>
              <w:rPr>
                <w:rFonts w:ascii="Arial" w:cs="Arial" w:eastAsia="Arial" w:hAnsi="Arial"/>
                <w:sz w:val="16"/>
                <w:szCs w:val="16"/>
                <w:color w:val="auto"/>
                <w:w w:val="93"/>
              </w:rPr>
              <w:t>Non-accelerated filer o</w:t>
            </w:r>
          </w:p>
        </w:tc>
        <w:tc>
          <w:tcPr>
            <w:tcW w:w="3320" w:type="dxa"/>
            <w:vAlign w:val="bottom"/>
            <w:gridSpan w:val="2"/>
          </w:tcPr>
          <w:p>
            <w:pPr>
              <w:ind w:left="880"/>
              <w:spacing w:after="0"/>
              <w:rPr>
                <w:sz w:val="20"/>
                <w:szCs w:val="20"/>
                <w:color w:val="auto"/>
              </w:rPr>
            </w:pPr>
            <w:r>
              <w:rPr>
                <w:rFonts w:ascii="Arial" w:cs="Arial" w:eastAsia="Arial" w:hAnsi="Arial"/>
                <w:sz w:val="16"/>
                <w:szCs w:val="16"/>
                <w:color w:val="auto"/>
              </w:rPr>
              <w:t>Smaller reporting company o</w:t>
            </w:r>
          </w:p>
        </w:tc>
        <w:tc>
          <w:tcPr>
            <w:tcW w:w="0" w:type="dxa"/>
            <w:vAlign w:val="bottom"/>
          </w:tcPr>
          <w:p>
            <w:pPr>
              <w:spacing w:after="0"/>
              <w:rPr>
                <w:sz w:val="1"/>
                <w:szCs w:val="1"/>
                <w:color w:val="auto"/>
              </w:rPr>
            </w:pPr>
          </w:p>
        </w:tc>
      </w:tr>
      <w:tr>
        <w:trPr>
          <w:trHeight w:val="239"/>
        </w:trPr>
        <w:tc>
          <w:tcPr>
            <w:tcW w:w="26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640" w:type="dxa"/>
            <w:vAlign w:val="bottom"/>
            <w:gridSpan w:val="3"/>
          </w:tcPr>
          <w:p>
            <w:pPr>
              <w:jc w:val="center"/>
              <w:ind w:left="541"/>
              <w:spacing w:after="0"/>
              <w:rPr>
                <w:sz w:val="20"/>
                <w:szCs w:val="20"/>
                <w:color w:val="auto"/>
              </w:rPr>
            </w:pPr>
            <w:r>
              <w:rPr>
                <w:rFonts w:ascii="Arial" w:cs="Arial" w:eastAsia="Arial" w:hAnsi="Arial"/>
                <w:sz w:val="16"/>
                <w:szCs w:val="16"/>
                <w:color w:val="auto"/>
                <w:w w:val="93"/>
              </w:rPr>
              <w:t>(Do not check if a smaller reporting company)</w:t>
            </w:r>
          </w:p>
        </w:tc>
        <w:tc>
          <w:tcPr>
            <w:tcW w:w="1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640" w:type="dxa"/>
            <w:vAlign w:val="bottom"/>
          </w:tcPr>
          <w:p>
            <w:pPr>
              <w:spacing w:after="0"/>
              <w:rPr>
                <w:sz w:val="24"/>
                <w:szCs w:val="24"/>
                <w:color w:val="auto"/>
              </w:rPr>
            </w:pPr>
          </w:p>
        </w:tc>
        <w:tc>
          <w:tcPr>
            <w:tcW w:w="5480" w:type="dxa"/>
            <w:vAlign w:val="bottom"/>
            <w:gridSpan w:val="4"/>
          </w:tcPr>
          <w:p>
            <w:pPr>
              <w:ind w:left="1520"/>
              <w:spacing w:after="0"/>
              <w:rPr>
                <w:sz w:val="20"/>
                <w:szCs w:val="20"/>
                <w:color w:val="auto"/>
              </w:rPr>
            </w:pPr>
            <w:r>
              <w:rPr>
                <w:rFonts w:ascii="Arial" w:cs="Arial" w:eastAsia="Arial" w:hAnsi="Arial"/>
                <w:sz w:val="16"/>
                <w:szCs w:val="16"/>
                <w:b w:val="1"/>
                <w:bCs w:val="1"/>
                <w:color w:val="auto"/>
              </w:rPr>
              <w:t>CALCULATION OF REGISTRATION FEE</w:t>
            </w:r>
          </w:p>
        </w:tc>
        <w:tc>
          <w:tcPr>
            <w:tcW w:w="1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6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448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1"/>
              </w:rPr>
              <w:t>Title of securities to be registered</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Amount to be registered</w:t>
            </w:r>
          </w:p>
        </w:tc>
        <w:tc>
          <w:tcPr>
            <w:tcW w:w="17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Proposed maximum</w:t>
            </w:r>
          </w:p>
        </w:tc>
        <w:tc>
          <w:tcPr>
            <w:tcW w:w="80" w:type="dxa"/>
            <w:vAlign w:val="bottom"/>
          </w:tcPr>
          <w:p>
            <w:pPr>
              <w:spacing w:after="0"/>
              <w:rPr>
                <w:sz w:val="12"/>
                <w:szCs w:val="12"/>
                <w:color w:val="auto"/>
              </w:rPr>
            </w:pPr>
          </w:p>
        </w:tc>
        <w:tc>
          <w:tcPr>
            <w:tcW w:w="1620" w:type="dxa"/>
            <w:vAlign w:val="bottom"/>
            <w:tcBorders>
              <w:right w:val="single" w:sz="8" w:color="auto"/>
            </w:tcBorders>
          </w:tcPr>
          <w:p>
            <w:pPr>
              <w:jc w:val="center"/>
              <w:ind w:right="24"/>
              <w:spacing w:after="0" w:line="147" w:lineRule="exact"/>
              <w:rPr>
                <w:sz w:val="20"/>
                <w:szCs w:val="20"/>
                <w:color w:val="auto"/>
              </w:rPr>
            </w:pPr>
            <w:r>
              <w:rPr>
                <w:rFonts w:ascii="Arial" w:cs="Arial" w:eastAsia="Arial" w:hAnsi="Arial"/>
                <w:sz w:val="14"/>
                <w:szCs w:val="14"/>
                <w:b w:val="1"/>
                <w:bCs w:val="1"/>
                <w:color w:val="auto"/>
                <w:w w:val="92"/>
              </w:rPr>
              <w:t>Proposed maximum</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Amount of registration fee</w:t>
            </w:r>
          </w:p>
        </w:tc>
        <w:tc>
          <w:tcPr>
            <w:tcW w:w="0" w:type="dxa"/>
            <w:vAlign w:val="bottom"/>
          </w:tcPr>
          <w:p>
            <w:pPr>
              <w:spacing w:after="0"/>
              <w:rPr>
                <w:sz w:val="1"/>
                <w:szCs w:val="1"/>
                <w:color w:val="auto"/>
              </w:rPr>
            </w:pPr>
          </w:p>
        </w:tc>
      </w:tr>
      <w:tr>
        <w:trPr>
          <w:trHeight w:val="149"/>
        </w:trPr>
        <w:tc>
          <w:tcPr>
            <w:tcW w:w="4480" w:type="dxa"/>
            <w:vAlign w:val="bottom"/>
            <w:tcBorders>
              <w:left w:val="single" w:sz="8" w:color="auto"/>
              <w:right w:val="single" w:sz="8" w:color="auto"/>
            </w:tcBorders>
            <w:gridSpan w:val="2"/>
            <w:vMerge w:val="continue"/>
          </w:tcPr>
          <w:p>
            <w:pPr>
              <w:spacing w:after="0"/>
              <w:rPr>
                <w:sz w:val="12"/>
                <w:szCs w:val="12"/>
                <w:color w:val="auto"/>
              </w:rPr>
            </w:pPr>
          </w:p>
        </w:tc>
        <w:tc>
          <w:tcPr>
            <w:tcW w:w="184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 per share</w:t>
            </w:r>
          </w:p>
        </w:tc>
        <w:tc>
          <w:tcPr>
            <w:tcW w:w="80" w:type="dxa"/>
            <w:vAlign w:val="bottom"/>
          </w:tcPr>
          <w:p>
            <w:pPr>
              <w:spacing w:after="0"/>
              <w:rPr>
                <w:sz w:val="12"/>
                <w:szCs w:val="12"/>
                <w:color w:val="auto"/>
              </w:rPr>
            </w:pPr>
          </w:p>
        </w:tc>
        <w:tc>
          <w:tcPr>
            <w:tcW w:w="1620" w:type="dxa"/>
            <w:vAlign w:val="bottom"/>
            <w:tcBorders>
              <w:right w:val="single" w:sz="8" w:color="auto"/>
            </w:tcBorders>
          </w:tcPr>
          <w:p>
            <w:pPr>
              <w:jc w:val="center"/>
              <w:ind w:right="44"/>
              <w:spacing w:after="0" w:line="149" w:lineRule="exact"/>
              <w:rPr>
                <w:sz w:val="20"/>
                <w:szCs w:val="20"/>
                <w:color w:val="auto"/>
              </w:rPr>
            </w:pPr>
            <w:r>
              <w:rPr>
                <w:rFonts w:ascii="Arial" w:cs="Arial" w:eastAsia="Arial" w:hAnsi="Arial"/>
                <w:sz w:val="14"/>
                <w:szCs w:val="14"/>
                <w:b w:val="1"/>
                <w:bCs w:val="1"/>
                <w:color w:val="auto"/>
                <w:w w:val="91"/>
              </w:rPr>
              <w:t>aggregate offering price</w:t>
            </w:r>
          </w:p>
        </w:tc>
        <w:tc>
          <w:tcPr>
            <w:tcW w:w="17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tcBorders>
              <w:left w:val="single" w:sz="8" w:color="auto"/>
              <w:bottom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jc w:val="right"/>
              <w:ind w:right="726"/>
              <w:spacing w:after="0"/>
              <w:rPr>
                <w:sz w:val="20"/>
                <w:szCs w:val="20"/>
                <w:color w:val="auto"/>
              </w:rPr>
            </w:pPr>
            <w:r>
              <w:rPr>
                <w:rFonts w:ascii="Arial" w:cs="Arial" w:eastAsia="Arial" w:hAnsi="Arial"/>
                <w:sz w:val="14"/>
                <w:szCs w:val="14"/>
                <w:b w:val="1"/>
                <w:bCs w:val="1"/>
                <w:color w:val="auto"/>
              </w:rPr>
              <w:t>(1)</w:t>
            </w: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jc w:val="right"/>
              <w:ind w:right="704"/>
              <w:spacing w:after="0"/>
              <w:rPr>
                <w:sz w:val="20"/>
                <w:szCs w:val="20"/>
                <w:color w:val="auto"/>
              </w:rPr>
            </w:pPr>
            <w:r>
              <w:rPr>
                <w:rFonts w:ascii="Arial" w:cs="Arial" w:eastAsia="Arial" w:hAnsi="Arial"/>
                <w:sz w:val="14"/>
                <w:szCs w:val="14"/>
                <w:b w:val="1"/>
                <w:bCs w:val="1"/>
                <w:color w:val="auto"/>
              </w:rPr>
              <w:t>(1)</w:t>
            </w:r>
          </w:p>
        </w:tc>
        <w:tc>
          <w:tcPr>
            <w:tcW w:w="17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93"/>
              </w:rPr>
              <w:t>Class A Non-Voting Common Stock,</w:t>
            </w:r>
          </w:p>
        </w:tc>
        <w:tc>
          <w:tcPr>
            <w:tcW w:w="1840" w:type="dxa"/>
            <w:vAlign w:val="bottom"/>
            <w:tcBorders>
              <w:right w:val="single" w:sz="8" w:color="auto"/>
            </w:tcBorders>
            <w:vMerge w:val="restart"/>
          </w:tcPr>
          <w:p>
            <w:pPr>
              <w:jc w:val="right"/>
              <w:ind w:right="481"/>
              <w:spacing w:after="0"/>
              <w:rPr>
                <w:sz w:val="20"/>
                <w:szCs w:val="20"/>
                <w:color w:val="auto"/>
              </w:rPr>
            </w:pPr>
            <w:r>
              <w:rPr>
                <w:rFonts w:ascii="Arial" w:cs="Arial" w:eastAsia="Arial" w:hAnsi="Arial"/>
                <w:sz w:val="16"/>
                <w:szCs w:val="16"/>
                <w:color w:val="auto"/>
              </w:rPr>
              <w:t>643,673 (2)</w:t>
            </w:r>
          </w:p>
        </w:tc>
        <w:tc>
          <w:tcPr>
            <w:tcW w:w="1720" w:type="dxa"/>
            <w:vAlign w:val="bottom"/>
            <w:tcBorders>
              <w:right w:val="single" w:sz="8" w:color="auto"/>
            </w:tcBorders>
            <w:vMerge w:val="restart"/>
          </w:tcPr>
          <w:p>
            <w:pPr>
              <w:jc w:val="right"/>
              <w:ind w:right="626"/>
              <w:spacing w:after="0"/>
              <w:rPr>
                <w:sz w:val="20"/>
                <w:szCs w:val="20"/>
                <w:color w:val="auto"/>
              </w:rPr>
            </w:pPr>
            <w:r>
              <w:rPr>
                <w:rFonts w:ascii="Arial" w:cs="Arial" w:eastAsia="Arial" w:hAnsi="Arial"/>
                <w:sz w:val="16"/>
                <w:szCs w:val="16"/>
                <w:color w:val="auto"/>
              </w:rPr>
              <w:t>$9.92</w:t>
            </w:r>
          </w:p>
        </w:tc>
        <w:tc>
          <w:tcPr>
            <w:tcW w:w="80" w:type="dxa"/>
            <w:vAlign w:val="bottom"/>
          </w:tcPr>
          <w:p>
            <w:pPr>
              <w:spacing w:after="0"/>
              <w:rPr>
                <w:sz w:val="19"/>
                <w:szCs w:val="19"/>
                <w:color w:val="auto"/>
              </w:rPr>
            </w:pPr>
          </w:p>
        </w:tc>
        <w:tc>
          <w:tcPr>
            <w:tcW w:w="1620" w:type="dxa"/>
            <w:vAlign w:val="bottom"/>
            <w:tcBorders>
              <w:right w:val="single" w:sz="8" w:color="auto"/>
            </w:tcBorders>
            <w:vMerge w:val="restart"/>
          </w:tcPr>
          <w:p>
            <w:pPr>
              <w:jc w:val="right"/>
              <w:ind w:right="424"/>
              <w:spacing w:after="0"/>
              <w:rPr>
                <w:sz w:val="20"/>
                <w:szCs w:val="20"/>
                <w:color w:val="auto"/>
              </w:rPr>
            </w:pPr>
            <w:r>
              <w:rPr>
                <w:rFonts w:ascii="Arial" w:cs="Arial" w:eastAsia="Arial" w:hAnsi="Arial"/>
                <w:sz w:val="16"/>
                <w:szCs w:val="16"/>
                <w:color w:val="auto"/>
              </w:rPr>
              <w:t>$6,385,236</w:t>
            </w:r>
          </w:p>
        </w:tc>
        <w:tc>
          <w:tcPr>
            <w:tcW w:w="1700" w:type="dxa"/>
            <w:vAlign w:val="bottom"/>
            <w:tcBorders>
              <w:right w:val="single" w:sz="8" w:color="auto"/>
            </w:tcBorders>
            <w:vMerge w:val="restart"/>
          </w:tcPr>
          <w:p>
            <w:pPr>
              <w:jc w:val="right"/>
              <w:ind w:right="623"/>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152"/>
        </w:trPr>
        <w:tc>
          <w:tcPr>
            <w:tcW w:w="448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w w:val="89"/>
              </w:rPr>
              <w:t>par value, $0.01 per share</w:t>
            </w:r>
          </w:p>
        </w:tc>
        <w:tc>
          <w:tcPr>
            <w:tcW w:w="1840" w:type="dxa"/>
            <w:vAlign w:val="bottom"/>
            <w:tcBorders>
              <w:right w:val="single" w:sz="8" w:color="auto"/>
            </w:tcBorders>
            <w:vMerge w:val="continue"/>
          </w:tcPr>
          <w:p>
            <w:pPr>
              <w:spacing w:after="0"/>
              <w:rPr>
                <w:sz w:val="13"/>
                <w:szCs w:val="13"/>
                <w:color w:val="auto"/>
              </w:rPr>
            </w:pPr>
          </w:p>
        </w:tc>
        <w:tc>
          <w:tcPr>
            <w:tcW w:w="17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Borders>
              <w:right w:val="single" w:sz="8" w:color="auto"/>
            </w:tcBorders>
            <w:vMerge w:val="continue"/>
          </w:tcPr>
          <w:p>
            <w:pPr>
              <w:spacing w:after="0"/>
              <w:rPr>
                <w:sz w:val="13"/>
                <w:szCs w:val="13"/>
                <w:color w:val="auto"/>
              </w:rPr>
            </w:pPr>
          </w:p>
        </w:tc>
        <w:tc>
          <w:tcPr>
            <w:tcW w:w="17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480" w:type="dxa"/>
            <w:vAlign w:val="bottom"/>
            <w:tcBorders>
              <w:left w:val="single" w:sz="8" w:color="auto"/>
              <w:right w:val="single" w:sz="8" w:color="auto"/>
            </w:tcBorders>
            <w:gridSpan w:val="2"/>
            <w:vMerge w:val="continue"/>
          </w:tcPr>
          <w:p>
            <w:pPr>
              <w:spacing w:after="0"/>
              <w:rPr>
                <w:sz w:val="4"/>
                <w:szCs w:val="4"/>
                <w:color w:val="auto"/>
              </w:rPr>
            </w:pPr>
          </w:p>
        </w:tc>
        <w:tc>
          <w:tcPr>
            <w:tcW w:w="1840" w:type="dxa"/>
            <w:vAlign w:val="bottom"/>
            <w:tcBorders>
              <w:right w:val="single" w:sz="8" w:color="auto"/>
            </w:tcBorders>
          </w:tcPr>
          <w:p>
            <w:pPr>
              <w:spacing w:after="0"/>
              <w:rPr>
                <w:sz w:val="4"/>
                <w:szCs w:val="4"/>
                <w:color w:val="auto"/>
              </w:rPr>
            </w:pPr>
          </w:p>
        </w:tc>
        <w:tc>
          <w:tcPr>
            <w:tcW w:w="17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640" w:type="dxa"/>
            <w:vAlign w:val="bottom"/>
            <w:tcBorders>
              <w:left w:val="single" w:sz="8" w:color="auto"/>
              <w:bottom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ind w:left="500" w:right="220" w:hanging="492"/>
        <w:spacing w:after="0" w:line="312" w:lineRule="auto"/>
        <w:tabs>
          <w:tab w:leader="none" w:pos="50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purposes of calculating the registration fee, in accordance with Rule 457(h), on the basis of the price of securities of the same class, as determined in accordance with Rule 457(c), using the average of the high and low prices for the Class A Non-Voting Common Stock reported on The NASDAQ Stock Market on March 4, 2015.</w:t>
      </w:r>
    </w:p>
    <w:p>
      <w:pPr>
        <w:spacing w:after="0" w:line="83" w:lineRule="exact"/>
        <w:rPr>
          <w:rFonts w:ascii="Arial" w:cs="Arial" w:eastAsia="Arial" w:hAnsi="Arial"/>
          <w:sz w:val="13"/>
          <w:szCs w:val="13"/>
          <w:color w:val="auto"/>
        </w:rPr>
      </w:pPr>
    </w:p>
    <w:p>
      <w:pPr>
        <w:ind w:left="500" w:right="160" w:hanging="492"/>
        <w:spacing w:after="0" w:line="353" w:lineRule="auto"/>
        <w:tabs>
          <w:tab w:leader="none" w:pos="362"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this Registration Statement shall be deemed to cover such additional shares of Class A Non-Voting Common Stock as may become issuable pursuant to the antidilution provisions of the EZCORP, Inc. 2010 Long-Term Incentive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139700</wp:posOffset>
            </wp:positionV>
            <wp:extent cx="67748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481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53975</wp:posOffset>
            </wp:positionV>
            <wp:extent cx="67748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4815" cy="8890"/>
                    </a:xfrm>
                    <a:prstGeom prst="rect">
                      <a:avLst/>
                    </a:prstGeom>
                    <a:noFill/>
                  </pic:spPr>
                </pic:pic>
              </a:graphicData>
            </a:graphic>
          </wp:anchor>
        </w:drawing>
      </w:r>
    </w:p>
    <w:p>
      <w:pPr>
        <w:sectPr>
          <w:pgSz w:w="11900" w:h="16838" w:orient="portrait"/>
          <w:cols w:equalWidth="0" w:num="1">
            <w:col w:w="11440"/>
          </w:cols>
          <w:pgMar w:left="240" w:top="688" w:right="2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Pursuant to General Instruction E of Form S-8 (“Registration of Additional Securities”), the Registrant hereby makes the following statement:</w:t>
      </w:r>
    </w:p>
    <w:p>
      <w:pPr>
        <w:spacing w:after="0" w:line="225"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On October 10, 2013, the Registrant filed with the Securities and Exchange Commission a Registration Statement on Form S-8 (Registration No. 333-191677) (the “Prior Registration Statement”) relating to shares of the Registrant’s common stock to be issued pursuant to the EZCORP, Inc. 2010 Long-Term Incentive Plan (the “Incentive Plan”), and the Prior Registration Statement is currently effective. This Registration Statement relates to securities (a) of the same class as those to which the Prior Registration Statement relates and (b) to be issued pursuant to the Incentive Plan. The contents of the Prior Registration Statement are incorporated hereby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a part of this Registration Statement:</w:t>
      </w:r>
    </w:p>
    <w:p>
      <w:pPr>
        <w:spacing w:after="0" w:line="347"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20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Exhibit</w:t>
            </w:r>
          </w:p>
        </w:tc>
        <w:tc>
          <w:tcPr>
            <w:tcW w:w="8440" w:type="dxa"/>
            <w:vAlign w:val="bottom"/>
          </w:tcPr>
          <w:p>
            <w:pPr>
              <w:spacing w:after="0"/>
              <w:rPr>
                <w:sz w:val="17"/>
                <w:szCs w:val="17"/>
                <w:color w:val="auto"/>
              </w:rPr>
            </w:pPr>
          </w:p>
        </w:tc>
      </w:tr>
      <w:tr>
        <w:trPr>
          <w:trHeight w:val="210"/>
        </w:trPr>
        <w:tc>
          <w:tcPr>
            <w:tcW w:w="20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Number</w:t>
            </w:r>
          </w:p>
        </w:tc>
        <w:tc>
          <w:tcPr>
            <w:tcW w:w="844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5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r>
      <w:tr>
        <w:trPr>
          <w:trHeight w:val="237"/>
        </w:trPr>
        <w:tc>
          <w:tcPr>
            <w:tcW w:w="158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42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Opinion of Vinson &amp; Elkins L.L.P.</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Deloitte &amp; Touche LLP</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BDO USA, LLP</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1"/>
              </w:rPr>
              <w:t>23.3</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Vinson &amp; Elkins, L.L.P. (included in Exhibit 5.1)</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Power of attorney (set forth on signature page)</w:t>
            </w:r>
          </w:p>
        </w:tc>
      </w:tr>
      <w:tr>
        <w:trPr>
          <w:trHeight w:val="256"/>
        </w:trPr>
        <w:tc>
          <w:tcPr>
            <w:tcW w:w="15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420" w:type="dxa"/>
            <w:vAlign w:val="bottom"/>
          </w:tcPr>
          <w:p>
            <w:pPr>
              <w:spacing w:after="0"/>
              <w:rPr>
                <w:sz w:val="22"/>
                <w:szCs w:val="22"/>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2"/>
              </w:rPr>
              <w:t>Amended and Restated EZCORP, Inc. 2010 Long-Term Incentive Plan, effective February 26, 2015 (incorporated</w:t>
            </w:r>
          </w:p>
        </w:tc>
      </w:tr>
      <w:tr>
        <w:trPr>
          <w:trHeight w:val="216"/>
        </w:trPr>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3"/>
              </w:rPr>
              <w:t>by reference to Exhibit 10.1 to the Company's Current Report on Form 8-K filed March 3, 2015, Commission File</w:t>
            </w:r>
          </w:p>
        </w:tc>
      </w:tr>
      <w:tr>
        <w:trPr>
          <w:trHeight w:val="230"/>
        </w:trPr>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No. 0-19424)</w:t>
            </w:r>
          </w:p>
        </w:tc>
      </w:tr>
      <w:tr>
        <w:trPr>
          <w:trHeight w:val="918"/>
        </w:trPr>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40" w:type="dxa"/>
            <w:vAlign w:val="bottom"/>
          </w:tcPr>
          <w:p>
            <w:pPr>
              <w:ind w:left="316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00"/>
          </w:cols>
          <w:pgMar w:left="240" w:top="584"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The Registrant</w:t>
      </w:r>
      <w:r>
        <w:rPr>
          <w:rFonts w:ascii="Arial" w:cs="Arial" w:eastAsia="Arial" w:hAnsi="Arial"/>
          <w:sz w:val="18"/>
          <w:szCs w:val="18"/>
          <w:color w:val="auto"/>
        </w:rPr>
        <w:t>. Pursuant to the requirements of the Securities Act of 1933, the registrant certifies that it has reasonable grounds to believe that it meets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for filing on Form S-8 and has duly caused this registration statement to be signed on its behalf by the undersigned, thereunto duly authorized, in the City of Austin, State of Texas, on March 9, 2015.</w:t>
      </w:r>
    </w:p>
    <w:p>
      <w:pPr>
        <w:spacing w:after="0" w:line="12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EZCORP, Inc.</w:t>
      </w:r>
    </w:p>
    <w:p>
      <w:pPr>
        <w:spacing w:after="0" w:line="279" w:lineRule="exact"/>
        <w:rPr>
          <w:sz w:val="20"/>
          <w:szCs w:val="20"/>
          <w:color w:val="auto"/>
        </w:rPr>
      </w:pPr>
    </w:p>
    <w:p>
      <w:pPr>
        <w:ind w:left="5420"/>
        <w:spacing w:after="0"/>
        <w:tabs>
          <w:tab w:leader="none" w:pos="5840" w:val="left"/>
        </w:tabs>
        <w:rPr>
          <w:sz w:val="20"/>
          <w:szCs w:val="20"/>
          <w:color w:val="auto"/>
        </w:rPr>
      </w:pPr>
      <w:r>
        <w:rPr>
          <w:rFonts w:ascii="Arial" w:cs="Arial" w:eastAsia="Arial" w:hAnsi="Arial"/>
          <w:sz w:val="18"/>
          <w:szCs w:val="18"/>
          <w:color w:val="auto"/>
        </w:rPr>
        <w:t>By:</w:t>
        <w:tab/>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Stuart I. Grimshaw,</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 Each person whose signature appears below hereby authorizes and appoints Thomas H. Welch, Jr. as his or her attorney-in-fact to sign on his or her behalf individually and in the capacity stated below all amendments and post-effective amendments to this registration statement as that attorney-in-fact may deem necessary or appropriate.</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64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Signature</w:t>
            </w:r>
          </w:p>
        </w:tc>
        <w:tc>
          <w:tcPr>
            <w:tcW w:w="120" w:type="dxa"/>
            <w:vAlign w:val="bottom"/>
            <w:vMerge w:val="restart"/>
          </w:tcPr>
          <w:p>
            <w:pPr>
              <w:spacing w:after="0"/>
              <w:rPr>
                <w:sz w:val="16"/>
                <w:szCs w:val="16"/>
                <w:color w:val="auto"/>
              </w:rPr>
            </w:pPr>
          </w:p>
        </w:tc>
        <w:tc>
          <w:tcPr>
            <w:tcW w:w="5680" w:type="dxa"/>
            <w:vAlign w:val="bottom"/>
            <w:gridSpan w:val="2"/>
          </w:tcPr>
          <w:p>
            <w:pPr>
              <w:ind w:left="2640"/>
              <w:spacing w:after="0"/>
              <w:rPr>
                <w:sz w:val="20"/>
                <w:szCs w:val="20"/>
                <w:color w:val="auto"/>
              </w:rPr>
            </w:pPr>
            <w:r>
              <w:rPr>
                <w:rFonts w:ascii="Arial" w:cs="Arial" w:eastAsia="Arial" w:hAnsi="Arial"/>
                <w:sz w:val="14"/>
                <w:szCs w:val="14"/>
                <w:b w:val="1"/>
                <w:bCs w:val="1"/>
                <w:color w:val="auto"/>
              </w:rPr>
              <w:t>Title</w:t>
            </w:r>
          </w:p>
        </w:tc>
        <w:tc>
          <w:tcPr>
            <w:tcW w:w="192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74"/>
        </w:trPr>
        <w:tc>
          <w:tcPr>
            <w:tcW w:w="364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55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9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40" w:type="dxa"/>
            <w:vAlign w:val="bottom"/>
          </w:tcPr>
          <w:p>
            <w:pPr>
              <w:jc w:val="center"/>
              <w:spacing w:after="0"/>
              <w:rPr>
                <w:sz w:val="20"/>
                <w:szCs w:val="20"/>
                <w:color w:val="auto"/>
              </w:rPr>
            </w:pPr>
            <w:r>
              <w:rPr>
                <w:rFonts w:ascii="Arial" w:cs="Arial" w:eastAsia="Arial" w:hAnsi="Arial"/>
                <w:sz w:val="18"/>
                <w:szCs w:val="18"/>
                <w:color w:val="auto"/>
                <w:w w:val="92"/>
              </w:rPr>
              <w:t>/s/ Stuart I. Grimshaw</w:t>
            </w:r>
          </w:p>
        </w:tc>
        <w:tc>
          <w:tcPr>
            <w:tcW w:w="5580" w:type="dxa"/>
            <w:vAlign w:val="bottom"/>
          </w:tcPr>
          <w:p>
            <w:pPr>
              <w:ind w:left="160"/>
              <w:spacing w:after="0"/>
              <w:rPr>
                <w:sz w:val="20"/>
                <w:szCs w:val="20"/>
                <w:color w:val="auto"/>
              </w:rPr>
            </w:pPr>
            <w:r>
              <w:rPr>
                <w:rFonts w:ascii="Arial" w:cs="Arial" w:eastAsia="Arial" w:hAnsi="Arial"/>
                <w:sz w:val="18"/>
                <w:szCs w:val="18"/>
                <w:color w:val="auto"/>
              </w:rPr>
              <w:t>Chief Executive Officer and Director</w:t>
            </w:r>
          </w:p>
        </w:tc>
        <w:tc>
          <w:tcPr>
            <w:tcW w:w="1700" w:type="dxa"/>
            <w:vAlign w:val="bottom"/>
          </w:tcPr>
          <w:p>
            <w:pPr>
              <w:ind w:left="640"/>
              <w:spacing w:after="0"/>
              <w:rPr>
                <w:sz w:val="20"/>
                <w:szCs w:val="20"/>
                <w:color w:val="auto"/>
              </w:rPr>
            </w:pPr>
            <w:r>
              <w:rPr>
                <w:rFonts w:ascii="Arial" w:cs="Arial" w:eastAsia="Arial" w:hAnsi="Arial"/>
                <w:sz w:val="18"/>
                <w:szCs w:val="18"/>
                <w:color w:val="auto"/>
                <w:w w:val="90"/>
              </w:rPr>
              <w:t>March 9, 2015</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5580" w:type="dxa"/>
            <w:vAlign w:val="bottom"/>
            <w:vMerge w:val="restart"/>
          </w:tcPr>
          <w:p>
            <w:pPr>
              <w:ind w:left="160"/>
              <w:spacing w:after="0"/>
              <w:rPr>
                <w:sz w:val="20"/>
                <w:szCs w:val="20"/>
                <w:color w:val="auto"/>
              </w:rPr>
            </w:pPr>
            <w:r>
              <w:rPr>
                <w:rFonts w:ascii="Arial" w:cs="Arial" w:eastAsia="Arial" w:hAnsi="Arial"/>
                <w:sz w:val="18"/>
                <w:szCs w:val="18"/>
                <w:color w:val="auto"/>
              </w:rPr>
              <w:t>(principal executive officer)</w:t>
            </w: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1"/>
              </w:rPr>
              <w:t>Stuart I. Grimshaw</w:t>
            </w:r>
          </w:p>
        </w:tc>
        <w:tc>
          <w:tcPr>
            <w:tcW w:w="5580" w:type="dxa"/>
            <w:vAlign w:val="bottom"/>
            <w:vMerge w:val="continue"/>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40" w:type="dxa"/>
            <w:vAlign w:val="bottom"/>
          </w:tcPr>
          <w:p>
            <w:pPr>
              <w:jc w:val="center"/>
              <w:spacing w:after="0"/>
              <w:rPr>
                <w:sz w:val="20"/>
                <w:szCs w:val="20"/>
                <w:color w:val="auto"/>
              </w:rPr>
            </w:pPr>
            <w:r>
              <w:rPr>
                <w:rFonts w:ascii="Arial" w:cs="Arial" w:eastAsia="Arial" w:hAnsi="Arial"/>
                <w:sz w:val="18"/>
                <w:szCs w:val="18"/>
                <w:color w:val="auto"/>
                <w:w w:val="93"/>
              </w:rPr>
              <w:t>/s/ Mark E. Kuchenrither</w:t>
            </w:r>
          </w:p>
        </w:tc>
        <w:tc>
          <w:tcPr>
            <w:tcW w:w="5580" w:type="dxa"/>
            <w:vAlign w:val="bottom"/>
          </w:tcPr>
          <w:p>
            <w:pPr>
              <w:ind w:left="160"/>
              <w:spacing w:after="0"/>
              <w:rPr>
                <w:sz w:val="20"/>
                <w:szCs w:val="20"/>
                <w:color w:val="auto"/>
              </w:rPr>
            </w:pPr>
            <w:r>
              <w:rPr>
                <w:rFonts w:ascii="Arial" w:cs="Arial" w:eastAsia="Arial" w:hAnsi="Arial"/>
                <w:sz w:val="18"/>
                <w:szCs w:val="18"/>
                <w:color w:val="auto"/>
              </w:rPr>
              <w:t>President and Chief Operating Officer and Chief Financial Officer</w:t>
            </w:r>
          </w:p>
        </w:tc>
        <w:tc>
          <w:tcPr>
            <w:tcW w:w="1700" w:type="dxa"/>
            <w:vAlign w:val="bottom"/>
          </w:tcPr>
          <w:p>
            <w:pPr>
              <w:ind w:left="640"/>
              <w:spacing w:after="0"/>
              <w:rPr>
                <w:sz w:val="20"/>
                <w:szCs w:val="20"/>
                <w:color w:val="auto"/>
              </w:rPr>
            </w:pPr>
            <w:r>
              <w:rPr>
                <w:rFonts w:ascii="Arial" w:cs="Arial" w:eastAsia="Arial" w:hAnsi="Arial"/>
                <w:sz w:val="18"/>
                <w:szCs w:val="18"/>
                <w:color w:val="auto"/>
                <w:w w:val="90"/>
              </w:rPr>
              <w:t>March 9, 2015</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5580" w:type="dxa"/>
            <w:vAlign w:val="bottom"/>
            <w:vMerge w:val="restart"/>
          </w:tcPr>
          <w:p>
            <w:pPr>
              <w:ind w:left="160"/>
              <w:spacing w:after="0"/>
              <w:rPr>
                <w:sz w:val="20"/>
                <w:szCs w:val="20"/>
                <w:color w:val="auto"/>
              </w:rPr>
            </w:pPr>
            <w:r>
              <w:rPr>
                <w:rFonts w:ascii="Arial" w:cs="Arial" w:eastAsia="Arial" w:hAnsi="Arial"/>
                <w:sz w:val="18"/>
                <w:szCs w:val="18"/>
                <w:color w:val="auto"/>
              </w:rPr>
              <w:t>(principal financial officer)</w:t>
            </w: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4"/>
              </w:rPr>
              <w:t>Mark E. Kuchenrither</w:t>
            </w:r>
          </w:p>
        </w:tc>
        <w:tc>
          <w:tcPr>
            <w:tcW w:w="5580" w:type="dxa"/>
            <w:vAlign w:val="bottom"/>
            <w:vMerge w:val="continue"/>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3"/>
        </w:trPr>
        <w:tc>
          <w:tcPr>
            <w:tcW w:w="3640" w:type="dxa"/>
            <w:vAlign w:val="bottom"/>
          </w:tcPr>
          <w:p>
            <w:pPr>
              <w:jc w:val="center"/>
              <w:spacing w:after="0"/>
              <w:rPr>
                <w:sz w:val="20"/>
                <w:szCs w:val="20"/>
                <w:color w:val="auto"/>
              </w:rPr>
            </w:pPr>
            <w:r>
              <w:rPr>
                <w:rFonts w:ascii="Arial" w:cs="Arial" w:eastAsia="Arial" w:hAnsi="Arial"/>
                <w:sz w:val="18"/>
                <w:szCs w:val="18"/>
                <w:color w:val="auto"/>
                <w:w w:val="91"/>
              </w:rPr>
              <w:t>/s/ Stephen M. Brown</w:t>
            </w:r>
          </w:p>
        </w:tc>
        <w:tc>
          <w:tcPr>
            <w:tcW w:w="5580" w:type="dxa"/>
            <w:vAlign w:val="bottom"/>
          </w:tcPr>
          <w:p>
            <w:pPr>
              <w:ind w:left="160"/>
              <w:spacing w:after="0"/>
              <w:rPr>
                <w:sz w:val="20"/>
                <w:szCs w:val="20"/>
                <w:color w:val="auto"/>
              </w:rPr>
            </w:pPr>
            <w:r>
              <w:rPr>
                <w:rFonts w:ascii="Arial" w:cs="Arial" w:eastAsia="Arial" w:hAnsi="Arial"/>
                <w:sz w:val="18"/>
                <w:szCs w:val="18"/>
                <w:color w:val="auto"/>
              </w:rPr>
              <w:t>Vice President — Finance and Chief Accounting Officer</w:t>
            </w:r>
          </w:p>
        </w:tc>
        <w:tc>
          <w:tcPr>
            <w:tcW w:w="1700" w:type="dxa"/>
            <w:vAlign w:val="bottom"/>
          </w:tcPr>
          <w:p>
            <w:pPr>
              <w:ind w:left="640"/>
              <w:spacing w:after="0"/>
              <w:rPr>
                <w:sz w:val="20"/>
                <w:szCs w:val="20"/>
                <w:color w:val="auto"/>
              </w:rPr>
            </w:pPr>
            <w:r>
              <w:rPr>
                <w:rFonts w:ascii="Arial" w:cs="Arial" w:eastAsia="Arial" w:hAnsi="Arial"/>
                <w:sz w:val="18"/>
                <w:szCs w:val="18"/>
                <w:color w:val="auto"/>
                <w:w w:val="90"/>
              </w:rPr>
              <w:t>March 9, 2015</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5580" w:type="dxa"/>
            <w:vAlign w:val="bottom"/>
            <w:vMerge w:val="restart"/>
          </w:tcPr>
          <w:p>
            <w:pPr>
              <w:ind w:left="160"/>
              <w:spacing w:after="0"/>
              <w:rPr>
                <w:sz w:val="20"/>
                <w:szCs w:val="20"/>
                <w:color w:val="auto"/>
              </w:rPr>
            </w:pPr>
            <w:r>
              <w:rPr>
                <w:rFonts w:ascii="Arial" w:cs="Arial" w:eastAsia="Arial" w:hAnsi="Arial"/>
                <w:sz w:val="18"/>
                <w:szCs w:val="18"/>
                <w:color w:val="auto"/>
              </w:rPr>
              <w:t>(principal accounting officer)</w:t>
            </w: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1"/>
              </w:rPr>
              <w:t>Stephen M. Brown</w:t>
            </w:r>
          </w:p>
        </w:tc>
        <w:tc>
          <w:tcPr>
            <w:tcW w:w="5580" w:type="dxa"/>
            <w:vAlign w:val="bottom"/>
            <w:vMerge w:val="continue"/>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3640" w:type="dxa"/>
            <w:vAlign w:val="bottom"/>
          </w:tcPr>
          <w:p>
            <w:pPr>
              <w:jc w:val="center"/>
              <w:spacing w:after="0"/>
              <w:rPr>
                <w:sz w:val="20"/>
                <w:szCs w:val="20"/>
                <w:color w:val="auto"/>
              </w:rPr>
            </w:pPr>
            <w:r>
              <w:rPr>
                <w:rFonts w:ascii="Arial" w:cs="Arial" w:eastAsia="Arial" w:hAnsi="Arial"/>
                <w:sz w:val="18"/>
                <w:szCs w:val="18"/>
                <w:color w:val="auto"/>
                <w:w w:val="89"/>
              </w:rPr>
              <w:t>/s/ Lachlan P. Given</w:t>
            </w:r>
          </w:p>
        </w:tc>
        <w:tc>
          <w:tcPr>
            <w:tcW w:w="5580" w:type="dxa"/>
            <w:vAlign w:val="bottom"/>
          </w:tcPr>
          <w:p>
            <w:pPr>
              <w:ind w:left="160"/>
              <w:spacing w:after="0"/>
              <w:rPr>
                <w:sz w:val="20"/>
                <w:szCs w:val="20"/>
                <w:color w:val="auto"/>
              </w:rPr>
            </w:pPr>
            <w:r>
              <w:rPr>
                <w:rFonts w:ascii="Arial" w:cs="Arial" w:eastAsia="Arial" w:hAnsi="Arial"/>
                <w:sz w:val="18"/>
                <w:szCs w:val="18"/>
                <w:color w:val="auto"/>
              </w:rPr>
              <w:t>Executive Chairman of the Board</w:t>
            </w:r>
          </w:p>
        </w:tc>
        <w:tc>
          <w:tcPr>
            <w:tcW w:w="1700" w:type="dxa"/>
            <w:vAlign w:val="bottom"/>
          </w:tcPr>
          <w:p>
            <w:pPr>
              <w:ind w:left="640"/>
              <w:spacing w:after="0"/>
              <w:rPr>
                <w:sz w:val="20"/>
                <w:szCs w:val="20"/>
                <w:color w:val="auto"/>
              </w:rPr>
            </w:pPr>
            <w:r>
              <w:rPr>
                <w:rFonts w:ascii="Arial" w:cs="Arial" w:eastAsia="Arial" w:hAnsi="Arial"/>
                <w:sz w:val="18"/>
                <w:szCs w:val="18"/>
                <w:color w:val="auto"/>
                <w:w w:val="90"/>
              </w:rPr>
              <w:t>March 9, 2015</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5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0"/>
              </w:rPr>
              <w:t>Lachlan P. Given</w:t>
            </w:r>
          </w:p>
        </w:tc>
        <w:tc>
          <w:tcPr>
            <w:tcW w:w="5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3640" w:type="dxa"/>
            <w:vAlign w:val="bottom"/>
          </w:tcPr>
          <w:p>
            <w:pPr>
              <w:jc w:val="center"/>
              <w:spacing w:after="0"/>
              <w:rPr>
                <w:sz w:val="20"/>
                <w:szCs w:val="20"/>
                <w:color w:val="auto"/>
              </w:rPr>
            </w:pPr>
            <w:r>
              <w:rPr>
                <w:rFonts w:ascii="Arial" w:cs="Arial" w:eastAsia="Arial" w:hAnsi="Arial"/>
                <w:sz w:val="18"/>
                <w:szCs w:val="18"/>
                <w:color w:val="auto"/>
                <w:w w:val="94"/>
              </w:rPr>
              <w:t>/s/ Matthew W. Appel</w:t>
            </w:r>
          </w:p>
        </w:tc>
        <w:tc>
          <w:tcPr>
            <w:tcW w:w="55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640"/>
              <w:spacing w:after="0"/>
              <w:rPr>
                <w:sz w:val="20"/>
                <w:szCs w:val="20"/>
                <w:color w:val="auto"/>
              </w:rPr>
            </w:pPr>
            <w:r>
              <w:rPr>
                <w:rFonts w:ascii="Arial" w:cs="Arial" w:eastAsia="Arial" w:hAnsi="Arial"/>
                <w:sz w:val="18"/>
                <w:szCs w:val="18"/>
                <w:color w:val="auto"/>
                <w:w w:val="90"/>
              </w:rPr>
              <w:t>March 9, 2015</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5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3"/>
              </w:rPr>
              <w:t>Matthew W. Appel</w:t>
            </w:r>
          </w:p>
        </w:tc>
        <w:tc>
          <w:tcPr>
            <w:tcW w:w="5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40" w:type="dxa"/>
            <w:vAlign w:val="bottom"/>
          </w:tcPr>
          <w:p>
            <w:pPr>
              <w:jc w:val="center"/>
              <w:spacing w:after="0"/>
              <w:rPr>
                <w:sz w:val="20"/>
                <w:szCs w:val="20"/>
                <w:color w:val="auto"/>
              </w:rPr>
            </w:pPr>
            <w:r>
              <w:rPr>
                <w:rFonts w:ascii="Arial" w:cs="Arial" w:eastAsia="Arial" w:hAnsi="Arial"/>
                <w:sz w:val="18"/>
                <w:szCs w:val="18"/>
                <w:color w:val="auto"/>
                <w:w w:val="90"/>
              </w:rPr>
              <w:t>/s/ Santiago Creel Miranda</w:t>
            </w:r>
          </w:p>
        </w:tc>
        <w:tc>
          <w:tcPr>
            <w:tcW w:w="55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640"/>
              <w:spacing w:after="0"/>
              <w:rPr>
                <w:sz w:val="20"/>
                <w:szCs w:val="20"/>
                <w:color w:val="auto"/>
              </w:rPr>
            </w:pPr>
            <w:r>
              <w:rPr>
                <w:rFonts w:ascii="Arial" w:cs="Arial" w:eastAsia="Arial" w:hAnsi="Arial"/>
                <w:sz w:val="18"/>
                <w:szCs w:val="18"/>
                <w:color w:val="auto"/>
                <w:w w:val="90"/>
              </w:rPr>
              <w:t>March 9, 2015</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5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0"/>
              </w:rPr>
              <w:t>Santiago Creel Miranda</w:t>
            </w:r>
          </w:p>
        </w:tc>
        <w:tc>
          <w:tcPr>
            <w:tcW w:w="5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40" w:type="dxa"/>
            <w:vAlign w:val="bottom"/>
          </w:tcPr>
          <w:p>
            <w:pPr>
              <w:jc w:val="center"/>
              <w:spacing w:after="0"/>
              <w:rPr>
                <w:sz w:val="20"/>
                <w:szCs w:val="20"/>
                <w:color w:val="auto"/>
              </w:rPr>
            </w:pPr>
            <w:r>
              <w:rPr>
                <w:rFonts w:ascii="Arial" w:cs="Arial" w:eastAsia="Arial" w:hAnsi="Arial"/>
                <w:sz w:val="18"/>
                <w:szCs w:val="18"/>
                <w:color w:val="auto"/>
                <w:w w:val="90"/>
              </w:rPr>
              <w:t>/s/ Peter Cumins</w:t>
            </w:r>
          </w:p>
        </w:tc>
        <w:tc>
          <w:tcPr>
            <w:tcW w:w="55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640"/>
              <w:spacing w:after="0"/>
              <w:rPr>
                <w:sz w:val="20"/>
                <w:szCs w:val="20"/>
                <w:color w:val="auto"/>
              </w:rPr>
            </w:pPr>
            <w:r>
              <w:rPr>
                <w:rFonts w:ascii="Arial" w:cs="Arial" w:eastAsia="Arial" w:hAnsi="Arial"/>
                <w:sz w:val="18"/>
                <w:szCs w:val="18"/>
                <w:color w:val="auto"/>
                <w:w w:val="90"/>
              </w:rPr>
              <w:t>March 9, 2015</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5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8"/>
              </w:rPr>
              <w:t>Peter Cumins</w:t>
            </w:r>
          </w:p>
        </w:tc>
        <w:tc>
          <w:tcPr>
            <w:tcW w:w="5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3640" w:type="dxa"/>
            <w:vAlign w:val="bottom"/>
          </w:tcPr>
          <w:p>
            <w:pPr>
              <w:jc w:val="center"/>
              <w:spacing w:after="0"/>
              <w:rPr>
                <w:sz w:val="20"/>
                <w:szCs w:val="20"/>
                <w:color w:val="auto"/>
              </w:rPr>
            </w:pPr>
            <w:r>
              <w:rPr>
                <w:rFonts w:ascii="Arial" w:cs="Arial" w:eastAsia="Arial" w:hAnsi="Arial"/>
                <w:sz w:val="18"/>
                <w:szCs w:val="18"/>
                <w:color w:val="auto"/>
                <w:w w:val="88"/>
              </w:rPr>
              <w:t>/s/ Pablo Lagos Espinosa</w:t>
            </w:r>
          </w:p>
        </w:tc>
        <w:tc>
          <w:tcPr>
            <w:tcW w:w="55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640"/>
              <w:spacing w:after="0"/>
              <w:rPr>
                <w:sz w:val="20"/>
                <w:szCs w:val="20"/>
                <w:color w:val="auto"/>
              </w:rPr>
            </w:pPr>
            <w:r>
              <w:rPr>
                <w:rFonts w:ascii="Arial" w:cs="Arial" w:eastAsia="Arial" w:hAnsi="Arial"/>
                <w:sz w:val="18"/>
                <w:szCs w:val="18"/>
                <w:color w:val="auto"/>
                <w:w w:val="90"/>
              </w:rPr>
              <w:t>March 9, 2015</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5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9"/>
              </w:rPr>
              <w:t>Pablo Lagos Espinosa</w:t>
            </w:r>
          </w:p>
        </w:tc>
        <w:tc>
          <w:tcPr>
            <w:tcW w:w="5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3640" w:type="dxa"/>
            <w:vAlign w:val="bottom"/>
          </w:tcPr>
          <w:p>
            <w:pPr>
              <w:jc w:val="center"/>
              <w:spacing w:after="0"/>
              <w:rPr>
                <w:sz w:val="20"/>
                <w:szCs w:val="20"/>
                <w:color w:val="auto"/>
              </w:rPr>
            </w:pPr>
            <w:r>
              <w:rPr>
                <w:rFonts w:ascii="Arial" w:cs="Arial" w:eastAsia="Arial" w:hAnsi="Arial"/>
                <w:sz w:val="18"/>
                <w:szCs w:val="18"/>
                <w:color w:val="auto"/>
                <w:w w:val="88"/>
              </w:rPr>
              <w:t>/s/ Thomas C. Roberts</w:t>
            </w:r>
          </w:p>
        </w:tc>
        <w:tc>
          <w:tcPr>
            <w:tcW w:w="55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640"/>
              <w:spacing w:after="0"/>
              <w:rPr>
                <w:sz w:val="20"/>
                <w:szCs w:val="20"/>
                <w:color w:val="auto"/>
              </w:rPr>
            </w:pPr>
            <w:r>
              <w:rPr>
                <w:rFonts w:ascii="Arial" w:cs="Arial" w:eastAsia="Arial" w:hAnsi="Arial"/>
                <w:sz w:val="18"/>
                <w:szCs w:val="18"/>
                <w:color w:val="auto"/>
                <w:w w:val="90"/>
              </w:rPr>
              <w:t>March 9, 2015</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5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9"/>
              </w:rPr>
              <w:t>Thomas C. Roberts</w:t>
            </w:r>
          </w:p>
        </w:tc>
        <w:tc>
          <w:tcPr>
            <w:tcW w:w="5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89"/>
              </w:rPr>
              <w:t>/s/ Joseph L. Rotunda</w:t>
            </w:r>
          </w:p>
        </w:tc>
        <w:tc>
          <w:tcPr>
            <w:tcW w:w="55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640"/>
              <w:spacing w:after="0"/>
              <w:rPr>
                <w:sz w:val="20"/>
                <w:szCs w:val="20"/>
                <w:color w:val="auto"/>
              </w:rPr>
            </w:pPr>
            <w:r>
              <w:rPr>
                <w:rFonts w:ascii="Arial" w:cs="Arial" w:eastAsia="Arial" w:hAnsi="Arial"/>
                <w:sz w:val="18"/>
                <w:szCs w:val="18"/>
                <w:color w:val="auto"/>
                <w:w w:val="90"/>
              </w:rPr>
              <w:t>March 9, 2015</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5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9"/>
              </w:rPr>
              <w:t>Joseph L. Rotunda</w:t>
            </w:r>
          </w:p>
        </w:tc>
        <w:tc>
          <w:tcPr>
            <w:tcW w:w="5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580" w:right="259" w:bottom="1440"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580" w:right="259" w:bottom="1440" w:gutter="0" w:footer="0" w:header="0"/>
          <w:type w:val="continuous"/>
        </w:sectPr>
      </w:pPr>
    </w:p>
    <w:bookmarkStart w:id="3" w:name="page4"/>
    <w:bookmarkEnd w:id="3"/>
    <w:tbl>
      <w:tblPr>
        <w:tblLayout w:type="fixed"/>
        <w:tblInd w:w="50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40" w:type="dxa"/>
            <w:vAlign w:val="bottom"/>
          </w:tcPr>
          <w:p>
            <w:pPr>
              <w:ind w:left="2520"/>
              <w:spacing w:after="0"/>
              <w:rPr>
                <w:sz w:val="20"/>
                <w:szCs w:val="20"/>
                <w:color w:val="auto"/>
              </w:rPr>
            </w:pPr>
            <w:r>
              <w:rPr>
                <w:rFonts w:ascii="Arial" w:cs="Arial" w:eastAsia="Arial" w:hAnsi="Arial"/>
                <w:sz w:val="18"/>
                <w:szCs w:val="18"/>
                <w:b w:val="1"/>
                <w:bCs w:val="1"/>
                <w:color w:val="auto"/>
              </w:rPr>
              <w:t>EXHIBIT INDEX</w:t>
            </w:r>
          </w:p>
        </w:tc>
      </w:tr>
      <w:tr>
        <w:trPr>
          <w:trHeight w:val="364"/>
        </w:trPr>
        <w:tc>
          <w:tcPr>
            <w:tcW w:w="20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Exhibit</w:t>
            </w:r>
          </w:p>
        </w:tc>
        <w:tc>
          <w:tcPr>
            <w:tcW w:w="8440" w:type="dxa"/>
            <w:vAlign w:val="bottom"/>
          </w:tcPr>
          <w:p>
            <w:pPr>
              <w:spacing w:after="0"/>
              <w:rPr>
                <w:sz w:val="24"/>
                <w:szCs w:val="24"/>
                <w:color w:val="auto"/>
              </w:rPr>
            </w:pPr>
          </w:p>
        </w:tc>
      </w:tr>
      <w:tr>
        <w:trPr>
          <w:trHeight w:val="210"/>
        </w:trPr>
        <w:tc>
          <w:tcPr>
            <w:tcW w:w="20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Number</w:t>
            </w:r>
          </w:p>
        </w:tc>
        <w:tc>
          <w:tcPr>
            <w:tcW w:w="844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5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r>
      <w:tr>
        <w:trPr>
          <w:trHeight w:val="237"/>
        </w:trPr>
        <w:tc>
          <w:tcPr>
            <w:tcW w:w="158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42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Opinion of Vinson &amp; Elkins L.L.P.</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5"/>
              </w:rPr>
              <w:t>23.1*</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Deloitte &amp; Touche LLP</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5"/>
              </w:rPr>
              <w:t>23.2*</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BDO USA, LLP</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5"/>
              </w:rPr>
              <w:t>23.2*</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Vinson &amp; Elkins L.L.P. (included in Exhibit 5.1)</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5"/>
              </w:rPr>
              <w:t>24.1*</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Power of attorney (set forth on signature page)</w:t>
            </w:r>
          </w:p>
        </w:tc>
      </w:tr>
      <w:tr>
        <w:trPr>
          <w:trHeight w:val="256"/>
        </w:trPr>
        <w:tc>
          <w:tcPr>
            <w:tcW w:w="15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420" w:type="dxa"/>
            <w:vAlign w:val="bottom"/>
          </w:tcPr>
          <w:p>
            <w:pPr>
              <w:spacing w:after="0"/>
              <w:rPr>
                <w:sz w:val="22"/>
                <w:szCs w:val="22"/>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2"/>
              </w:rPr>
              <w:t>Amended and Restated EZCORP, Inc. 2010 Long-Term Incentive Plan, effective February 26, 2015 (incorporated</w:t>
            </w:r>
          </w:p>
        </w:tc>
      </w:tr>
      <w:tr>
        <w:trPr>
          <w:trHeight w:val="216"/>
        </w:trPr>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3"/>
              </w:rPr>
              <w:t>by reference to Exhibit 10.1 to the Company's Current Report on Form 8-K filed March 3, 2015, Commission File</w:t>
            </w:r>
          </w:p>
        </w:tc>
      </w:tr>
      <w:tr>
        <w:trPr>
          <w:trHeight w:val="230"/>
        </w:trPr>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No. 0-19424)</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5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240" w:top="580" w:right="7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379730</wp:posOffset>
            </wp:positionV>
            <wp:extent cx="1689735"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973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March 9, 2015</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1901 Capital Parkway</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Austin, TX 78746</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Ladies and Gentlemen:</w:t>
      </w:r>
    </w:p>
    <w:p>
      <w:pPr>
        <w:spacing w:after="0" w:line="163" w:lineRule="exact"/>
        <w:rPr>
          <w:sz w:val="20"/>
          <w:szCs w:val="20"/>
          <w:color w:val="auto"/>
        </w:rPr>
      </w:pPr>
    </w:p>
    <w:p>
      <w:pPr>
        <w:jc w:val="both"/>
        <w:ind w:left="240" w:firstLine="648"/>
        <w:spacing w:after="0" w:line="257" w:lineRule="auto"/>
        <w:rPr>
          <w:sz w:val="20"/>
          <w:szCs w:val="20"/>
          <w:color w:val="auto"/>
        </w:rPr>
      </w:pPr>
      <w:r>
        <w:rPr>
          <w:rFonts w:ascii="Arial" w:cs="Arial" w:eastAsia="Arial" w:hAnsi="Arial"/>
          <w:sz w:val="18"/>
          <w:szCs w:val="18"/>
          <w:color w:val="auto"/>
        </w:rPr>
        <w:t>We have acted as counsel for EZCORP,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Company’s registration under the Securities Act of 1933,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of the offer and sale of an aggregate of up to 643,673 shares of the Company’s shares of Class A Non-Voting Common Stock, par value $0.01 per share, of the Company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pursuant to the Company’s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to be filed with the Securities and Exchange Commission on March 9, 2015, which such shares of Common Stock may be issued from time to time in accordance with the terms of the EZCORP, Inc. 2010 Long-Term Incentive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64" w:lineRule="exact"/>
        <w:rPr>
          <w:sz w:val="20"/>
          <w:szCs w:val="20"/>
          <w:color w:val="auto"/>
        </w:rPr>
      </w:pPr>
    </w:p>
    <w:p>
      <w:pPr>
        <w:jc w:val="both"/>
        <w:ind w:left="240" w:firstLine="648"/>
        <w:spacing w:after="0" w:line="269" w:lineRule="auto"/>
        <w:rPr>
          <w:sz w:val="20"/>
          <w:szCs w:val="20"/>
          <w:color w:val="auto"/>
        </w:rPr>
      </w:pPr>
      <w:r>
        <w:rPr>
          <w:rFonts w:ascii="Arial" w:cs="Arial" w:eastAsia="Arial" w:hAnsi="Arial"/>
          <w:sz w:val="17"/>
          <w:szCs w:val="17"/>
          <w:color w:val="auto"/>
        </w:rPr>
        <w:t>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Registration Statement, (ii) certain resolutions adopted by the board of directors of the Company, (iii) a written consent adopted by the sole voting stockholder of the Company, (iv) the Plan, and (v) such other certificates, instruments, and documents as we have considered necessary for purposes of this opinion letter. As to any facts material to our opinions, we have made no independent investigation or verification of such facts and have relied, to the extent that we deem such reliance proper, upon representations of public officials and officers or other representatives of the Company.</w:t>
      </w:r>
    </w:p>
    <w:p>
      <w:pPr>
        <w:spacing w:after="0" w:line="155" w:lineRule="exact"/>
        <w:rPr>
          <w:sz w:val="20"/>
          <w:szCs w:val="20"/>
          <w:color w:val="auto"/>
        </w:rPr>
      </w:pPr>
    </w:p>
    <w:p>
      <w:pPr>
        <w:jc w:val="both"/>
        <w:ind w:left="240" w:firstLine="648"/>
        <w:spacing w:after="0" w:line="253" w:lineRule="auto"/>
        <w:rPr>
          <w:sz w:val="20"/>
          <w:szCs w:val="20"/>
          <w:color w:val="auto"/>
        </w:rPr>
      </w:pPr>
      <w:r>
        <w:rPr>
          <w:rFonts w:ascii="Arial" w:cs="Arial" w:eastAsia="Arial" w:hAnsi="Arial"/>
          <w:sz w:val="18"/>
          <w:szCs w:val="18"/>
          <w:color w:val="auto"/>
        </w:rPr>
        <w:t>We have assumed (i) the legal capacity of all natural persons, (ii) the genuineness of all signatures, (iii) the authority of all persons signing all documents submitted to us on behalf of the parties to such documents, (iv) the authenticity of all documents submitted to us as originals, (v) the conformity to authentic original documents of all documents submitted to us as copies, (vi) that all information contained in all documents reviewed by us is true, correct and complete and (vii) that the Common Stock will be issued in accordance with the terms of the Plan.</w:t>
      </w:r>
    </w:p>
    <w:p>
      <w:pPr>
        <w:spacing w:after="0" w:line="165" w:lineRule="exact"/>
        <w:rPr>
          <w:sz w:val="20"/>
          <w:szCs w:val="20"/>
          <w:color w:val="auto"/>
        </w:rPr>
      </w:pPr>
    </w:p>
    <w:p>
      <w:pPr>
        <w:jc w:val="both"/>
        <w:ind w:left="240" w:firstLine="648"/>
        <w:spacing w:after="0" w:line="253" w:lineRule="auto"/>
        <w:rPr>
          <w:sz w:val="20"/>
          <w:szCs w:val="20"/>
          <w:color w:val="auto"/>
        </w:rPr>
      </w:pPr>
      <w:r>
        <w:rPr>
          <w:rFonts w:ascii="Arial" w:cs="Arial" w:eastAsia="Arial" w:hAnsi="Arial"/>
          <w:sz w:val="18"/>
          <w:szCs w:val="18"/>
          <w:color w:val="auto"/>
        </w:rPr>
        <w:t>Based on the foregoing and subject to the limitations set forth herein, and having due regard for the legal considerations we deem relevant, we are of the opinion that the Common Stock has been duly authorized and, when shares of Common Stock are issued by the Company in accordance with the terms of the Plan and the instruments executed pursuant to the Plan, as applicable, which govern the awards to which shares of Common Stock relate, the shares of Common Stock will be validly issued, fully paid and non-assessable.</w:t>
      </w:r>
    </w:p>
    <w:p>
      <w:pPr>
        <w:spacing w:after="0" w:line="165" w:lineRule="exact"/>
        <w:rPr>
          <w:sz w:val="20"/>
          <w:szCs w:val="20"/>
          <w:color w:val="auto"/>
        </w:rPr>
      </w:pPr>
    </w:p>
    <w:p>
      <w:pPr>
        <w:jc w:val="both"/>
        <w:ind w:left="240" w:firstLine="648"/>
        <w:spacing w:after="0" w:line="254" w:lineRule="auto"/>
        <w:rPr>
          <w:sz w:val="20"/>
          <w:szCs w:val="20"/>
          <w:color w:val="auto"/>
        </w:rPr>
      </w:pPr>
      <w:r>
        <w:rPr>
          <w:rFonts w:ascii="Arial" w:cs="Arial" w:eastAsia="Arial" w:hAnsi="Arial"/>
          <w:sz w:val="18"/>
          <w:szCs w:val="18"/>
          <w:color w:val="auto"/>
        </w:rPr>
        <w:t>This opinion is limited in all respects to the Delaware General Corporation Law. We express no opinion as to any other law or any matter other than as expressly set forth above, and no opinion on any other matter may be inferred or implied herefrom. The opinions expressed herein are rendered as of the date hereof and we expressly disclaim any obligation to update this letter or advise you of any change in any matter after the date hereof.</w:t>
      </w:r>
    </w:p>
    <w:p>
      <w:pPr>
        <w:spacing w:after="0" w:line="204" w:lineRule="exact"/>
        <w:rPr>
          <w:sz w:val="20"/>
          <w:szCs w:val="20"/>
          <w:color w:val="auto"/>
        </w:rPr>
      </w:pPr>
    </w:p>
    <w:p>
      <w:pPr>
        <w:jc w:val="both"/>
        <w:ind w:left="240" w:right="20" w:firstLine="648"/>
        <w:spacing w:after="0" w:line="262" w:lineRule="auto"/>
        <w:rPr>
          <w:sz w:val="20"/>
          <w:szCs w:val="20"/>
          <w:color w:val="auto"/>
        </w:rPr>
      </w:pPr>
      <w:r>
        <w:rPr>
          <w:rFonts w:ascii="Arial" w:cs="Arial" w:eastAsia="Arial" w:hAnsi="Arial"/>
          <w:sz w:val="18"/>
          <w:szCs w:val="18"/>
          <w:color w:val="auto"/>
        </w:rPr>
        <w:t>This opinion letter may be filed as an exhibit to the Registration Statement. In giving this consent, we do not thereby admit that we come within the category of persons whose consent is required under Section 7 of the Act.</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Very truly yours,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 Vinson &amp; Elkins L.L.P.</w:t>
      </w:r>
    </w:p>
    <w:p>
      <w:pPr>
        <w:sectPr>
          <w:pgSz w:w="11900" w:h="16838" w:orient="portrait"/>
          <w:cols w:equalWidth="0" w:num="1">
            <w:col w:w="11000"/>
          </w:cols>
          <w:pgMar w:left="66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Vinson &amp; Elkins LLP Attorneys at Law</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Abu Dhabi Austin Beijing Dallas Dubai Hong Kong Houston London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Moscow New York Palo Alto Riyadh San Francisco Tokyo Washington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2001 Ross Avenue, Suite 3700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Dallas, TX 75201-2975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Tel </w:t>
      </w:r>
      <w:r>
        <w:rPr>
          <w:rFonts w:ascii="Arial" w:cs="Arial" w:eastAsia="Arial" w:hAnsi="Arial"/>
          <w:sz w:val="14"/>
          <w:szCs w:val="14"/>
          <w:color w:val="auto"/>
        </w:rPr>
        <w:t>+1.214.220.7700</w:t>
      </w:r>
      <w:r>
        <w:rPr>
          <w:rFonts w:ascii="Arial" w:cs="Arial" w:eastAsia="Arial" w:hAnsi="Arial"/>
          <w:sz w:val="14"/>
          <w:szCs w:val="14"/>
          <w:b w:val="1"/>
          <w:bCs w:val="1"/>
          <w:color w:val="auto"/>
        </w:rPr>
        <w:t xml:space="preserve"> Fax </w:t>
      </w:r>
      <w:r>
        <w:rPr>
          <w:rFonts w:ascii="Arial" w:cs="Arial" w:eastAsia="Arial" w:hAnsi="Arial"/>
          <w:sz w:val="14"/>
          <w:szCs w:val="14"/>
          <w:color w:val="auto"/>
        </w:rPr>
        <w:t>+1.214.220.7716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www.velaw.com</w:t>
      </w:r>
    </w:p>
    <w:p>
      <w:pPr>
        <w:sectPr>
          <w:pgSz w:w="11900" w:h="16838" w:orient="portrait"/>
          <w:cols w:equalWidth="0" w:num="3">
            <w:col w:w="4600" w:space="720"/>
            <w:col w:w="2740" w:space="80"/>
            <w:col w:w="2860"/>
          </w:cols>
          <w:pgMar w:left="660" w:top="118" w:right="2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reports dated November 26, 2014, relating to the financial statements of EZCORP, Inc., and the effectiveness of EZCORP, Inc.'s internal control over financial reporting, appearing in the Annual Report on Form 10-K of EZCORP, Inc. for the year ended September 30, 2014.</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2015</w:t>
      </w:r>
    </w:p>
    <w:p>
      <w:pPr>
        <w:sectPr>
          <w:pgSz w:w="11900" w:h="16838" w:orient="portrait"/>
          <w:cols w:equalWidth="0" w:num="1">
            <w:col w:w="11420"/>
          </w:cols>
          <w:pgMar w:left="240" w:top="12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hereby consent to the incorporation by reference in the Prospectus constituting a part of this Registration Statement of our report dated November 20, 2012, except for Notes 2, 4, 6, 7, 12, 14, 19 and 23, which are as of November 26, 2014, relating to the consolidated financial statements of EZCORP.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2020-01-22T20:14:17Z</dcterms:created>
  <dcterms:modified xsi:type="dcterms:W3CDTF">2020-01-22T20:14:17Z</dcterms:modified>
</cp:coreProperties>
</file>