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267319ds3asr.htm"/>
        <w:bookmarkStart w:id="1" w:name="ksd267319ds3asr"/>
        <w:bookmarkEnd w:id="0"/>
        <w:bookmarkEnd w:id="1"/>
        <w:r>
          <w:rPr>
            <w:rStyle w:val="InternetLink"/>
          </w:rPr>
          <w:t>Table of Contents</w:t>
        </w:r>
      </w:hyperlink>
    </w:p>
    <w:p>
      <w:pPr>
        <w:pStyle w:val="TextBody"/>
        <w:spacing w:before="0" w:after="0"/>
        <w:jc w:val="center"/>
        <w:rPr>
          <w:rFonts w:ascii="Times New Roman" w:hAnsi="Times New Roman"/>
          <w:b/>
          <w:sz w:val="14"/>
        </w:rPr>
      </w:pPr>
      <w:r>
        <w:rPr>
          <w:rFonts w:ascii="Times New Roman" w:hAnsi="Times New Roman"/>
          <w:b/>
          <w:sz w:val="14"/>
        </w:rPr>
        <w:t xml:space="preserve">As filed with the Securities and Exchange Commission on February 3, 2012 </w:t>
      </w:r>
    </w:p>
    <w:p>
      <w:pPr>
        <w:pStyle w:val="TextBody"/>
        <w:spacing w:before="0" w:after="0"/>
        <w:jc w:val="right"/>
        <w:rPr>
          <w:rFonts w:ascii="Times New Roman" w:hAnsi="Times New Roman"/>
          <w:b/>
          <w:sz w:val="14"/>
        </w:rPr>
      </w:pPr>
      <w:r>
        <w:rPr>
          <w:rFonts w:ascii="Times New Roman" w:hAnsi="Times New Roman"/>
          <w:b/>
          <w:sz w:val="14"/>
        </w:rPr>
        <w:t>Registration No. 333-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15" w:after="0"/>
        <w:jc w:val="center"/>
        <w:rPr>
          <w:rFonts w:ascii="Times New Roman" w:hAnsi="Times New Roman"/>
          <w:b/>
          <w:sz w:val="28"/>
        </w:rPr>
      </w:pPr>
      <w:r>
        <w:rPr>
          <w:rFonts w:ascii="Times New Roman" w:hAnsi="Times New Roman"/>
          <w:b/>
          <w:sz w:val="28"/>
        </w:rPr>
        <w:t xml:space="preserve">UNITED STATES </w:t>
      </w:r>
    </w:p>
    <w:p>
      <w:pPr>
        <w:pStyle w:val="TextBody"/>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5" w:after="0"/>
        <w:jc w:val="center"/>
        <w:rPr>
          <w:rFonts w:ascii="Times New Roman" w:hAnsi="Times New Roman"/>
          <w:b/>
          <w:sz w:val="28"/>
        </w:rPr>
      </w:pPr>
      <w:r>
        <w:rPr>
          <w:rFonts w:ascii="Times New Roman" w:hAnsi="Times New Roman"/>
          <w:b/>
          <w:sz w:val="28"/>
        </w:rPr>
        <w:t xml:space="preserve">FORM S-3 </w:t>
      </w:r>
    </w:p>
    <w:p>
      <w:pPr>
        <w:pStyle w:val="TextBody"/>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spacing w:before="0" w:after="0"/>
        <w:jc w:val="center"/>
        <w:rPr>
          <w:rFonts w:ascii="Times New Roman" w:hAnsi="Times New Roman"/>
          <w:b/>
          <w:i/>
          <w:sz w:val="20"/>
        </w:rPr>
      </w:pPr>
      <w:r>
        <w:rPr>
          <w:rFonts w:ascii="Times New Roman" w:hAnsi="Times New Roman"/>
          <w:b/>
          <w:i/>
          <w:sz w:val="20"/>
        </w:rPr>
        <w:t xml:space="preserve">UNDER THE SECURITIES ACT OF 1933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5" w:after="0"/>
        <w:jc w:val="center"/>
        <w:rPr>
          <w:rFonts w:ascii="Times New Roman" w:hAnsi="Times New Roman"/>
          <w:b/>
          <w:sz w:val="36"/>
        </w:rPr>
      </w:pPr>
      <w:r>
        <w:rPr>
          <w:rFonts w:ascii="Times New Roman" w:hAnsi="Times New Roman"/>
          <w:b/>
          <w:sz w:val="36"/>
        </w:rPr>
        <w:t xml:space="preserve">EZCORP, INC.*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Delaware</w:t>
            </w:r>
          </w:p>
        </w:tc>
        <w:tc>
          <w:tcPr>
            <w:tcW w:w="202"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74-2540145</w:t>
            </w:r>
          </w:p>
        </w:tc>
      </w:tr>
      <w:tr>
        <w:trPr/>
        <w:tc>
          <w:tcPr>
            <w:tcW w:w="5001"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(State or other jurisdiction of incorporation or organization)</w:t>
            </w:r>
          </w:p>
        </w:tc>
        <w:tc>
          <w:tcPr>
            <w:tcW w:w="202"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 Identification Number)</w:t>
            </w:r>
          </w:p>
        </w:tc>
      </w:tr>
    </w:tbl>
    <w:p>
      <w:pPr>
        <w:pStyle w:val="TextBody"/>
        <w:spacing w:before="15" w:after="0"/>
        <w:jc w:val="center"/>
        <w:rPr>
          <w:rFonts w:ascii="Times New Roman" w:hAnsi="Times New Roman"/>
          <w:b/>
          <w:sz w:val="14"/>
        </w:rPr>
      </w:pPr>
      <w:r>
        <w:rPr>
          <w:rFonts w:ascii="Times New Roman" w:hAnsi="Times New Roman"/>
          <w:b/>
          <w:sz w:val="14"/>
        </w:rPr>
        <w:t xml:space="preserve">1901 Capital Parkway </w:t>
      </w:r>
    </w:p>
    <w:p>
      <w:pPr>
        <w:pStyle w:val="TextBody"/>
        <w:spacing w:before="0" w:after="0"/>
        <w:jc w:val="center"/>
        <w:rPr>
          <w:rFonts w:ascii="Times New Roman" w:hAnsi="Times New Roman"/>
          <w:b/>
          <w:sz w:val="14"/>
        </w:rPr>
      </w:pPr>
      <w:r>
        <w:rPr>
          <w:rFonts w:ascii="Times New Roman" w:hAnsi="Times New Roman"/>
          <w:b/>
          <w:sz w:val="14"/>
        </w:rPr>
        <w:t xml:space="preserve">Austin, Texas 78746 </w:t>
      </w:r>
    </w:p>
    <w:p>
      <w:pPr>
        <w:pStyle w:val="TextBody"/>
        <w:spacing w:before="0" w:after="0"/>
        <w:jc w:val="center"/>
        <w:rPr>
          <w:rFonts w:ascii="Times New Roman" w:hAnsi="Times New Roman"/>
          <w:b/>
          <w:sz w:val="14"/>
        </w:rPr>
      </w:pPr>
      <w:r>
        <w:rPr>
          <w:rFonts w:ascii="Times New Roman" w:hAnsi="Times New Roman"/>
          <w:b/>
          <w:sz w:val="14"/>
        </w:rPr>
        <w:t xml:space="preserve">(512) 314-3400 </w:t>
      </w:r>
    </w:p>
    <w:p>
      <w:pPr>
        <w:pStyle w:val="TextBody"/>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5" w:after="0"/>
        <w:jc w:val="center"/>
        <w:rPr>
          <w:rFonts w:ascii="Times New Roman" w:hAnsi="Times New Roman"/>
          <w:b/>
          <w:sz w:val="14"/>
        </w:rPr>
      </w:pPr>
      <w:r>
        <w:rPr>
          <w:rFonts w:ascii="Times New Roman" w:hAnsi="Times New Roman"/>
          <w:b/>
          <w:sz w:val="14"/>
        </w:rPr>
        <w:t xml:space="preserve">Thomas H. Welch, Jr. </w:t>
      </w:r>
    </w:p>
    <w:p>
      <w:pPr>
        <w:pStyle w:val="TextBody"/>
        <w:spacing w:before="0" w:after="0"/>
        <w:jc w:val="center"/>
        <w:rPr>
          <w:rFonts w:ascii="Times New Roman" w:hAnsi="Times New Roman"/>
          <w:b/>
          <w:sz w:val="14"/>
        </w:rPr>
      </w:pPr>
      <w:r>
        <w:rPr>
          <w:rFonts w:ascii="Times New Roman" w:hAnsi="Times New Roman"/>
          <w:b/>
          <w:sz w:val="14"/>
        </w:rPr>
        <w:t xml:space="preserve">Senior Vice President, General Counsel and Secretary </w:t>
      </w:r>
    </w:p>
    <w:p>
      <w:pPr>
        <w:pStyle w:val="TextBody"/>
        <w:spacing w:before="0" w:after="0"/>
        <w:jc w:val="center"/>
        <w:rPr>
          <w:rFonts w:ascii="Times New Roman" w:hAnsi="Times New Roman"/>
          <w:b/>
          <w:sz w:val="14"/>
        </w:rPr>
      </w:pPr>
      <w:r>
        <w:rPr>
          <w:rFonts w:ascii="Times New Roman" w:hAnsi="Times New Roman"/>
          <w:b/>
          <w:sz w:val="14"/>
        </w:rPr>
        <w:t xml:space="preserve">EZCORP, Inc. </w:t>
      </w:r>
    </w:p>
    <w:p>
      <w:pPr>
        <w:pStyle w:val="TextBody"/>
        <w:spacing w:before="0" w:after="0"/>
        <w:jc w:val="center"/>
        <w:rPr>
          <w:rFonts w:ascii="Times New Roman" w:hAnsi="Times New Roman"/>
          <w:b/>
          <w:sz w:val="14"/>
        </w:rPr>
      </w:pPr>
      <w:r>
        <w:rPr>
          <w:rFonts w:ascii="Times New Roman" w:hAnsi="Times New Roman"/>
          <w:b/>
          <w:sz w:val="14"/>
        </w:rPr>
        <w:t xml:space="preserve">1901 Capital Parkway </w:t>
      </w:r>
    </w:p>
    <w:p>
      <w:pPr>
        <w:pStyle w:val="TextBody"/>
        <w:spacing w:before="0" w:after="0"/>
        <w:jc w:val="center"/>
        <w:rPr>
          <w:rFonts w:ascii="Times New Roman" w:hAnsi="Times New Roman"/>
          <w:b/>
          <w:sz w:val="14"/>
        </w:rPr>
      </w:pPr>
      <w:r>
        <w:rPr>
          <w:rFonts w:ascii="Times New Roman" w:hAnsi="Times New Roman"/>
          <w:b/>
          <w:sz w:val="14"/>
        </w:rPr>
        <w:t xml:space="preserve">Austin, Texas 78746 </w:t>
      </w:r>
    </w:p>
    <w:p>
      <w:pPr>
        <w:pStyle w:val="TextBody"/>
        <w:spacing w:before="0" w:after="0"/>
        <w:jc w:val="center"/>
        <w:rPr>
          <w:rFonts w:ascii="Times New Roman" w:hAnsi="Times New Roman"/>
          <w:b/>
          <w:sz w:val="14"/>
        </w:rPr>
      </w:pPr>
      <w:r>
        <w:rPr>
          <w:rFonts w:ascii="Times New Roman" w:hAnsi="Times New Roman"/>
          <w:b/>
          <w:sz w:val="14"/>
        </w:rPr>
        <w:t xml:space="preserve">(512) 314-3409 </w:t>
      </w:r>
    </w:p>
    <w:p>
      <w:pPr>
        <w:pStyle w:val="TextBody"/>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5" w:after="0"/>
        <w:jc w:val="center"/>
        <w:rPr>
          <w:rFonts w:ascii="Times New Roman" w:hAnsi="Times New Roman"/>
          <w:b/>
          <w:i/>
          <w:sz w:val="14"/>
        </w:rPr>
      </w:pPr>
      <w:r>
        <w:rPr>
          <w:rFonts w:ascii="Times New Roman" w:hAnsi="Times New Roman"/>
          <w:b/>
          <w:i/>
          <w:sz w:val="14"/>
        </w:rPr>
        <w:t xml:space="preserve">Copies to: </w:t>
      </w:r>
    </w:p>
    <w:p>
      <w:pPr>
        <w:pStyle w:val="TextBody"/>
        <w:spacing w:before="15" w:after="0"/>
        <w:jc w:val="center"/>
        <w:rPr>
          <w:rFonts w:ascii="Times New Roman" w:hAnsi="Times New Roman"/>
          <w:b/>
          <w:sz w:val="14"/>
        </w:rPr>
      </w:pPr>
      <w:r>
        <w:rPr>
          <w:rFonts w:ascii="Times New Roman" w:hAnsi="Times New Roman"/>
          <w:b/>
          <w:sz w:val="14"/>
        </w:rPr>
        <w:t xml:space="preserve">William R. Volk </w:t>
      </w:r>
    </w:p>
    <w:p>
      <w:pPr>
        <w:pStyle w:val="TextBody"/>
        <w:spacing w:before="0" w:after="0"/>
        <w:jc w:val="center"/>
        <w:rPr>
          <w:rFonts w:ascii="Times New Roman" w:hAnsi="Times New Roman"/>
          <w:b/>
          <w:sz w:val="14"/>
        </w:rPr>
      </w:pPr>
      <w:r>
        <w:rPr>
          <w:rFonts w:ascii="Times New Roman" w:hAnsi="Times New Roman"/>
          <w:b/>
          <w:sz w:val="14"/>
        </w:rPr>
        <w:t xml:space="preserve">Christopher G. Schmitt </w:t>
      </w:r>
    </w:p>
    <w:p>
      <w:pPr>
        <w:pStyle w:val="TextBody"/>
        <w:spacing w:before="0" w:after="0"/>
        <w:jc w:val="center"/>
        <w:rPr>
          <w:rFonts w:ascii="Times New Roman" w:hAnsi="Times New Roman"/>
          <w:b/>
          <w:sz w:val="14"/>
        </w:rPr>
      </w:pPr>
      <w:r>
        <w:rPr>
          <w:rFonts w:ascii="Times New Roman" w:hAnsi="Times New Roman"/>
          <w:b/>
          <w:sz w:val="14"/>
        </w:rPr>
        <w:t xml:space="preserve">Vinson &amp; Elkins L.L.P. </w:t>
      </w:r>
    </w:p>
    <w:p>
      <w:pPr>
        <w:pStyle w:val="TextBody"/>
        <w:spacing w:before="0" w:after="0"/>
        <w:jc w:val="center"/>
        <w:rPr>
          <w:rFonts w:ascii="Times New Roman" w:hAnsi="Times New Roman"/>
          <w:b/>
          <w:sz w:val="14"/>
        </w:rPr>
      </w:pPr>
      <w:r>
        <w:rPr>
          <w:rFonts w:ascii="Times New Roman" w:hAnsi="Times New Roman"/>
          <w:b/>
          <w:sz w:val="14"/>
        </w:rPr>
        <w:t xml:space="preserve">2801 Via Fortuna, Suite 100 </w:t>
      </w:r>
    </w:p>
    <w:p>
      <w:pPr>
        <w:pStyle w:val="TextBody"/>
        <w:spacing w:before="0" w:after="0"/>
        <w:jc w:val="center"/>
        <w:rPr>
          <w:rFonts w:ascii="Times New Roman" w:hAnsi="Times New Roman"/>
          <w:b/>
          <w:sz w:val="14"/>
        </w:rPr>
      </w:pPr>
      <w:r>
        <w:rPr>
          <w:rFonts w:ascii="Times New Roman" w:hAnsi="Times New Roman"/>
          <w:b/>
          <w:sz w:val="14"/>
        </w:rPr>
        <w:t xml:space="preserve">Austin, Texas 78746-7568 </w:t>
      </w:r>
    </w:p>
    <w:p>
      <w:pPr>
        <w:pStyle w:val="TextBody"/>
        <w:spacing w:before="0" w:after="0"/>
        <w:jc w:val="center"/>
        <w:rPr>
          <w:rFonts w:ascii="Times New Roman" w:hAnsi="Times New Roman"/>
          <w:b/>
          <w:sz w:val="14"/>
        </w:rPr>
      </w:pPr>
      <w:r>
        <w:rPr>
          <w:rFonts w:ascii="Times New Roman" w:hAnsi="Times New Roman"/>
          <w:b/>
          <w:sz w:val="14"/>
        </w:rPr>
        <w:t xml:space="preserve">(512) 542-8400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30" w:after="0"/>
        <w:rPr>
          <w:rFonts w:ascii="Times New Roman" w:hAnsi="Times New Roman"/>
          <w:sz w:val="14"/>
        </w:rPr>
      </w:pPr>
      <w:r>
        <w:rPr>
          <w:rFonts w:ascii="Times New Roman" w:hAnsi="Times New Roman"/>
          <w:sz w:val="14"/>
        </w:rPr>
        <w:t xml:space="preserve">Approximate date of commencement of proposed sale of the securities to the public: From time to time after the effective date of this Registration Statement. </w:t>
      </w:r>
    </w:p>
    <w:p>
      <w:pPr>
        <w:pStyle w:val="TextBody"/>
        <w:spacing w:before="15" w:after="0"/>
        <w:rPr>
          <w:rFonts w:ascii="Times New Roman" w:hAnsi="Times New Roman"/>
          <w:sz w:val="14"/>
        </w:rPr>
      </w:pPr>
      <w:r>
        <w:rPr>
          <w:rFonts w:ascii="Times New Roman" w:hAnsi="Times New Roman"/>
          <w:sz w:val="14"/>
        </w:rPr>
        <w:t xml:space="preserve">If the only securities being registered on this form are being offered pursuant to dividend or interest reinvestment plans, please check the following box.  ☐ </w:t>
      </w:r>
    </w:p>
    <w:p>
      <w:pPr>
        <w:pStyle w:val="TextBody"/>
        <w:spacing w:before="0" w:after="0"/>
        <w:rPr>
          <w:rFonts w:ascii="Times New Roman" w:hAnsi="Times New Roman"/>
          <w:sz w:val="14"/>
        </w:rPr>
      </w:pPr>
      <w:r>
        <w:rPr>
          <w:rFonts w:ascii="Times New Roman" w:hAnsi="Times New Roman"/>
          <w:sz w:val="14"/>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0" w:after="0"/>
        <w:rPr>
          <w:rFonts w:ascii="Times New Roman" w:hAnsi="Times New Roman"/>
          <w:sz w:val="14"/>
        </w:rPr>
      </w:pPr>
      <w:r>
        <w:rPr>
          <w:rFonts w:ascii="Times New Roman" w:hAnsi="Times New Roman"/>
          <w:sz w:val="14"/>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0" w:after="0"/>
        <w:rPr>
          <w:rFonts w:ascii="Times New Roman" w:hAnsi="Times New Roman"/>
          <w:sz w:val="14"/>
        </w:rPr>
      </w:pPr>
      <w:r>
        <w:rPr>
          <w:rFonts w:ascii="Times New Roman" w:hAnsi="Times New Roman"/>
          <w:sz w:val="14"/>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0" w:after="0"/>
        <w:rPr>
          <w:rFonts w:ascii="Times New Roman" w:hAnsi="Times New Roman"/>
          <w:sz w:val="14"/>
        </w:rPr>
      </w:pPr>
      <w:r>
        <w:rPr>
          <w:rFonts w:ascii="Times New Roman" w:hAnsi="Times New Roman"/>
          <w:sz w:val="14"/>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spacing w:before="0" w:after="0"/>
        <w:rPr>
          <w:rFonts w:ascii="Times New Roman" w:hAnsi="Times New Roman"/>
          <w:sz w:val="14"/>
        </w:rPr>
      </w:pPr>
      <w:r>
        <w:rPr>
          <w:rFonts w:ascii="Times New Roman" w:hAnsi="Times New Roman"/>
          <w:sz w:val="14"/>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0" w:after="0"/>
        <w:rPr>
          <w:rFonts w:ascii="Times New Roman" w:hAnsi="Times New Roman"/>
          <w:sz w:val="14"/>
        </w:rPr>
      </w:pPr>
      <w:r>
        <w:rPr>
          <w:rFonts w:ascii="Times New Roman" w:hAnsi="Times New Roman"/>
          <w:sz w:val="14"/>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849"/>
        <w:gridCol w:w="116"/>
        <w:gridCol w:w="5434"/>
        <w:gridCol w:w="157"/>
        <w:gridCol w:w="2294"/>
        <w:gridCol w:w="116"/>
        <w:gridCol w:w="239"/>
      </w:tblGrid>
      <w:tr>
        <w:trPr/>
        <w:tc>
          <w:tcPr>
            <w:tcW w:w="184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543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229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184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Large accelerated filer</w:t>
            </w:r>
          </w:p>
        </w:tc>
        <w:tc>
          <w:tcPr>
            <w:tcW w:w="116" w:type="dxa"/>
            <w:tcBorders/>
            <w:shd w:fill="auto" w:val="clear"/>
            <w:vAlign w:val="bottom"/>
          </w:tcPr>
          <w:p>
            <w:pPr>
              <w:pStyle w:val="TableContents"/>
              <w:spacing w:before="0" w:after="283"/>
              <w:rPr/>
            </w:pPr>
            <w:r>
              <w:rPr/>
              <w:t> </w:t>
            </w:r>
          </w:p>
        </w:tc>
        <w:tc>
          <w:tcPr>
            <w:tcW w:w="5434" w:type="dxa"/>
            <w:tcBorders/>
            <w:shd w:fill="auto" w:val="clear"/>
            <w:vAlign w:val="bottom"/>
          </w:tcPr>
          <w:p>
            <w:pPr>
              <w:pStyle w:val="TableContents"/>
              <w:spacing w:before="0" w:after="283"/>
              <w:rPr/>
            </w:pPr>
            <w:r>
              <w:rPr/>
              <w:t>☒</w:t>
            </w:r>
          </w:p>
        </w:tc>
        <w:tc>
          <w:tcPr>
            <w:tcW w:w="157"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Accelerated filer</w:t>
            </w:r>
          </w:p>
        </w:tc>
        <w:tc>
          <w:tcPr>
            <w:tcW w:w="11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w:t>
            </w:r>
          </w:p>
        </w:tc>
      </w:tr>
      <w:tr>
        <w:trPr/>
        <w:tc>
          <w:tcPr>
            <w:tcW w:w="184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Non-accelerated filer</w:t>
            </w:r>
          </w:p>
        </w:tc>
        <w:tc>
          <w:tcPr>
            <w:tcW w:w="116" w:type="dxa"/>
            <w:tcBorders/>
            <w:shd w:fill="auto" w:val="clear"/>
            <w:vAlign w:val="bottom"/>
          </w:tcPr>
          <w:p>
            <w:pPr>
              <w:pStyle w:val="TableContents"/>
              <w:spacing w:before="0" w:after="283"/>
              <w:rPr/>
            </w:pPr>
            <w:r>
              <w:rPr/>
              <w:t> </w:t>
            </w:r>
          </w:p>
        </w:tc>
        <w:tc>
          <w:tcPr>
            <w:tcW w:w="5434" w:type="dxa"/>
            <w:tcBorders/>
            <w:shd w:fill="auto" w:val="clear"/>
            <w:vAlign w:val="bottom"/>
          </w:tcPr>
          <w:p>
            <w:pPr>
              <w:pStyle w:val="TableContents"/>
              <w:spacing w:before="0" w:after="283"/>
              <w:rPr/>
            </w:pPr>
            <w:r>
              <w:rPr/>
              <w:t>☐ </w:t>
            </w:r>
            <w:r>
              <w:rPr>
                <w:rFonts w:ascii="Times New Roman" w:hAnsi="Times New Roman"/>
                <w:sz w:val="14"/>
              </w:rPr>
              <w:t>(do not check if a smaller reporting company)</w:t>
            </w:r>
          </w:p>
        </w:tc>
        <w:tc>
          <w:tcPr>
            <w:tcW w:w="157"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Smaller reporting company</w:t>
            </w:r>
          </w:p>
        </w:tc>
        <w:tc>
          <w:tcPr>
            <w:tcW w:w="11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5" w:after="0"/>
        <w:jc w:val="center"/>
        <w:rPr>
          <w:rFonts w:ascii="Times New Roman" w:hAnsi="Times New Roman"/>
          <w:b/>
          <w:sz w:val="14"/>
        </w:rPr>
      </w:pPr>
      <w:r>
        <w:rPr>
          <w:rFonts w:ascii="Times New Roman" w:hAnsi="Times New Roman"/>
          <w:b/>
          <w:sz w:val="14"/>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91"/>
        <w:gridCol w:w="101"/>
        <w:gridCol w:w="1327"/>
        <w:gridCol w:w="101"/>
        <w:gridCol w:w="1328"/>
        <w:gridCol w:w="101"/>
        <w:gridCol w:w="1327"/>
        <w:gridCol w:w="101"/>
        <w:gridCol w:w="1328"/>
      </w:tblGrid>
      <w:tr>
        <w:trPr/>
        <w:tc>
          <w:tcPr>
            <w:tcW w:w="449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vAlign w:val="bottom"/>
          </w:tcPr>
          <w:p>
            <w:pPr>
              <w:pStyle w:val="TableContents"/>
              <w:pBdr>
                <w:top w:val="single" w:sz="2" w:space="1" w:color="000000"/>
              </w:pBdr>
              <w:spacing w:before="0" w:after="283"/>
              <w:rPr/>
            </w:pPr>
            <w:r>
              <w:rPr/>
              <w:t> </w:t>
            </w:r>
          </w:p>
        </w:tc>
      </w:tr>
      <w:tr>
        <w:trPr/>
        <w:tc>
          <w:tcPr>
            <w:tcW w:w="4491"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Title of each class of</w:t>
              <w:br/>
              <w:t>securities to be registered</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 to be</w:t>
              <w:br/>
              <w:t>registered (1)</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Proposed maximum</w:t>
              <w:br/>
              <w:t>offering price</w:t>
              <w:br/>
              <w:t>per share (2)</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Proposed maximum</w:t>
              <w:br/>
              <w:t>aggregate offering</w:t>
              <w:br/>
              <w:t>price (2)</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 of</w:t>
              <w:br/>
              <w:t>registration fee (3)</w:t>
            </w:r>
          </w:p>
        </w:tc>
      </w:tr>
      <w:tr>
        <w:trPr/>
        <w:tc>
          <w:tcPr>
            <w:tcW w:w="4491" w:type="dxa"/>
            <w:tcBorders>
              <w:top w:val="single" w:sz="2" w:space="0" w:color="000000"/>
            </w:tcBorders>
            <w:shd w:fill="auto" w:val="clear"/>
            <w:tcMar>
              <w:top w:w="28" w:type="dxa"/>
            </w:tcMar>
          </w:tcPr>
          <w:p>
            <w:pPr>
              <w:pStyle w:val="TableContents"/>
              <w:spacing w:before="0" w:after="283"/>
              <w:rPr>
                <w:rFonts w:ascii="Times New Roman" w:hAnsi="Times New Roman"/>
                <w:sz w:val="14"/>
              </w:rPr>
            </w:pPr>
            <w:r>
              <w:rPr>
                <w:rFonts w:ascii="Times New Roman" w:hAnsi="Times New Roman"/>
                <w:sz w:val="14"/>
              </w:rPr>
              <w:t>Debt securities (4)</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4491" w:type="dxa"/>
            <w:tcBorders>
              <w:top w:val="single" w:sz="2" w:space="0" w:color="000000"/>
            </w:tcBorders>
            <w:shd w:fill="auto" w:val="clear"/>
            <w:tcMar>
              <w:top w:w="28" w:type="dxa"/>
            </w:tcMar>
          </w:tcPr>
          <w:p>
            <w:pPr>
              <w:pStyle w:val="TableContents"/>
              <w:spacing w:before="0" w:after="283"/>
              <w:rPr>
                <w:rFonts w:ascii="Times New Roman" w:hAnsi="Times New Roman"/>
                <w:sz w:val="14"/>
              </w:rPr>
            </w:pPr>
            <w:r>
              <w:rPr>
                <w:rFonts w:ascii="Times New Roman" w:hAnsi="Times New Roman"/>
                <w:sz w:val="14"/>
              </w:rPr>
              <w:t>Class A Non-Voting Common Stock, par value $0.01 per share (4)</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4491" w:type="dxa"/>
            <w:tcBorders>
              <w:top w:val="single" w:sz="2" w:space="0" w:color="000000"/>
            </w:tcBorders>
            <w:shd w:fill="auto" w:val="clear"/>
            <w:tcMar>
              <w:top w:w="28" w:type="dxa"/>
            </w:tcMar>
          </w:tcPr>
          <w:p>
            <w:pPr>
              <w:pStyle w:val="TableContents"/>
              <w:spacing w:before="0" w:after="283"/>
              <w:rPr>
                <w:rFonts w:ascii="Times New Roman" w:hAnsi="Times New Roman"/>
                <w:sz w:val="14"/>
              </w:rPr>
            </w:pPr>
            <w:r>
              <w:rPr>
                <w:rFonts w:ascii="Times New Roman" w:hAnsi="Times New Roman"/>
                <w:sz w:val="14"/>
              </w:rPr>
              <w:t>Warrants (4)</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4491" w:type="dxa"/>
            <w:tcBorders>
              <w:top w:val="single" w:sz="2" w:space="0" w:color="000000"/>
            </w:tcBorders>
            <w:shd w:fill="auto" w:val="clear"/>
            <w:tcMar>
              <w:top w:w="28" w:type="dxa"/>
            </w:tcMar>
          </w:tcPr>
          <w:p>
            <w:pPr>
              <w:pStyle w:val="TableContents"/>
              <w:spacing w:before="0" w:after="283"/>
              <w:rPr>
                <w:rFonts w:ascii="Times New Roman" w:hAnsi="Times New Roman"/>
                <w:sz w:val="14"/>
              </w:rPr>
            </w:pPr>
            <w:r>
              <w:rPr>
                <w:rFonts w:ascii="Times New Roman" w:hAnsi="Times New Roman"/>
                <w:sz w:val="14"/>
              </w:rPr>
              <w:t>Stock purchase contracts (4)</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4491" w:type="dxa"/>
            <w:tcBorders>
              <w:top w:val="single" w:sz="2" w:space="0" w:color="000000"/>
            </w:tcBorders>
            <w:shd w:fill="auto" w:val="clear"/>
            <w:tcMar>
              <w:top w:w="28" w:type="dxa"/>
            </w:tcMar>
          </w:tcPr>
          <w:p>
            <w:pPr>
              <w:pStyle w:val="TableContents"/>
              <w:spacing w:before="0" w:after="283"/>
              <w:rPr>
                <w:rFonts w:ascii="Times New Roman" w:hAnsi="Times New Roman"/>
                <w:sz w:val="14"/>
              </w:rPr>
            </w:pPr>
            <w:r>
              <w:rPr>
                <w:rFonts w:ascii="Times New Roman" w:hAnsi="Times New Roman"/>
                <w:sz w:val="14"/>
              </w:rPr>
              <w:t>Stock purchase units (4)</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4491" w:type="dxa"/>
            <w:tcBorders>
              <w:top w:val="single" w:sz="2" w:space="0" w:color="000000"/>
            </w:tcBorders>
            <w:shd w:fill="auto" w:val="clear"/>
            <w:tcMar>
              <w:top w:w="28" w:type="dxa"/>
            </w:tcMar>
          </w:tcPr>
          <w:p>
            <w:pPr>
              <w:pStyle w:val="TableContents"/>
              <w:spacing w:before="0" w:after="283"/>
              <w:rPr>
                <w:rFonts w:ascii="Times New Roman" w:hAnsi="Times New Roman"/>
                <w:sz w:val="14"/>
              </w:rPr>
            </w:pPr>
            <w:r>
              <w:rPr>
                <w:rFonts w:ascii="Times New Roman" w:hAnsi="Times New Roman"/>
                <w:sz w:val="14"/>
              </w:rPr>
              <w:t>Guarantees of debt securities (5)</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10205" w:type="dxa"/>
            <w:gridSpan w:val="9"/>
            <w:tcBorders/>
            <w:shd w:fill="auto" w:val="clear"/>
            <w:vAlign w:val="bottom"/>
          </w:tcPr>
          <w:p>
            <w:pPr>
              <w:pStyle w:val="TableContents"/>
              <w:pBdr>
                <w:top w:val="single" w:sz="2" w:space="1" w:color="000000"/>
              </w:pBdr>
              <w:spacing w:before="0" w:after="283"/>
              <w:rPr/>
            </w:pPr>
            <w:r>
              <w:rPr/>
              <w:t> </w:t>
            </w:r>
          </w:p>
        </w:tc>
      </w:tr>
      <w:tr>
        <w:trPr/>
        <w:tc>
          <w:tcPr>
            <w:tcW w:w="10205" w:type="dxa"/>
            <w:gridSpan w:val="9"/>
            <w:tcBorders/>
            <w:shd w:fill="auto" w:val="clear"/>
            <w:vAlign w:val="bottom"/>
          </w:tcPr>
          <w:p>
            <w:pPr>
              <w:pStyle w:val="TableContents"/>
              <w:pBdr>
                <w:top w:val="single" w:sz="2" w:space="1" w:color="000000"/>
              </w:pBdr>
              <w:spacing w:before="0" w:after="283"/>
              <w:rPr/>
            </w:pPr>
            <w:r>
              <w:rPr/>
              <w:t>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An indeterminate aggregate initial offering price or number of the securities of each identified class is being registered as may from time to time be offered hereunder at indeterminate prices. Separate consideration may or may not be received for securities that are issuable on exercise, conversion or exchange of other securities or that are issued in units or represented by depositary shares.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Pursuant to General Instruction II.E., this information is not required to be included. The proposed maximum offering price per security will be determined from time to time by the registrant in connection with the issuance of the securities registered by this Registration Statement. If any debt securities are issued at an original issue discount, then the amount registered will include the principal or liquidation amount of such securities measured by the initial offering price thereof.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In accordance with Rules 456(b) and 457(r) under the Securities Act of 1933, the registrant is deferring payment of the registration fee.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(4)</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This Registration Statement covers an indeterminate amount of securities as may be issued in exchange for, or upon conversion or exercise of, as the case may be, the debt securities, Class A Non-Voting Common Stock or warrants registered under this Registration Statement and such indeterminate amount of securities as may be issued upon settlement of the stock purchase contracts or stock purchase units registered under this Registration Statement. The securities registered under this Registration Statement may be sold separately or as units with other securities registered under this Registration Statement. No separate consideration will be received for any securities registered under this Registration Statement that are issued in exchange for, or upon conversion of, as the case may be, the debt securities, Class A Non-Voting Common Stock or warrants.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(5)</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One or more subsidiaries of EZCORP, Inc., named as a co-registrant, may fully, irrevocably and unconditionally guarantee on an unsecured basis the debt securities. In accordance with Rule 457(n), no separate fee is payable with respect to the guarantee of the debt securities being registered.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ADDITIONAL REGISTRANTS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following are co-registrants that guarantee the debt securities: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57"/>
        <w:gridCol w:w="203"/>
        <w:gridCol w:w="1021"/>
        <w:gridCol w:w="203"/>
        <w:gridCol w:w="1021"/>
      </w:tblGrid>
      <w:tr>
        <w:trPr/>
        <w:tc>
          <w:tcPr>
            <w:tcW w:w="775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r>
      <w:tr>
        <w:trPr/>
        <w:tc>
          <w:tcPr>
            <w:tcW w:w="775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Exact Name of Subsidiary Guarantor (1)</w:t>
            </w:r>
          </w:p>
        </w:tc>
        <w:tc>
          <w:tcPr>
            <w:tcW w:w="203" w:type="dxa"/>
            <w:tcBorders/>
            <w:shd w:fill="auto" w:val="clear"/>
            <w:vAlign w:val="bottom"/>
          </w:tcPr>
          <w:p>
            <w:pPr>
              <w:pStyle w:val="TableContents"/>
              <w:spacing w:before="0" w:after="283"/>
              <w:rPr/>
            </w:pPr>
            <w:r>
              <w:rPr/>
              <w:t>  </w:t>
            </w:r>
          </w:p>
        </w:tc>
        <w:tc>
          <w:tcPr>
            <w:tcW w:w="1021"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State or</w:t>
              <w:br/>
              <w:t>Other</w:t>
              <w:br/>
              <w:t>Jurisdiction</w:t>
              <w:br/>
              <w:t>of</w:t>
              <w:br/>
              <w:t>Incorporation</w:t>
              <w:br/>
              <w:t>or</w:t>
            </w:r>
          </w:p>
          <w:p>
            <w:pPr>
              <w:pStyle w:val="TableContents"/>
              <w:spacing w:before="0" w:after="15"/>
              <w:jc w:val="center"/>
              <w:rPr>
                <w:rFonts w:ascii="Times New Roman" w:hAnsi="Times New Roman"/>
                <w:b/>
                <w:sz w:val="14"/>
              </w:rPr>
            </w:pPr>
            <w:r>
              <w:rPr>
                <w:rFonts w:ascii="Times New Roman" w:hAnsi="Times New Roman"/>
                <w:b/>
                <w:sz w:val="14"/>
              </w:rPr>
              <w:t>Formation</w:t>
            </w:r>
          </w:p>
        </w:tc>
        <w:tc>
          <w:tcPr>
            <w:tcW w:w="203" w:type="dxa"/>
            <w:tcBorders/>
            <w:shd w:fill="auto" w:val="clear"/>
            <w:vAlign w:val="bottom"/>
          </w:tcPr>
          <w:p>
            <w:pPr>
              <w:pStyle w:val="TableContents"/>
              <w:spacing w:before="0" w:after="283"/>
              <w:rPr/>
            </w:pPr>
            <w:r>
              <w:rPr/>
              <w:t>  </w:t>
            </w:r>
          </w:p>
        </w:tc>
        <w:tc>
          <w:tcPr>
            <w:tcW w:w="1021"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IRS Employer</w:t>
              <w:br/>
              <w:t>Identification</w:t>
              <w:br/>
              <w:t>Number</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CCV Americas, LLC</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45-3060905</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CCV Pennsylvania,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45-3061766</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CCV Virginia,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45-3061077</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Change Capital,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45-2779029</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Change Capital Investments, LLC</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45-2779146</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Change Capital Ventures, LLC</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45-2779099</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EZCORP International,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24-2874123</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EZCORP International Holdings, LLC</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45-1858861</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EZCORP Online,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27-1931262</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EZCORP USA,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15"/>
              <w:jc w:val="center"/>
              <w:rPr>
                <w:rFonts w:ascii="Times New Roman" w:hAnsi="Times New Roman"/>
                <w:sz w:val="20"/>
              </w:rPr>
            </w:pPr>
            <w:r>
              <w:rPr>
                <w:rFonts w:ascii="Times New Roman" w:hAnsi="Times New Roman"/>
                <w:sz w:val="20"/>
              </w:rPr>
              <w:t>45-4364096</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EZMONEY Alabama,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26-1412933</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EZMONEY Canada,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26-0205820</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EZMONEY Colorado,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20-2531048</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EZMONEY Hawaii,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45-3829074</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EZMONEY Holdings,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74-2672902</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EZMONEY Idaho,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20-5437995</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EZMONEY Kansas,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20-5862455</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EZMONEY Management,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74-2655625</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EZMONEY Missouri,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26-0205892</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EZMONEY Nebraska,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20-5438085</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EZMONEY South Dakota,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20-5862426</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EZMONEY Utah,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20-3896254</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EZMONEY Wisconsin,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20-3415652</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EZPAWN Alabama,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74-2643349</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EZPAWN Arkansas,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74-2629548</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EZPAWN Colorado,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74-2629549</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EZPAWN Florida,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74-2655620</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EZPAWN Georgia,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38-3804397</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EZPAWN Holdings,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74-2540146</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EZPAWN Illinois,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27-2407645</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EZPAWN Indiana,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74-2655624</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EZPAWN Iowa,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84-0752900</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EZPAWN Louisiana,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74-2704187</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EZPAWN Mexico Holdings, LLC</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20-5414044</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EZPAWN Mexico Ltd., LLC</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20-5413942</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EZPAWN Nevada,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74-2672899</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EZPAWN Oklahoma,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74-2621073</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EZPAWN Tennessee,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74-2641965</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EZPAWN Utah,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27-4268366</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EZPAWN Wisconsin,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45-2060959</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Mister Money Holdings,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Colorado</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74,3082094</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Pawn Management, Inc.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74-2654815</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Payday Loan Management,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83-0360843</w:t>
            </w:r>
          </w:p>
        </w:tc>
      </w:tr>
      <w:tr>
        <w:trPr/>
        <w:tc>
          <w:tcPr>
            <w:tcW w:w="7757" w:type="dxa"/>
            <w:tcBorders/>
            <w:shd w:fill="auto" w:val="clear"/>
          </w:tcPr>
          <w:p>
            <w:pPr>
              <w:pStyle w:val="TableContents"/>
              <w:spacing w:before="0" w:after="283"/>
              <w:rPr>
                <w:rFonts w:ascii="Times New Roman" w:hAnsi="Times New Roman"/>
                <w:sz w:val="20"/>
              </w:rPr>
            </w:pPr>
            <w:r>
              <w:rPr>
                <w:rFonts w:ascii="Times New Roman" w:hAnsi="Times New Roman"/>
                <w:sz w:val="20"/>
              </w:rPr>
              <w:t>Texas EZMONEY, L.P. </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83-0360848</w:t>
            </w:r>
          </w:p>
        </w:tc>
      </w:tr>
      <w:tr>
        <w:trPr/>
        <w:tc>
          <w:tcPr>
            <w:tcW w:w="7757" w:type="dxa"/>
            <w:tcBorders/>
            <w:shd w:fill="CCEEFF" w:val="clear"/>
          </w:tcPr>
          <w:p>
            <w:pPr>
              <w:pStyle w:val="TableContents"/>
              <w:spacing w:before="0" w:after="283"/>
              <w:rPr>
                <w:rFonts w:ascii="Times New Roman" w:hAnsi="Times New Roman"/>
                <w:sz w:val="20"/>
              </w:rPr>
            </w:pPr>
            <w:r>
              <w:rPr>
                <w:rFonts w:ascii="Times New Roman" w:hAnsi="Times New Roman"/>
                <w:sz w:val="20"/>
              </w:rPr>
              <w:t>Texas EZPAWN Management, Inc. </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Delaware</w:t>
            </w:r>
          </w:p>
        </w:tc>
        <w:tc>
          <w:tcPr>
            <w:tcW w:w="203"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74-2689697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7756"/>
        <w:gridCol w:w="204"/>
        <w:gridCol w:w="1020"/>
        <w:gridCol w:w="204"/>
        <w:gridCol w:w="1021"/>
      </w:tblGrid>
      <w:tr>
        <w:trPr/>
        <w:tc>
          <w:tcPr>
            <w:tcW w:w="775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r>
      <w:tr>
        <w:trPr/>
        <w:tc>
          <w:tcPr>
            <w:tcW w:w="775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Exact Name of Subsidiary Guarantor (1)</w:t>
            </w:r>
          </w:p>
        </w:tc>
        <w:tc>
          <w:tcPr>
            <w:tcW w:w="204" w:type="dxa"/>
            <w:tcBorders/>
            <w:shd w:fill="auto" w:val="clear"/>
            <w:vAlign w:val="bottom"/>
          </w:tcPr>
          <w:p>
            <w:pPr>
              <w:pStyle w:val="TableContents"/>
              <w:spacing w:before="0" w:after="283"/>
              <w:rPr/>
            </w:pPr>
            <w:r>
              <w:rPr/>
              <w:t>  </w:t>
            </w:r>
          </w:p>
        </w:tc>
        <w:tc>
          <w:tcPr>
            <w:tcW w:w="1020"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State or</w:t>
              <w:br/>
              <w:t>Other</w:t>
              <w:br/>
              <w:t>Jurisdiction</w:t>
              <w:br/>
              <w:t>of</w:t>
              <w:br/>
              <w:t>Incorporation</w:t>
              <w:br/>
              <w:t>or</w:t>
            </w:r>
          </w:p>
          <w:p>
            <w:pPr>
              <w:pStyle w:val="TableContents"/>
              <w:spacing w:before="0" w:after="15"/>
              <w:jc w:val="center"/>
              <w:rPr>
                <w:rFonts w:ascii="Times New Roman" w:hAnsi="Times New Roman"/>
                <w:b/>
                <w:sz w:val="14"/>
              </w:rPr>
            </w:pPr>
            <w:r>
              <w:rPr>
                <w:rFonts w:ascii="Times New Roman" w:hAnsi="Times New Roman"/>
                <w:b/>
                <w:sz w:val="14"/>
              </w:rPr>
              <w:t>Formation</w:t>
            </w:r>
          </w:p>
        </w:tc>
        <w:tc>
          <w:tcPr>
            <w:tcW w:w="204" w:type="dxa"/>
            <w:tcBorders/>
            <w:shd w:fill="auto" w:val="clear"/>
            <w:vAlign w:val="bottom"/>
          </w:tcPr>
          <w:p>
            <w:pPr>
              <w:pStyle w:val="TableContents"/>
              <w:spacing w:before="0" w:after="283"/>
              <w:rPr/>
            </w:pPr>
            <w:r>
              <w:rPr/>
              <w:t>  </w:t>
            </w:r>
          </w:p>
        </w:tc>
        <w:tc>
          <w:tcPr>
            <w:tcW w:w="1021"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IRS Employer</w:t>
              <w:br/>
              <w:t>Identification</w:t>
              <w:br/>
              <w:t>Number</w:t>
            </w:r>
          </w:p>
        </w:tc>
      </w:tr>
      <w:tr>
        <w:trPr/>
        <w:tc>
          <w:tcPr>
            <w:tcW w:w="7756" w:type="dxa"/>
            <w:tcBorders/>
            <w:shd w:fill="CCEEFF" w:val="clear"/>
          </w:tcPr>
          <w:p>
            <w:pPr>
              <w:pStyle w:val="TableContents"/>
              <w:spacing w:before="0" w:after="283"/>
              <w:rPr>
                <w:rFonts w:ascii="Times New Roman" w:hAnsi="Times New Roman"/>
                <w:sz w:val="20"/>
              </w:rPr>
            </w:pPr>
            <w:r>
              <w:rPr>
                <w:rFonts w:ascii="Times New Roman" w:hAnsi="Times New Roman"/>
                <w:sz w:val="20"/>
              </w:rPr>
              <w:t>Texas EZPAWN, L.P.</w:t>
            </w:r>
          </w:p>
        </w:tc>
        <w:tc>
          <w:tcPr>
            <w:tcW w:w="204"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Texas</w:t>
            </w:r>
          </w:p>
        </w:tc>
        <w:tc>
          <w:tcPr>
            <w:tcW w:w="204"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74-2689698</w:t>
            </w:r>
          </w:p>
        </w:tc>
      </w:tr>
      <w:tr>
        <w:trPr/>
        <w:tc>
          <w:tcPr>
            <w:tcW w:w="7756" w:type="dxa"/>
            <w:tcBorders/>
            <w:shd w:fill="auto" w:val="clear"/>
          </w:tcPr>
          <w:p>
            <w:pPr>
              <w:pStyle w:val="TableContents"/>
              <w:spacing w:before="0" w:after="283"/>
              <w:rPr>
                <w:rFonts w:ascii="Times New Roman" w:hAnsi="Times New Roman"/>
                <w:sz w:val="20"/>
              </w:rPr>
            </w:pPr>
            <w:r>
              <w:rPr>
                <w:rFonts w:ascii="Times New Roman" w:hAnsi="Times New Roman"/>
                <w:sz w:val="20"/>
              </w:rPr>
              <w:t>Texas PRA Management, L.P.</w:t>
            </w:r>
          </w:p>
        </w:tc>
        <w:tc>
          <w:tcPr>
            <w:tcW w:w="204"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c>
          <w:tcPr>
            <w:tcW w:w="204"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02-0596091</w:t>
            </w:r>
          </w:p>
        </w:tc>
      </w:tr>
      <w:tr>
        <w:trPr/>
        <w:tc>
          <w:tcPr>
            <w:tcW w:w="7756" w:type="dxa"/>
            <w:tcBorders/>
            <w:shd w:fill="CCEEFF" w:val="clear"/>
          </w:tcPr>
          <w:p>
            <w:pPr>
              <w:pStyle w:val="TableContents"/>
              <w:spacing w:before="0" w:after="283"/>
              <w:rPr>
                <w:rFonts w:ascii="Times New Roman" w:hAnsi="Times New Roman"/>
                <w:sz w:val="20"/>
              </w:rPr>
            </w:pPr>
            <w:r>
              <w:rPr>
                <w:rFonts w:ascii="Times New Roman" w:hAnsi="Times New Roman"/>
                <w:sz w:val="20"/>
              </w:rPr>
              <w:t>Value Financial Services, Inc. </w:t>
            </w:r>
          </w:p>
        </w:tc>
        <w:tc>
          <w:tcPr>
            <w:tcW w:w="204"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Florida</w:t>
            </w:r>
          </w:p>
        </w:tc>
        <w:tc>
          <w:tcPr>
            <w:tcW w:w="204"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65-0503587</w:t>
            </w:r>
          </w:p>
        </w:tc>
      </w:tr>
      <w:tr>
        <w:trPr/>
        <w:tc>
          <w:tcPr>
            <w:tcW w:w="7756" w:type="dxa"/>
            <w:tcBorders/>
            <w:shd w:fill="auto" w:val="clear"/>
          </w:tcPr>
          <w:p>
            <w:pPr>
              <w:pStyle w:val="TableContents"/>
              <w:spacing w:before="0" w:after="283"/>
              <w:rPr>
                <w:rFonts w:ascii="Times New Roman" w:hAnsi="Times New Roman"/>
                <w:sz w:val="20"/>
              </w:rPr>
            </w:pPr>
            <w:r>
              <w:rPr>
                <w:rFonts w:ascii="Times New Roman" w:hAnsi="Times New Roman"/>
                <w:sz w:val="20"/>
              </w:rPr>
              <w:t>VFS Mexico Operations, LLC</w:t>
            </w:r>
          </w:p>
        </w:tc>
        <w:tc>
          <w:tcPr>
            <w:tcW w:w="204"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Florida</w:t>
            </w:r>
          </w:p>
        </w:tc>
        <w:tc>
          <w:tcPr>
            <w:tcW w:w="204"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65-0503587</w:t>
            </w:r>
          </w:p>
        </w:tc>
      </w:tr>
      <w:tr>
        <w:trPr/>
        <w:tc>
          <w:tcPr>
            <w:tcW w:w="7756" w:type="dxa"/>
            <w:tcBorders/>
            <w:shd w:fill="CCEEFF" w:val="clear"/>
          </w:tcPr>
          <w:p>
            <w:pPr>
              <w:pStyle w:val="TableContents"/>
              <w:spacing w:before="0" w:after="283"/>
              <w:rPr>
                <w:rFonts w:ascii="Times New Roman" w:hAnsi="Times New Roman"/>
                <w:sz w:val="20"/>
              </w:rPr>
            </w:pPr>
            <w:r>
              <w:rPr>
                <w:rFonts w:ascii="Times New Roman" w:hAnsi="Times New Roman"/>
                <w:sz w:val="20"/>
              </w:rPr>
              <w:t>VFS Mexico Services, LLC</w:t>
            </w:r>
          </w:p>
        </w:tc>
        <w:tc>
          <w:tcPr>
            <w:tcW w:w="204"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Florida</w:t>
            </w:r>
          </w:p>
        </w:tc>
        <w:tc>
          <w:tcPr>
            <w:tcW w:w="204"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65-0503587</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address for each of the Subsidiary Guarantors is 1901 Capital Parkway, Austin, Texas 78746, and the telephone number is (512) 314-3400.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Prospectus </w:t>
      </w:r>
    </w:p>
    <w:p>
      <w:pPr>
        <w:pStyle w:val="TextBody"/>
        <w:spacing w:before="0" w:after="0"/>
        <w:rPr/>
      </w:pPr>
      <w:r>
        <w:rPr/>
        <w:t> </w:t>
      </w:r>
    </w:p>
    <w:p>
      <w:pPr>
        <w:pStyle w:val="TextBody"/>
        <w:spacing w:before="360" w:after="0"/>
        <w:jc w:val="center"/>
        <w:rPr/>
      </w:pPr>
      <w:r>
        <w:rPr/>
        <w:drawing>
          <wp:inline distT="0" distB="0" distL="0" distR="0">
            <wp:extent cx="152400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257175"/>
                    </a:xfrm>
                    <a:prstGeom prst="rect">
                      <a:avLst/>
                    </a:prstGeom>
                  </pic:spPr>
                </pic:pic>
              </a:graphicData>
            </a:graphic>
          </wp:inline>
        </w:drawing>
      </w:r>
      <w:r>
        <w:rPr/>
        <w:t xml:space="preserve"> </w:t>
      </w:r>
    </w:p>
    <w:p>
      <w:pPr>
        <w:pStyle w:val="TextBody"/>
        <w:spacing w:before="360" w:after="0"/>
        <w:jc w:val="center"/>
        <w:rPr>
          <w:rFonts w:ascii="Times New Roman" w:hAnsi="Times New Roman"/>
          <w:b/>
          <w:sz w:val="48"/>
        </w:rPr>
      </w:pPr>
      <w:r>
        <w:rPr>
          <w:rFonts w:ascii="Times New Roman" w:hAnsi="Times New Roman"/>
          <w:b/>
          <w:sz w:val="48"/>
        </w:rPr>
        <w:t xml:space="preserve">EZCORP, Inc. </w:t>
      </w:r>
    </w:p>
    <w:p>
      <w:pPr>
        <w:pStyle w:val="TextBody"/>
        <w:spacing w:before="360" w:after="0"/>
        <w:jc w:val="center"/>
        <w:rPr>
          <w:rFonts w:ascii="Times New Roman" w:hAnsi="Times New Roman"/>
          <w:b/>
          <w:sz w:val="28"/>
        </w:rPr>
      </w:pPr>
      <w:r>
        <w:rPr>
          <w:rFonts w:ascii="Times New Roman" w:hAnsi="Times New Roman"/>
          <w:b/>
          <w:sz w:val="28"/>
        </w:rPr>
        <w:t xml:space="preserve">Debt Securities </w:t>
      </w:r>
    </w:p>
    <w:p>
      <w:pPr>
        <w:pStyle w:val="TextBody"/>
        <w:spacing w:before="0" w:after="0"/>
        <w:jc w:val="center"/>
        <w:rPr>
          <w:rFonts w:ascii="Times New Roman" w:hAnsi="Times New Roman"/>
          <w:b/>
          <w:sz w:val="28"/>
        </w:rPr>
      </w:pPr>
      <w:r>
        <w:rPr>
          <w:rFonts w:ascii="Times New Roman" w:hAnsi="Times New Roman"/>
          <w:b/>
          <w:sz w:val="28"/>
        </w:rPr>
        <w:t xml:space="preserve">Class A Non-Voting Common Stock </w:t>
      </w:r>
    </w:p>
    <w:p>
      <w:pPr>
        <w:pStyle w:val="TextBody"/>
        <w:spacing w:before="0" w:after="0"/>
        <w:jc w:val="center"/>
        <w:rPr>
          <w:rFonts w:ascii="Times New Roman" w:hAnsi="Times New Roman"/>
          <w:b/>
          <w:sz w:val="28"/>
        </w:rPr>
      </w:pPr>
      <w:r>
        <w:rPr>
          <w:rFonts w:ascii="Times New Roman" w:hAnsi="Times New Roman"/>
          <w:b/>
          <w:sz w:val="28"/>
        </w:rPr>
        <w:t xml:space="preserve">Warrants </w:t>
      </w:r>
    </w:p>
    <w:p>
      <w:pPr>
        <w:pStyle w:val="TextBody"/>
        <w:spacing w:before="0" w:after="0"/>
        <w:jc w:val="center"/>
        <w:rPr>
          <w:rFonts w:ascii="Times New Roman" w:hAnsi="Times New Roman"/>
          <w:b/>
          <w:sz w:val="28"/>
        </w:rPr>
      </w:pPr>
      <w:r>
        <w:rPr>
          <w:rFonts w:ascii="Times New Roman" w:hAnsi="Times New Roman"/>
          <w:b/>
          <w:sz w:val="28"/>
        </w:rPr>
        <w:t xml:space="preserve">Stock Purchase Contracts </w:t>
      </w:r>
    </w:p>
    <w:p>
      <w:pPr>
        <w:pStyle w:val="TextBody"/>
        <w:spacing w:before="0" w:after="0"/>
        <w:jc w:val="center"/>
        <w:rPr>
          <w:rFonts w:ascii="Times New Roman" w:hAnsi="Times New Roman"/>
          <w:b/>
          <w:sz w:val="28"/>
        </w:rPr>
      </w:pPr>
      <w:r>
        <w:rPr>
          <w:rFonts w:ascii="Times New Roman" w:hAnsi="Times New Roman"/>
          <w:b/>
          <w:sz w:val="28"/>
        </w:rPr>
        <w:t xml:space="preserve">Stock Purchase Units </w:t>
      </w:r>
    </w:p>
    <w:p>
      <w:pPr>
        <w:pStyle w:val="TextBody"/>
        <w:spacing w:before="0" w:after="0"/>
        <w:jc w:val="center"/>
        <w:rPr>
          <w:rFonts w:ascii="Times New Roman" w:hAnsi="Times New Roman"/>
          <w:b/>
          <w:sz w:val="28"/>
        </w:rPr>
      </w:pPr>
      <w:r>
        <w:rPr>
          <w:rFonts w:ascii="Times New Roman" w:hAnsi="Times New Roman"/>
          <w:b/>
          <w:sz w:val="28"/>
        </w:rPr>
        <w:t xml:space="preserve">Guarantees of 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360" w:after="0"/>
        <w:rPr>
          <w:rFonts w:ascii="Times New Roman" w:hAnsi="Times New Roman"/>
          <w:sz w:val="20"/>
        </w:rPr>
      </w:pPr>
      <w:r>
        <w:rPr>
          <w:rFonts w:ascii="Times New Roman" w:hAnsi="Times New Roman"/>
          <w:sz w:val="20"/>
        </w:rPr>
        <w:t xml:space="preserve">We may offer and sell the securities listed above from time to time in one or more classes or series and in amounts, at prices and on terms that we will determine at the time of the offering. Any debt securities we issue under this prospectus may be guaranteed by one or more of our domestic subsidiaries. </w:t>
      </w:r>
    </w:p>
    <w:p>
      <w:pPr>
        <w:pStyle w:val="TextBody"/>
        <w:spacing w:before="360" w:after="0"/>
        <w:rPr>
          <w:rFonts w:ascii="Times New Roman" w:hAnsi="Times New Roman"/>
          <w:sz w:val="20"/>
        </w:rPr>
      </w:pPr>
      <w:r>
        <w:rPr>
          <w:rFonts w:ascii="Times New Roman" w:hAnsi="Times New Roman"/>
          <w:sz w:val="20"/>
        </w:rPr>
        <w:t xml:space="preserve">This prospectus describes some of the general terms that may apply to these securities and the general manner in which they may be offered. We will provide specific terms of the securities to be sold by us, including any guarantees by our domestic subsidiaries, and the methods by which we will sell them in one or more supplements to this prospectus. A prospectus supplement may also add, update or change information contained in this prospectus. You should read this prospectus and any supplement carefully before you invest. This prospectus may not be used to offer or sell securities without a prospectus supplement describing the methods and terms of the offering. We may sell the securities directly or we may distribute them through underwriters or dealers. In addition, the underwriters may overallot a portion of the securities. </w:t>
      </w:r>
    </w:p>
    <w:p>
      <w:pPr>
        <w:pStyle w:val="TextBody"/>
        <w:spacing w:before="360" w:after="0"/>
        <w:rPr>
          <w:rFonts w:ascii="Times New Roman" w:hAnsi="Times New Roman"/>
          <w:sz w:val="20"/>
        </w:rPr>
      </w:pPr>
      <w:r>
        <w:rPr>
          <w:rFonts w:ascii="Times New Roman" w:hAnsi="Times New Roman"/>
          <w:sz w:val="20"/>
        </w:rPr>
        <w:t xml:space="preserve">Our Class A Non-Voting Common Stock is traded on The NASDAQ Global Select Market under the symbol EZPW.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360" w:after="0"/>
        <w:rPr/>
      </w:pPr>
      <w:r>
        <w:rPr>
          <w:rFonts w:ascii="Times New Roman" w:hAnsi="Times New Roman"/>
          <w:b/>
          <w:sz w:val="24"/>
        </w:rPr>
        <w:t>Investing in these securities involves risk. You should carefully consider the risks described in any accompanying prospectus supplement, as well as the risk factors that are incorporated by reference into this prospectus from our filings made with the Securities and Exchange Commission. See </w:t>
      </w:r>
      <w:hyperlink w:anchor="tx267319_17">
        <w:r>
          <w:rPr>
            <w:rStyle w:val="InternetLink"/>
            <w:rFonts w:ascii="Times New Roman" w:hAnsi="Times New Roman"/>
            <w:b/>
            <w:sz w:val="24"/>
          </w:rPr>
          <w:t>Risk Factors</w:t>
        </w:r>
      </w:hyperlink>
      <w:r>
        <w:rPr>
          <w:rFonts w:ascii="Times New Roman" w:hAnsi="Times New Roman"/>
          <w:b/>
          <w:sz w:val="24"/>
        </w:rPr>
        <w:t xml:space="preserve"> on page 3. </w:t>
      </w:r>
    </w:p>
    <w:p>
      <w:pPr>
        <w:pStyle w:val="TextBody"/>
        <w:spacing w:before="36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accurate or complete. Any representation to the contrary is a criminal offense. </w:t>
      </w:r>
    </w:p>
    <w:p>
      <w:pPr>
        <w:pStyle w:val="TextBody"/>
        <w:spacing w:before="360" w:after="0"/>
        <w:jc w:val="center"/>
        <w:rPr>
          <w:rFonts w:ascii="Times New Roman" w:hAnsi="Times New Roman"/>
          <w:b/>
          <w:sz w:val="20"/>
        </w:rPr>
      </w:pPr>
      <w:r>
        <w:rPr>
          <w:rFonts w:ascii="Times New Roman" w:hAnsi="Times New Roman"/>
          <w:b/>
          <w:sz w:val="20"/>
        </w:rPr>
        <w:t xml:space="preserve">The date of this prospectus is February 3,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441"/>
        <w:gridCol w:w="337"/>
        <w:gridCol w:w="63"/>
        <w:gridCol w:w="242"/>
        <w:gridCol w:w="122"/>
      </w:tblGrid>
      <w:tr>
        <w:trPr/>
        <w:tc>
          <w:tcPr>
            <w:tcW w:w="944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4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3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1">
              <w:r>
                <w:rPr>
                  <w:rStyle w:val="InternetLink"/>
                  <w:rFonts w:ascii="Times New Roman" w:hAnsi="Times New Roman"/>
                  <w:sz w:val="20"/>
                </w:rPr>
                <w:t>ABOUT THIS PROSPECTUS</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2">
              <w:r>
                <w:rPr>
                  <w:rStyle w:val="InternetLink"/>
                  <w:rFonts w:ascii="Times New Roman" w:hAnsi="Times New Roman"/>
                  <w:sz w:val="20"/>
                </w:rPr>
                <w:t>FORWARD-LOOKING STATEMENTS</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3">
              <w:r>
                <w:rPr>
                  <w:rStyle w:val="InternetLink"/>
                  <w:rFonts w:ascii="Times New Roman" w:hAnsi="Times New Roman"/>
                  <w:sz w:val="20"/>
                </w:rPr>
                <w:t>WHERE YOU CAN FIND MORE INFORMATION</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4">
              <w:r>
                <w:rPr>
                  <w:rStyle w:val="InternetLink"/>
                  <w:rFonts w:ascii="Times New Roman" w:hAnsi="Times New Roman"/>
                  <w:sz w:val="20"/>
                </w:rPr>
                <w:t>INCORPORATION OF DOCUMENTS BY REFERENCE</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5">
              <w:r>
                <w:rPr>
                  <w:rStyle w:val="InternetLink"/>
                  <w:rFonts w:ascii="Times New Roman" w:hAnsi="Times New Roman"/>
                  <w:sz w:val="20"/>
                </w:rPr>
                <w:t>EZCORP, INC.</w:t>
              </w:r>
            </w:hyperlink>
            <w:r>
              <w:rPr>
                <w:rFonts w:ascii="Times New Roman" w:hAnsi="Times New Roman"/>
                <w:sz w:val="20"/>
              </w:rPr>
              <w:t> </w:t>
            </w:r>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6">
              <w:r>
                <w:rPr>
                  <w:rStyle w:val="InternetLink"/>
                  <w:rFonts w:ascii="Times New Roman" w:hAnsi="Times New Roman"/>
                  <w:sz w:val="20"/>
                </w:rPr>
                <w:t>SUBSIDIARY GUARANTORS</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7">
              <w:r>
                <w:rPr>
                  <w:rStyle w:val="InternetLink"/>
                  <w:rFonts w:ascii="Times New Roman" w:hAnsi="Times New Roman"/>
                  <w:sz w:val="20"/>
                </w:rPr>
                <w:t>RISK FACTORS</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8">
              <w:r>
                <w:rPr>
                  <w:rStyle w:val="InternetLink"/>
                  <w:rFonts w:ascii="Times New Roman" w:hAnsi="Times New Roman"/>
                  <w:sz w:val="20"/>
                </w:rPr>
                <w:t>USE OF PROCEEDS</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9">
              <w:r>
                <w:rPr>
                  <w:rStyle w:val="InternetLink"/>
                  <w:rFonts w:ascii="Times New Roman" w:hAnsi="Times New Roman"/>
                  <w:sz w:val="20"/>
                </w:rPr>
                <w:t>RATIO OF EARNINGS TO FIXED CHARGES</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10">
              <w:r>
                <w:rPr>
                  <w:rStyle w:val="InternetLink"/>
                  <w:rFonts w:ascii="Times New Roman" w:hAnsi="Times New Roman"/>
                  <w:sz w:val="20"/>
                </w:rPr>
                <w:t>DESCRIPTION OF DEBT SECURITIES</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11">
              <w:r>
                <w:rPr>
                  <w:rStyle w:val="InternetLink"/>
                  <w:rFonts w:ascii="Times New Roman" w:hAnsi="Times New Roman"/>
                  <w:sz w:val="20"/>
                </w:rPr>
                <w:t>DESCRIPTION OF CAPITAL STOCK</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12">
              <w:r>
                <w:rPr>
                  <w:rStyle w:val="InternetLink"/>
                  <w:rFonts w:ascii="Times New Roman" w:hAnsi="Times New Roman"/>
                  <w:sz w:val="20"/>
                </w:rPr>
                <w:t>DESCRIPTION OF WARRANTS</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13">
              <w:r>
                <w:rPr>
                  <w:rStyle w:val="InternetLink"/>
                  <w:rFonts w:ascii="Times New Roman" w:hAnsi="Times New Roman"/>
                  <w:sz w:val="20"/>
                </w:rPr>
                <w:t>DESCRIPTION OF STOCK PURCHASE CONTRACTS AND STOCK PURCHASE UNITS</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14">
              <w:r>
                <w:rPr>
                  <w:rStyle w:val="InternetLink"/>
                  <w:rFonts w:ascii="Times New Roman" w:hAnsi="Times New Roman"/>
                  <w:sz w:val="20"/>
                </w:rPr>
                <w:t>PLAN OF DISTRIBUTION</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15">
              <w:r>
                <w:rPr>
                  <w:rStyle w:val="InternetLink"/>
                  <w:rFonts w:ascii="Times New Roman" w:hAnsi="Times New Roman"/>
                  <w:sz w:val="20"/>
                </w:rPr>
                <w:t>LEGAL MATTERS</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2" w:type="dxa"/>
            <w:tcBorders/>
            <w:shd w:fill="auto" w:val="clear"/>
            <w:vAlign w:val="bottom"/>
          </w:tcPr>
          <w:p>
            <w:pPr>
              <w:pStyle w:val="TableContents"/>
              <w:spacing w:before="0" w:after="283"/>
              <w:rPr/>
            </w:pPr>
            <w:r>
              <w:rPr/>
              <w:t>  </w:t>
            </w:r>
          </w:p>
        </w:tc>
      </w:tr>
      <w:tr>
        <w:trPr/>
        <w:tc>
          <w:tcPr>
            <w:tcW w:w="9441" w:type="dxa"/>
            <w:tcBorders/>
            <w:shd w:fill="auto" w:val="clear"/>
          </w:tcPr>
          <w:p>
            <w:pPr>
              <w:pStyle w:val="TableContents"/>
              <w:spacing w:before="0" w:after="283"/>
              <w:rPr/>
            </w:pPr>
            <w:hyperlink w:anchor="tx267319_16">
              <w:r>
                <w:rPr>
                  <w:rStyle w:val="InternetLink"/>
                  <w:rFonts w:ascii="Times New Roman" w:hAnsi="Times New Roman"/>
                  <w:sz w:val="20"/>
                </w:rPr>
                <w:t>EXPERTS</w:t>
              </w:r>
            </w:hyperlink>
          </w:p>
        </w:tc>
        <w:tc>
          <w:tcPr>
            <w:tcW w:w="33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2" w:type="dxa"/>
            <w:tcBorders/>
            <w:shd w:fill="auto" w:val="clear"/>
            <w:vAlign w:val="bottom"/>
          </w:tcPr>
          <w:p>
            <w:pPr>
              <w:pStyle w:val="TableContents"/>
              <w:spacing w:before="0" w:after="283"/>
              <w:rPr/>
            </w:pPr>
            <w:r>
              <w:rPr/>
              <w:t>  </w:t>
            </w:r>
          </w:p>
        </w:tc>
      </w:tr>
    </w:tbl>
    <w:p>
      <w:pPr>
        <w:pStyle w:val="TextBody"/>
        <w:spacing w:before="360" w:after="0"/>
        <w:jc w:val="center"/>
        <w:rPr>
          <w:rFonts w:ascii="Times New Roman" w:hAnsi="Times New Roman"/>
          <w:b/>
          <w:sz w:val="20"/>
        </w:rPr>
      </w:pPr>
      <w:bookmarkStart w:id="3" w:name="tx267319_1"/>
      <w:bookmarkEnd w:id="3"/>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a part of a Registration Statement on Form S-3 that we filed with the Securities and Exchange Commission (the SEC) using a shelf registration process. Under that process, we may offer and sell any combination of the securities described in this prospectus in one or more offerings. This prospectus provides you with a general description of the securities we may offer. Each time we offer and sell securities, we will provide a prospectus supplement that will contain specific information about the terms of that offering. 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together with the documents incorporated by reference into this prospectus as described below under Incorporation of Documents by Reference. </w:t>
      </w:r>
    </w:p>
    <w:p>
      <w:pPr>
        <w:pStyle w:val="TextBody"/>
        <w:spacing w:before="180" w:after="0"/>
        <w:rPr>
          <w:rFonts w:ascii="Times New Roman" w:hAnsi="Times New Roman"/>
          <w:sz w:val="20"/>
        </w:rPr>
      </w:pPr>
      <w:r>
        <w:rPr>
          <w:rFonts w:ascii="Times New Roman" w:hAnsi="Times New Roman"/>
          <w:sz w:val="20"/>
        </w:rPr>
        <w:t xml:space="preserve">You should rely only on the information contained or incorporated by reference in this prospectus and any prospectus supplement. We have not authorized anyone to provide you with different information. We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spacing w:before="180" w:after="0"/>
        <w:rPr>
          <w:rFonts w:ascii="Times New Roman" w:hAnsi="Times New Roman"/>
          <w:sz w:val="20"/>
        </w:rPr>
      </w:pPr>
      <w:r>
        <w:rPr>
          <w:rFonts w:ascii="Times New Roman" w:hAnsi="Times New Roman"/>
          <w:sz w:val="20"/>
        </w:rPr>
        <w:t xml:space="preserve">The information in this prospectus is accurate as of the date on the front cover. You should not assume that the information contained in this prospectus is accurate as of any other date. </w:t>
      </w:r>
    </w:p>
    <w:p>
      <w:pPr>
        <w:pStyle w:val="TextBody"/>
        <w:spacing w:before="360" w:after="0"/>
        <w:jc w:val="center"/>
        <w:rPr>
          <w:rFonts w:ascii="Times New Roman" w:hAnsi="Times New Roman"/>
          <w:b/>
          <w:sz w:val="20"/>
        </w:rPr>
      </w:pPr>
      <w:bookmarkStart w:id="4" w:name="tx267319_2"/>
      <w:bookmarkEnd w:id="4"/>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This prospectus and the documents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incorporated herein regarding our strategy, future operations, financial position, future revenues, projected costs, prospects, plans and objectives are forward-looking statements. These statements are often, but not always, made with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 as a representation that the expected results will be achieved. Important risk factors that could cause results or events to differ from current expectations are identified and discussed in the accompanying prospectus supplement and in our SEC filings that are incorporated by reference into this prospectus. See Risk Factors and Incorporation of Documents by Reference below. </w:t>
      </w:r>
    </w:p>
    <w:p>
      <w:pPr>
        <w:pStyle w:val="TextBody"/>
        <w:spacing w:before="180" w:after="0"/>
        <w:rPr>
          <w:rFonts w:ascii="Times New Roman" w:hAnsi="Times New Roman"/>
          <w:sz w:val="20"/>
        </w:rPr>
      </w:pPr>
      <w:r>
        <w:rPr>
          <w:rFonts w:ascii="Times New Roman" w:hAnsi="Times New Roman"/>
          <w:sz w:val="20"/>
        </w:rPr>
        <w:t xml:space="preserve">We specifically disclaim all responsibility to publicly update any information contained in a forward-looking statement except as required by law. All forward-looking statements attributable to us are expressly qualified in their entirety by this cautionary statement. </w:t>
      </w:r>
    </w:p>
    <w:p>
      <w:pPr>
        <w:pStyle w:val="TextBody"/>
        <w:spacing w:before="360" w:after="0"/>
        <w:jc w:val="center"/>
        <w:rPr>
          <w:rFonts w:ascii="Times New Roman" w:hAnsi="Times New Roman"/>
          <w:b/>
          <w:sz w:val="20"/>
        </w:rPr>
      </w:pPr>
      <w:bookmarkStart w:id="5" w:name="tx267319_3"/>
      <w:bookmarkEnd w:id="5"/>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file annual and quarterly reports and other reports and information with the SEC. You may read and copy any of our reports, statements or other information on file at the SECs Public Reference Room located at 100 F Street, N.E., Washington, D.C. 20549. Please call the SEC at 1-800-SEC-0330 for further information regarding its Public Reference Room. Our SEC filings, including the complete Registration Statement of which this prospectus is a part, are available to the public from commercial document retrieval services and also are available at the Internet website maintained by the SEC at www.sec.gov. </w:t>
      </w:r>
    </w:p>
    <w:p>
      <w:pPr>
        <w:pStyle w:val="TextBody"/>
        <w:spacing w:before="180" w:after="0"/>
        <w:rPr>
          <w:rFonts w:ascii="Times New Roman" w:hAnsi="Times New Roman"/>
          <w:sz w:val="20"/>
        </w:rPr>
      </w:pPr>
      <w:r>
        <w:rPr>
          <w:rFonts w:ascii="Times New Roman" w:hAnsi="Times New Roman"/>
          <w:sz w:val="20"/>
        </w:rPr>
        <w:t xml:space="preserve">We maintain an Internet website at www.ezcorp.com.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 </w:t>
      </w:r>
    </w:p>
    <w:p>
      <w:pPr>
        <w:pStyle w:val="TextBody"/>
        <w:spacing w:before="360" w:after="0"/>
        <w:jc w:val="center"/>
        <w:rPr>
          <w:rFonts w:ascii="Times New Roman" w:hAnsi="Times New Roman"/>
          <w:b/>
          <w:sz w:val="20"/>
        </w:rPr>
      </w:pPr>
      <w:bookmarkStart w:id="6" w:name="tx267319_4"/>
      <w:bookmarkEnd w:id="6"/>
      <w:r>
        <w:rPr>
          <w:rFonts w:ascii="Times New Roman" w:hAnsi="Times New Roman"/>
          <w:b/>
          <w:sz w:val="20"/>
        </w:rPr>
        <w:t xml:space="preserve">INCORPORATION OF DOCUMENTS BY REFERENCE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September 30,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Current Report on Form 8-K filed with the SEC on January 19, 2012 (other than the information furnished under Item 2.02 thereof and the related Exhibit 99.1);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Current Report on Form 8-K filed with the SEC on February 3, 2012;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Class A Non-Voting Common Stock set forth in the Registration Statement on Form 8-A filed with the SEC on July 24, 1991, including any amendment or report filed for the purpose of updating such description.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also incorporate by reference each of the documents that we file with the SEC under Section 13(a), 13(c), 14 or 15(d) of the Exchange Act (except as noted below) after the date of this prospectus until the offering of the securities terminates or we have filed with the SEC an amendment to the Registration Statement relating to this offering that deregisters all securities then remaining unsold.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 or in a particular prospectus supplement. </w:t>
      </w:r>
    </w:p>
    <w:p>
      <w:pPr>
        <w:pStyle w:val="TextBody"/>
        <w:spacing w:before="180" w:after="0"/>
        <w:rPr>
          <w:rFonts w:ascii="Times New Roman" w:hAnsi="Times New Roman"/>
          <w:sz w:val="20"/>
        </w:rPr>
      </w:pPr>
      <w:r>
        <w:rPr>
          <w:rFonts w:ascii="Times New Roman" w:hAnsi="Times New Roman"/>
          <w:sz w:val="20"/>
        </w:rPr>
        <w:t xml:space="preserve">You may obtain copies of any of these filings from us as described below, through the SEC or through the SECs Internet website as described above. Documents incorporated by reference are available on our website at www.ezcorp.com, and are available without charge, excluding exhibits, unless an exhibit has been specifically incorporated by reference into this prospectus, by making a request at: </w:t>
      </w:r>
    </w:p>
    <w:p>
      <w:pPr>
        <w:pStyle w:val="TextBody"/>
        <w:spacing w:before="90" w:after="0"/>
        <w:rPr>
          <w:rFonts w:ascii="Times New Roman" w:hAnsi="Times New Roman"/>
          <w:sz w:val="20"/>
        </w:rPr>
      </w:pPr>
      <w:r>
        <w:rPr>
          <w:rFonts w:ascii="Times New Roman" w:hAnsi="Times New Roman"/>
          <w:sz w:val="20"/>
        </w:rPr>
        <w:t xml:space="preserve">EZCORP, Inc. </w:t>
      </w:r>
    </w:p>
    <w:p>
      <w:pPr>
        <w:pStyle w:val="TextBody"/>
        <w:spacing w:before="0" w:after="0"/>
        <w:rPr>
          <w:rFonts w:ascii="Times New Roman" w:hAnsi="Times New Roman"/>
          <w:sz w:val="20"/>
        </w:rPr>
      </w:pPr>
      <w:r>
        <w:rPr>
          <w:rFonts w:ascii="Times New Roman" w:hAnsi="Times New Roman"/>
          <w:sz w:val="20"/>
        </w:rPr>
        <w:t xml:space="preserve">1901 Capital Parkway </w:t>
      </w:r>
    </w:p>
    <w:p>
      <w:pPr>
        <w:pStyle w:val="TextBody"/>
        <w:spacing w:before="0" w:after="0"/>
        <w:rPr>
          <w:rFonts w:ascii="Times New Roman" w:hAnsi="Times New Roman"/>
          <w:sz w:val="20"/>
        </w:rPr>
      </w:pPr>
      <w:r>
        <w:rPr>
          <w:rFonts w:ascii="Times New Roman" w:hAnsi="Times New Roman"/>
          <w:sz w:val="20"/>
        </w:rPr>
        <w:t xml:space="preserve">Austin, Texas 78746 </w:t>
      </w:r>
    </w:p>
    <w:p>
      <w:pPr>
        <w:pStyle w:val="TextBody"/>
        <w:spacing w:before="0" w:after="0"/>
        <w:rPr>
          <w:rFonts w:ascii="Times New Roman" w:hAnsi="Times New Roman"/>
          <w:sz w:val="20"/>
        </w:rPr>
      </w:pPr>
      <w:r>
        <w:rPr>
          <w:rFonts w:ascii="Times New Roman" w:hAnsi="Times New Roman"/>
          <w:sz w:val="20"/>
        </w:rPr>
        <w:t xml:space="preserve">Attn: Corporate Secretary </w:t>
      </w:r>
    </w:p>
    <w:p>
      <w:pPr>
        <w:pStyle w:val="TextBody"/>
        <w:spacing w:before="0" w:after="0"/>
        <w:rPr>
          <w:rFonts w:ascii="Times New Roman" w:hAnsi="Times New Roman"/>
          <w:sz w:val="20"/>
        </w:rPr>
      </w:pPr>
      <w:r>
        <w:rPr>
          <w:rFonts w:ascii="Times New Roman" w:hAnsi="Times New Roman"/>
          <w:sz w:val="20"/>
        </w:rPr>
        <w:t xml:space="preserve">Telephone512-314-3400 </w:t>
      </w:r>
    </w:p>
    <w:p>
      <w:pPr>
        <w:pStyle w:val="TextBody"/>
        <w:spacing w:before="0" w:after="0"/>
        <w:rPr>
          <w:rFonts w:ascii="Times New Roman" w:hAnsi="Times New Roman"/>
          <w:sz w:val="20"/>
        </w:rPr>
      </w:pPr>
      <w:r>
        <w:rPr>
          <w:rFonts w:ascii="Times New Roman" w:hAnsi="Times New Roman"/>
          <w:sz w:val="20"/>
        </w:rPr>
        <w:t xml:space="preserve">EmailInvestor_Relations@ezcorp.com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x267319_5"/>
      <w:bookmarkEnd w:id="7"/>
      <w:r>
        <w:rPr>
          <w:rFonts w:ascii="Times New Roman" w:hAnsi="Times New Roman"/>
          <w:b/>
          <w:sz w:val="20"/>
        </w:rPr>
        <w:t xml:space="preserve">EZCORP, INC. </w:t>
      </w:r>
    </w:p>
    <w:p>
      <w:pPr>
        <w:pStyle w:val="TextBody"/>
        <w:spacing w:before="180" w:after="0"/>
        <w:rPr>
          <w:rFonts w:ascii="Times New Roman" w:hAnsi="Times New Roman"/>
          <w:sz w:val="20"/>
        </w:rPr>
      </w:pPr>
      <w:r>
        <w:rPr>
          <w:rFonts w:ascii="Times New Roman" w:hAnsi="Times New Roman"/>
          <w:sz w:val="20"/>
        </w:rPr>
        <w:t xml:space="preserve">EZCORP, Inc. is a leading provider of specialty consumer financial services and reseller of second-hand goods. We provide collateralized non-recourse loans, commonly known as pawn loans, and a variety of financial services, including payday loans, installment loans and auto title loans, or fee-based credit services to customers seeking loans. </w:t>
      </w:r>
    </w:p>
    <w:p>
      <w:pPr>
        <w:pStyle w:val="TextBody"/>
        <w:spacing w:before="180" w:after="0"/>
        <w:rPr>
          <w:rFonts w:ascii="Times New Roman" w:hAnsi="Times New Roman"/>
          <w:sz w:val="20"/>
        </w:rPr>
      </w:pPr>
      <w:r>
        <w:rPr>
          <w:rFonts w:ascii="Times New Roman" w:hAnsi="Times New Roman"/>
          <w:sz w:val="20"/>
        </w:rPr>
        <w:t xml:space="preserve">We operate more than 1,100 pawn, buy/sell and personal financial services stores in the United States, Mexico and Canada, and own a 60% controlling interest in Prestaciones Finmart, S.A.P.I. de C.V., SOFM, E.N.R. (doing business under the name Crediamigo), a leading provider of payroll deduction loans in Mexico. We also have significant investments in Albemarle &amp; Bond Holdings PLC, one of the United Kingdoms largest pawnbroking businesses with over 160 full-line stores offering pawnbroking, jewelry retailing, gold buying and financial services; and in Cash Converters International Limited, which franchises and operates a worldwide network of over 600 stores that provide personal financial services and sell pre-owned merchandise. </w:t>
      </w:r>
    </w:p>
    <w:p>
      <w:pPr>
        <w:pStyle w:val="TextBody"/>
        <w:spacing w:before="180" w:after="0"/>
        <w:rPr>
          <w:rFonts w:ascii="Times New Roman" w:hAnsi="Times New Roman"/>
          <w:sz w:val="20"/>
        </w:rPr>
      </w:pPr>
      <w:r>
        <w:rPr>
          <w:rFonts w:ascii="Times New Roman" w:hAnsi="Times New Roman"/>
          <w:sz w:val="20"/>
        </w:rPr>
        <w:t xml:space="preserve">EZCORP is a Delaware corporation headquartered in Austin, Texas. Our principal executive offices are located at 1901 Capital Parkway, Austin, Texas 78746, and our telephone number is 512-314-3400. Our website address is www.ezcorp.com. We conduct our operations through our wholly owned subsidiaries, and unless otherwise specified, references in this prospectus to EZCORP, we, us or similar terms refer to EZCORP, Inc. and our consolidated subsidiaries.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x267319_6"/>
      <w:bookmarkEnd w:id="8"/>
      <w:r>
        <w:rPr>
          <w:rFonts w:ascii="Times New Roman" w:hAnsi="Times New Roman"/>
          <w:b/>
          <w:sz w:val="20"/>
        </w:rPr>
        <w:t xml:space="preserve">SUBSIDIARY GUARANTORS </w:t>
      </w:r>
    </w:p>
    <w:p>
      <w:pPr>
        <w:pStyle w:val="TextBody"/>
        <w:spacing w:before="180" w:after="0"/>
        <w:rPr>
          <w:rFonts w:ascii="Times New Roman" w:hAnsi="Times New Roman"/>
          <w:sz w:val="20"/>
        </w:rPr>
      </w:pPr>
      <w:r>
        <w:rPr>
          <w:rFonts w:ascii="Times New Roman" w:hAnsi="Times New Roman"/>
          <w:sz w:val="20"/>
        </w:rPr>
        <w:t xml:space="preserve">The following are our domestic subsidiaries as of the date of this prospectus: </w:t>
      </w:r>
    </w:p>
    <w:p>
      <w:pPr>
        <w:pStyle w:val="TextBody"/>
        <w:spacing w:before="0" w:after="0"/>
        <w:rPr/>
      </w:pPr>
      <w:r>
        <w:rPr/>
        <w:t xml:space="preserve">  </w:t>
      </w:r>
    </w:p>
    <w:p>
      <w:pPr>
        <w:pStyle w:val="TextBody"/>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9049385"/>
                <wp:effectExtent l="0" t="0" r="0" b="0"/>
                <wp:wrapSquare wrapText="largest"/>
                <wp:docPr id="2" name="Frame1"/>
                <a:graphic xmlns:a="http://schemas.openxmlformats.org/drawingml/2006/main">
                  <a:graphicData uri="http://schemas.microsoft.com/office/word/2010/wordprocessingShape">
                    <wps:wsp>
                      <wps:cNvSpPr txBox="1"/>
                      <wps:spPr>
                        <a:xfrm>
                          <a:off x="0" y="0"/>
                          <a:ext cx="3110230" cy="9049385"/>
                        </a:xfrm>
                        <a:prstGeom prst="rect"/>
                      </wps:spPr>
                      <wps:txbx>
                        <w:txbxContent>
                          <w:tbl>
                            <w:tblPr>
                              <w:tblW w:w="5000" w:type="pct"/>
                              <w:jc w:val="left"/>
                              <w:tblInd w:w="0" w:type="dxa"/>
                              <w:tblCellMar>
                                <w:top w:w="0" w:type="dxa"/>
                                <w:left w:w="0" w:type="dxa"/>
                                <w:bottom w:w="0" w:type="dxa"/>
                                <w:right w:w="0" w:type="dxa"/>
                              </w:tblCellMar>
                            </w:tblPr>
                            <w:tblGrid>
                              <w:gridCol w:w="966"/>
                              <w:gridCol w:w="540"/>
                              <w:gridCol w:w="113"/>
                              <w:gridCol w:w="3279"/>
                            </w:tblGrid>
                            <w:tr>
                              <w:trPr/>
                              <w:tc>
                                <w:tcPr>
                                  <w:tcW w:w="966" w:type="dxa"/>
                                  <w:tcBorders/>
                                  <w:shd w:fill="auto" w:val="clear"/>
                                  <w:vAlign w:val="center"/>
                                </w:tcPr>
                                <w:p>
                                  <w:pPr>
                                    <w:pStyle w:val="TableContents"/>
                                    <w:spacing w:before="0" w:after="283"/>
                                    <w:rPr/>
                                  </w:pPr>
                                  <w:r>
                                    <w:rPr/>
                                    <w:t> </w:t>
                                  </w:r>
                                </w:p>
                              </w:tc>
                              <w:tc>
                                <w:tcPr>
                                  <w:tcW w:w="54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Pr>
                                <w:p>
                                  <w:pPr>
                                    <w:pStyle w:val="TableContents"/>
                                    <w:spacing w:before="0" w:after="283"/>
                                    <w:rPr/>
                                  </w:pPr>
                                  <w:r>
                                    <w:rPr/>
                                    <w:t> </w:t>
                                  </w:r>
                                </w:p>
                              </w:tc>
                              <w:tc>
                                <w:tcPr>
                                  <w:tcW w:w="32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CCV Americas, LLC </w:t>
                                  </w:r>
                                </w:p>
                              </w:tc>
                            </w:tr>
                          </w:tbl>
                          <w:tbl>
                            <w:tblPr>
                              <w:tblW w:w="5000" w:type="pct"/>
                              <w:jc w:val="left"/>
                              <w:tblInd w:w="0" w:type="dxa"/>
                              <w:tblCellMar>
                                <w:top w:w="0" w:type="dxa"/>
                                <w:left w:w="0" w:type="dxa"/>
                                <w:bottom w:w="0" w:type="dxa"/>
                                <w:right w:w="0" w:type="dxa"/>
                              </w:tblCellMar>
                            </w:tblPr>
                            <w:tblGrid>
                              <w:gridCol w:w="874"/>
                              <w:gridCol w:w="489"/>
                              <w:gridCol w:w="103"/>
                              <w:gridCol w:w="3432"/>
                            </w:tblGrid>
                            <w:tr>
                              <w:trPr/>
                              <w:tc>
                                <w:tcPr>
                                  <w:tcW w:w="874" w:type="dxa"/>
                                  <w:tcBorders/>
                                  <w:shd w:fill="auto" w:val="clear"/>
                                  <w:vAlign w:val="center"/>
                                </w:tcPr>
                                <w:p>
                                  <w:pPr>
                                    <w:pStyle w:val="TableContents"/>
                                    <w:spacing w:before="0" w:after="283"/>
                                    <w:rPr/>
                                  </w:pPr>
                                  <w:r>
                                    <w:rPr/>
                                    <w:t> </w:t>
                                  </w:r>
                                </w:p>
                              </w:tc>
                              <w:tc>
                                <w:tcPr>
                                  <w:tcW w:w="4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Pr>
                                <w:p>
                                  <w:pPr>
                                    <w:pStyle w:val="TableContents"/>
                                    <w:spacing w:before="0" w:after="283"/>
                                    <w:rPr/>
                                  </w:pPr>
                                  <w:r>
                                    <w:rPr/>
                                    <w:t> </w:t>
                                  </w:r>
                                </w:p>
                              </w:tc>
                              <w:tc>
                                <w:tcPr>
                                  <w:tcW w:w="343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CCV Pennsylvania, Inc. </w:t>
                                  </w:r>
                                </w:p>
                              </w:tc>
                            </w:tr>
                          </w:tbl>
                          <w:tbl>
                            <w:tblPr>
                              <w:tblW w:w="5000" w:type="pct"/>
                              <w:jc w:val="left"/>
                              <w:tblInd w:w="0" w:type="dxa"/>
                              <w:tblCellMar>
                                <w:top w:w="0" w:type="dxa"/>
                                <w:left w:w="0" w:type="dxa"/>
                                <w:bottom w:w="0" w:type="dxa"/>
                                <w:right w:w="0" w:type="dxa"/>
                              </w:tblCellMar>
                            </w:tblPr>
                            <w:tblGrid>
                              <w:gridCol w:w="1025"/>
                              <w:gridCol w:w="574"/>
                              <w:gridCol w:w="120"/>
                              <w:gridCol w:w="3179"/>
                            </w:tblGrid>
                            <w:tr>
                              <w:trPr/>
                              <w:tc>
                                <w:tcPr>
                                  <w:tcW w:w="1025" w:type="dxa"/>
                                  <w:tcBorders/>
                                  <w:shd w:fill="auto" w:val="clear"/>
                                  <w:vAlign w:val="center"/>
                                </w:tcPr>
                                <w:p>
                                  <w:pPr>
                                    <w:pStyle w:val="TableContents"/>
                                    <w:spacing w:before="0" w:after="283"/>
                                    <w:rPr/>
                                  </w:pPr>
                                  <w:r>
                                    <w:rPr/>
                                    <w:t> </w:t>
                                  </w:r>
                                </w:p>
                              </w:tc>
                              <w:tc>
                                <w:tcPr>
                                  <w:tcW w:w="5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0" w:type="dxa"/>
                                  <w:tcBorders/>
                                  <w:shd w:fill="auto" w:val="clear"/>
                                </w:tcPr>
                                <w:p>
                                  <w:pPr>
                                    <w:pStyle w:val="TableContents"/>
                                    <w:spacing w:before="0" w:after="283"/>
                                    <w:rPr/>
                                  </w:pPr>
                                  <w:r>
                                    <w:rPr/>
                                    <w:t> </w:t>
                                  </w:r>
                                </w:p>
                              </w:tc>
                              <w:tc>
                                <w:tcPr>
                                  <w:tcW w:w="31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CCV Virginia, Inc. </w:t>
                                  </w:r>
                                </w:p>
                              </w:tc>
                            </w:tr>
                          </w:tbl>
                          <w:tbl>
                            <w:tblPr>
                              <w:tblW w:w="5000" w:type="pct"/>
                              <w:jc w:val="left"/>
                              <w:tblInd w:w="0" w:type="dxa"/>
                              <w:tblCellMar>
                                <w:top w:w="0" w:type="dxa"/>
                                <w:left w:w="0" w:type="dxa"/>
                                <w:bottom w:w="0" w:type="dxa"/>
                                <w:right w:w="0" w:type="dxa"/>
                              </w:tblCellMar>
                            </w:tblPr>
                            <w:tblGrid>
                              <w:gridCol w:w="966"/>
                              <w:gridCol w:w="540"/>
                              <w:gridCol w:w="113"/>
                              <w:gridCol w:w="3279"/>
                            </w:tblGrid>
                            <w:tr>
                              <w:trPr/>
                              <w:tc>
                                <w:tcPr>
                                  <w:tcW w:w="966" w:type="dxa"/>
                                  <w:tcBorders/>
                                  <w:shd w:fill="auto" w:val="clear"/>
                                  <w:vAlign w:val="center"/>
                                </w:tcPr>
                                <w:p>
                                  <w:pPr>
                                    <w:pStyle w:val="TableContents"/>
                                    <w:spacing w:before="0" w:after="283"/>
                                    <w:rPr/>
                                  </w:pPr>
                                  <w:r>
                                    <w:rPr/>
                                    <w:t> </w:t>
                                  </w:r>
                                </w:p>
                              </w:tc>
                              <w:tc>
                                <w:tcPr>
                                  <w:tcW w:w="54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Pr>
                                <w:p>
                                  <w:pPr>
                                    <w:pStyle w:val="TableContents"/>
                                    <w:spacing w:before="0" w:after="283"/>
                                    <w:rPr/>
                                  </w:pPr>
                                  <w:r>
                                    <w:rPr/>
                                    <w:t> </w:t>
                                  </w:r>
                                </w:p>
                              </w:tc>
                              <w:tc>
                                <w:tcPr>
                                  <w:tcW w:w="32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 Capital, Inc. </w:t>
                                  </w:r>
                                </w:p>
                              </w:tc>
                            </w:tr>
                          </w:tbl>
                          <w:tbl>
                            <w:tblPr>
                              <w:tblW w:w="5000" w:type="pct"/>
                              <w:jc w:val="left"/>
                              <w:tblInd w:w="0" w:type="dxa"/>
                              <w:tblCellMar>
                                <w:top w:w="0" w:type="dxa"/>
                                <w:left w:w="0" w:type="dxa"/>
                                <w:bottom w:w="0" w:type="dxa"/>
                                <w:right w:w="0" w:type="dxa"/>
                              </w:tblCellMar>
                            </w:tblPr>
                            <w:tblGrid>
                              <w:gridCol w:w="678"/>
                              <w:gridCol w:w="380"/>
                              <w:gridCol w:w="79"/>
                              <w:gridCol w:w="3761"/>
                            </w:tblGrid>
                            <w:tr>
                              <w:trPr/>
                              <w:tc>
                                <w:tcPr>
                                  <w:tcW w:w="678" w:type="dxa"/>
                                  <w:tcBorders/>
                                  <w:shd w:fill="auto" w:val="clear"/>
                                  <w:vAlign w:val="center"/>
                                </w:tcPr>
                                <w:p>
                                  <w:pPr>
                                    <w:pStyle w:val="TableContents"/>
                                    <w:spacing w:before="0" w:after="283"/>
                                    <w:rPr/>
                                  </w:pPr>
                                  <w:r>
                                    <w:rPr/>
                                    <w:t> </w:t>
                                  </w:r>
                                </w:p>
                              </w:tc>
                              <w:tc>
                                <w:tcPr>
                                  <w:tcW w:w="3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79" w:type="dxa"/>
                                  <w:tcBorders/>
                                  <w:shd w:fill="auto" w:val="clear"/>
                                </w:tcPr>
                                <w:p>
                                  <w:pPr>
                                    <w:pStyle w:val="TableContents"/>
                                    <w:spacing w:before="0" w:after="283"/>
                                    <w:rPr/>
                                  </w:pPr>
                                  <w:r>
                                    <w:rPr/>
                                    <w:t> </w:t>
                                  </w:r>
                                </w:p>
                              </w:tc>
                              <w:tc>
                                <w:tcPr>
                                  <w:tcW w:w="376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 Capital Investments, LLC </w:t>
                                  </w:r>
                                </w:p>
                              </w:tc>
                            </w:tr>
                          </w:tbl>
                          <w:tbl>
                            <w:tblPr>
                              <w:tblW w:w="5000" w:type="pct"/>
                              <w:jc w:val="left"/>
                              <w:tblInd w:w="0" w:type="dxa"/>
                              <w:tblCellMar>
                                <w:top w:w="0" w:type="dxa"/>
                                <w:left w:w="0" w:type="dxa"/>
                                <w:bottom w:w="0" w:type="dxa"/>
                                <w:right w:w="0" w:type="dxa"/>
                              </w:tblCellMar>
                            </w:tblPr>
                            <w:tblGrid>
                              <w:gridCol w:w="729"/>
                              <w:gridCol w:w="407"/>
                              <w:gridCol w:w="86"/>
                              <w:gridCol w:w="3676"/>
                            </w:tblGrid>
                            <w:tr>
                              <w:trPr/>
                              <w:tc>
                                <w:tcPr>
                                  <w:tcW w:w="729"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6" w:type="dxa"/>
                                  <w:tcBorders/>
                                  <w:shd w:fill="auto" w:val="clear"/>
                                </w:tcPr>
                                <w:p>
                                  <w:pPr>
                                    <w:pStyle w:val="TableContents"/>
                                    <w:spacing w:before="0" w:after="283"/>
                                    <w:rPr/>
                                  </w:pPr>
                                  <w:r>
                                    <w:rPr/>
                                    <w:t> </w:t>
                                  </w:r>
                                </w:p>
                              </w:tc>
                              <w:tc>
                                <w:tcPr>
                                  <w:tcW w:w="36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 Capital Ventures, LLC </w:t>
                                  </w:r>
                                </w:p>
                              </w:tc>
                            </w:tr>
                          </w:tbl>
                          <w:tbl>
                            <w:tblPr>
                              <w:tblW w:w="5000" w:type="pct"/>
                              <w:jc w:val="left"/>
                              <w:tblInd w:w="0" w:type="dxa"/>
                              <w:tblCellMar>
                                <w:top w:w="0" w:type="dxa"/>
                                <w:left w:w="0" w:type="dxa"/>
                                <w:bottom w:w="0" w:type="dxa"/>
                                <w:right w:w="0" w:type="dxa"/>
                              </w:tblCellMar>
                            </w:tblPr>
                            <w:tblGrid>
                              <w:gridCol w:w="791"/>
                              <w:gridCol w:w="443"/>
                              <w:gridCol w:w="93"/>
                              <w:gridCol w:w="3571"/>
                            </w:tblGrid>
                            <w:tr>
                              <w:trPr/>
                              <w:tc>
                                <w:tcPr>
                                  <w:tcW w:w="791" w:type="dxa"/>
                                  <w:tcBorders/>
                                  <w:shd w:fill="auto" w:val="clear"/>
                                  <w:vAlign w:val="center"/>
                                </w:tcPr>
                                <w:p>
                                  <w:pPr>
                                    <w:pStyle w:val="TableContents"/>
                                    <w:spacing w:before="0" w:after="283"/>
                                    <w:rPr/>
                                  </w:pPr>
                                  <w:r>
                                    <w:rPr/>
                                    <w:t> </w:t>
                                  </w:r>
                                </w:p>
                              </w:tc>
                              <w:tc>
                                <w:tcPr>
                                  <w:tcW w:w="4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EZCORP International, Inc. </w:t>
                                  </w:r>
                                </w:p>
                              </w:tc>
                            </w:tr>
                          </w:tbl>
                          <w:tbl>
                            <w:tblPr>
                              <w:tblW w:w="5000" w:type="pct"/>
                              <w:jc w:val="left"/>
                              <w:tblInd w:w="0" w:type="dxa"/>
                              <w:tblCellMar>
                                <w:top w:w="0" w:type="dxa"/>
                                <w:left w:w="0" w:type="dxa"/>
                                <w:bottom w:w="0" w:type="dxa"/>
                                <w:right w:w="0" w:type="dxa"/>
                              </w:tblCellMar>
                            </w:tblPr>
                            <w:tblGrid>
                              <w:gridCol w:w="620"/>
                              <w:gridCol w:w="347"/>
                              <w:gridCol w:w="73"/>
                              <w:gridCol w:w="3858"/>
                            </w:tblGrid>
                            <w:tr>
                              <w:trPr/>
                              <w:tc>
                                <w:tcPr>
                                  <w:tcW w:w="620" w:type="dxa"/>
                                  <w:tcBorders/>
                                  <w:shd w:fill="auto" w:val="clear"/>
                                  <w:vAlign w:val="center"/>
                                </w:tcPr>
                                <w:p>
                                  <w:pPr>
                                    <w:pStyle w:val="TableContents"/>
                                    <w:spacing w:before="0" w:after="283"/>
                                    <w:rPr/>
                                  </w:pPr>
                                  <w:r>
                                    <w:rPr/>
                                    <w:t> </w:t>
                                  </w:r>
                                </w:p>
                              </w:tc>
                              <w:tc>
                                <w:tcPr>
                                  <w:tcW w:w="34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73" w:type="dxa"/>
                                  <w:tcBorders/>
                                  <w:shd w:fill="auto" w:val="clear"/>
                                </w:tcPr>
                                <w:p>
                                  <w:pPr>
                                    <w:pStyle w:val="TableContents"/>
                                    <w:spacing w:before="0" w:after="283"/>
                                    <w:rPr/>
                                  </w:pPr>
                                  <w:r>
                                    <w:rPr/>
                                    <w:t> </w:t>
                                  </w:r>
                                </w:p>
                              </w:tc>
                              <w:tc>
                                <w:tcPr>
                                  <w:tcW w:w="385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EZCORP International Holdings, LLC </w:t>
                                  </w:r>
                                </w:p>
                              </w:tc>
                            </w:tr>
                          </w:tbl>
                          <w:tbl>
                            <w:tblPr>
                              <w:tblW w:w="5000" w:type="pct"/>
                              <w:jc w:val="left"/>
                              <w:tblInd w:w="0" w:type="dxa"/>
                              <w:tblCellMar>
                                <w:top w:w="0" w:type="dxa"/>
                                <w:left w:w="0" w:type="dxa"/>
                                <w:bottom w:w="0" w:type="dxa"/>
                                <w:right w:w="0" w:type="dxa"/>
                              </w:tblCellMar>
                            </w:tblPr>
                            <w:tblGrid>
                              <w:gridCol w:w="939"/>
                              <w:gridCol w:w="524"/>
                              <w:gridCol w:w="111"/>
                              <w:gridCol w:w="3324"/>
                            </w:tblGrid>
                            <w:tr>
                              <w:trPr/>
                              <w:tc>
                                <w:tcPr>
                                  <w:tcW w:w="939" w:type="dxa"/>
                                  <w:tcBorders/>
                                  <w:shd w:fill="auto" w:val="clear"/>
                                  <w:vAlign w:val="center"/>
                                </w:tcPr>
                                <w:p>
                                  <w:pPr>
                                    <w:pStyle w:val="TableContents"/>
                                    <w:spacing w:before="0" w:after="283"/>
                                    <w:rPr/>
                                  </w:pPr>
                                  <w:r>
                                    <w:rPr/>
                                    <w:t> </w:t>
                                  </w:r>
                                </w:p>
                              </w:tc>
                              <w:tc>
                                <w:tcPr>
                                  <w:tcW w:w="5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auto" w:val="clear"/>
                                </w:tcPr>
                                <w:p>
                                  <w:pPr>
                                    <w:pStyle w:val="TableContents"/>
                                    <w:spacing w:before="0" w:after="283"/>
                                    <w:rPr/>
                                  </w:pPr>
                                  <w:r>
                                    <w:rPr/>
                                    <w:t> </w:t>
                                  </w:r>
                                </w:p>
                              </w:tc>
                              <w:tc>
                                <w:tcPr>
                                  <w:tcW w:w="3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EZCORP Online, Inc. </w:t>
                                  </w:r>
                                </w:p>
                              </w:tc>
                            </w:tr>
                          </w:tbl>
                          <w:tbl>
                            <w:tblPr>
                              <w:tblW w:w="5000" w:type="pct"/>
                              <w:jc w:val="left"/>
                              <w:tblInd w:w="0" w:type="dxa"/>
                              <w:tblCellMar>
                                <w:top w:w="0" w:type="dxa"/>
                                <w:left w:w="0" w:type="dxa"/>
                                <w:bottom w:w="0" w:type="dxa"/>
                                <w:right w:w="0" w:type="dxa"/>
                              </w:tblCellMar>
                            </w:tblPr>
                            <w:tblGrid>
                              <w:gridCol w:w="1007"/>
                              <w:gridCol w:w="563"/>
                              <w:gridCol w:w="118"/>
                              <w:gridCol w:w="3210"/>
                            </w:tblGrid>
                            <w:tr>
                              <w:trPr/>
                              <w:tc>
                                <w:tcPr>
                                  <w:tcW w:w="1007" w:type="dxa"/>
                                  <w:tcBorders/>
                                  <w:shd w:fill="auto" w:val="clear"/>
                                  <w:vAlign w:val="center"/>
                                </w:tcPr>
                                <w:p>
                                  <w:pPr>
                                    <w:pStyle w:val="TableContents"/>
                                    <w:spacing w:before="0" w:after="283"/>
                                    <w:rPr/>
                                  </w:pPr>
                                  <w:r>
                                    <w:rPr/>
                                    <w:t> </w:t>
                                  </w:r>
                                </w:p>
                              </w:tc>
                              <w:tc>
                                <w:tcPr>
                                  <w:tcW w:w="56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8" w:type="dxa"/>
                                  <w:tcBorders/>
                                  <w:shd w:fill="auto" w:val="clear"/>
                                </w:tcPr>
                                <w:p>
                                  <w:pPr>
                                    <w:pStyle w:val="TableContents"/>
                                    <w:spacing w:before="0" w:after="283"/>
                                    <w:rPr/>
                                  </w:pPr>
                                  <w:r>
                                    <w:rPr/>
                                    <w:t> </w:t>
                                  </w:r>
                                </w:p>
                              </w:tc>
                              <w:tc>
                                <w:tcPr>
                                  <w:tcW w:w="32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EZCORP USA, Inc. </w:t>
                                  </w:r>
                                </w:p>
                              </w:tc>
                            </w:tr>
                          </w:tbl>
                          <w:tbl>
                            <w:tblPr>
                              <w:tblW w:w="5000" w:type="pct"/>
                              <w:jc w:val="left"/>
                              <w:tblInd w:w="0" w:type="dxa"/>
                              <w:tblCellMar>
                                <w:top w:w="0" w:type="dxa"/>
                                <w:left w:w="0" w:type="dxa"/>
                                <w:bottom w:w="0" w:type="dxa"/>
                                <w:right w:w="0" w:type="dxa"/>
                              </w:tblCellMar>
                            </w:tblPr>
                            <w:tblGrid>
                              <w:gridCol w:w="827"/>
                              <w:gridCol w:w="462"/>
                              <w:gridCol w:w="97"/>
                              <w:gridCol w:w="3512"/>
                            </w:tblGrid>
                            <w:tr>
                              <w:trPr/>
                              <w:tc>
                                <w:tcPr>
                                  <w:tcW w:w="827" w:type="dxa"/>
                                  <w:tcBorders/>
                                  <w:shd w:fill="auto" w:val="clear"/>
                                  <w:vAlign w:val="center"/>
                                </w:tcPr>
                                <w:p>
                                  <w:pPr>
                                    <w:pStyle w:val="TableContents"/>
                                    <w:spacing w:before="0" w:after="283"/>
                                    <w:rPr/>
                                  </w:pPr>
                                  <w:r>
                                    <w:rPr/>
                                    <w:t> </w:t>
                                  </w:r>
                                </w:p>
                              </w:tc>
                              <w:tc>
                                <w:tcPr>
                                  <w:tcW w:w="46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Pr>
                                <w:p>
                                  <w:pPr>
                                    <w:pStyle w:val="TableContents"/>
                                    <w:spacing w:before="0" w:after="283"/>
                                    <w:rPr/>
                                  </w:pPr>
                                  <w:r>
                                    <w:rPr/>
                                    <w:t> </w:t>
                                  </w:r>
                                </w:p>
                              </w:tc>
                              <w:tc>
                                <w:tcPr>
                                  <w:tcW w:w="35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Alabama, Inc. </w:t>
                                  </w:r>
                                </w:p>
                              </w:tc>
                            </w:tr>
                          </w:tbl>
                          <w:tbl>
                            <w:tblPr>
                              <w:tblW w:w="5000" w:type="pct"/>
                              <w:jc w:val="left"/>
                              <w:tblInd w:w="0" w:type="dxa"/>
                              <w:tblCellMar>
                                <w:top w:w="0" w:type="dxa"/>
                                <w:left w:w="0" w:type="dxa"/>
                                <w:bottom w:w="0" w:type="dxa"/>
                                <w:right w:w="0" w:type="dxa"/>
                              </w:tblCellMar>
                            </w:tblPr>
                            <w:tblGrid>
                              <w:gridCol w:w="856"/>
                              <w:gridCol w:w="479"/>
                              <w:gridCol w:w="101"/>
                              <w:gridCol w:w="3462"/>
                            </w:tblGrid>
                            <w:tr>
                              <w:trPr/>
                              <w:tc>
                                <w:tcPr>
                                  <w:tcW w:w="856" w:type="dxa"/>
                                  <w:tcBorders/>
                                  <w:shd w:fill="auto" w:val="clear"/>
                                  <w:vAlign w:val="center"/>
                                </w:tcPr>
                                <w:p>
                                  <w:pPr>
                                    <w:pStyle w:val="TableContents"/>
                                    <w:spacing w:before="0" w:after="283"/>
                                    <w:rPr/>
                                  </w:pPr>
                                  <w:r>
                                    <w:rPr/>
                                    <w:t> </w:t>
                                  </w:r>
                                </w:p>
                              </w:tc>
                              <w:tc>
                                <w:tcPr>
                                  <w:tcW w:w="4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346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Canada, Inc. </w:t>
                                  </w:r>
                                </w:p>
                              </w:tc>
                            </w:tr>
                          </w:tbl>
                          <w:tbl>
                            <w:tblPr>
                              <w:tblW w:w="5000" w:type="pct"/>
                              <w:jc w:val="left"/>
                              <w:tblInd w:w="0" w:type="dxa"/>
                              <w:tblCellMar>
                                <w:top w:w="0" w:type="dxa"/>
                                <w:left w:w="0" w:type="dxa"/>
                                <w:bottom w:w="0" w:type="dxa"/>
                                <w:right w:w="0" w:type="dxa"/>
                              </w:tblCellMar>
                            </w:tblPr>
                            <w:tblGrid>
                              <w:gridCol w:w="814"/>
                              <w:gridCol w:w="456"/>
                              <w:gridCol w:w="96"/>
                              <w:gridCol w:w="3532"/>
                            </w:tblGrid>
                            <w:tr>
                              <w:trPr/>
                              <w:tc>
                                <w:tcPr>
                                  <w:tcW w:w="814" w:type="dxa"/>
                                  <w:tcBorders/>
                                  <w:shd w:fill="auto" w:val="clear"/>
                                  <w:vAlign w:val="center"/>
                                </w:tcPr>
                                <w:p>
                                  <w:pPr>
                                    <w:pStyle w:val="TableContents"/>
                                    <w:spacing w:before="0" w:after="283"/>
                                    <w:rPr/>
                                  </w:pPr>
                                  <w:r>
                                    <w:rPr/>
                                    <w:t> </w:t>
                                  </w:r>
                                </w:p>
                              </w:tc>
                              <w:tc>
                                <w:tcPr>
                                  <w:tcW w:w="45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auto" w:val="clear"/>
                                </w:tcPr>
                                <w:p>
                                  <w:pPr>
                                    <w:pStyle w:val="TableContents"/>
                                    <w:spacing w:before="0" w:after="283"/>
                                    <w:rPr/>
                                  </w:pPr>
                                  <w:r>
                                    <w:rPr/>
                                    <w:t> </w:t>
                                  </w:r>
                                </w:p>
                              </w:tc>
                              <w:tc>
                                <w:tcPr>
                                  <w:tcW w:w="353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Colorado, Inc. </w:t>
                                  </w:r>
                                </w:p>
                              </w:tc>
                            </w:tr>
                          </w:tbl>
                          <w:tbl>
                            <w:tblPr>
                              <w:tblW w:w="5000" w:type="pct"/>
                              <w:jc w:val="left"/>
                              <w:tblInd w:w="0" w:type="dxa"/>
                              <w:tblCellMar>
                                <w:top w:w="0" w:type="dxa"/>
                                <w:left w:w="0" w:type="dxa"/>
                                <w:bottom w:w="0" w:type="dxa"/>
                                <w:right w:w="0" w:type="dxa"/>
                              </w:tblCellMar>
                            </w:tblPr>
                            <w:tblGrid>
                              <w:gridCol w:w="870"/>
                              <w:gridCol w:w="486"/>
                              <w:gridCol w:w="103"/>
                              <w:gridCol w:w="3439"/>
                            </w:tblGrid>
                            <w:tr>
                              <w:trPr/>
                              <w:tc>
                                <w:tcPr>
                                  <w:tcW w:w="870"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Pr>
                                <w:p>
                                  <w:pPr>
                                    <w:pStyle w:val="TableContents"/>
                                    <w:spacing w:before="0" w:after="283"/>
                                    <w:rPr/>
                                  </w:pPr>
                                  <w:r>
                                    <w:rPr/>
                                    <w:t> </w:t>
                                  </w:r>
                                </w:p>
                              </w:tc>
                              <w:tc>
                                <w:tcPr>
                                  <w:tcW w:w="343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Hawaii, Inc. </w:t>
                                  </w:r>
                                </w:p>
                              </w:tc>
                            </w:tr>
                          </w:tbl>
                          <w:tbl>
                            <w:tblPr>
                              <w:tblW w:w="5000" w:type="pct"/>
                              <w:jc w:val="left"/>
                              <w:tblInd w:w="0" w:type="dxa"/>
                              <w:tblCellMar>
                                <w:top w:w="0" w:type="dxa"/>
                                <w:left w:w="0" w:type="dxa"/>
                                <w:bottom w:w="0" w:type="dxa"/>
                                <w:right w:w="0" w:type="dxa"/>
                              </w:tblCellMar>
                            </w:tblPr>
                            <w:tblGrid>
                              <w:gridCol w:w="819"/>
                              <w:gridCol w:w="457"/>
                              <w:gridCol w:w="96"/>
                              <w:gridCol w:w="3526"/>
                            </w:tblGrid>
                            <w:tr>
                              <w:trPr/>
                              <w:tc>
                                <w:tcPr>
                                  <w:tcW w:w="819" w:type="dxa"/>
                                  <w:tcBorders/>
                                  <w:shd w:fill="auto" w:val="clear"/>
                                  <w:vAlign w:val="center"/>
                                </w:tcPr>
                                <w:p>
                                  <w:pPr>
                                    <w:pStyle w:val="TableContents"/>
                                    <w:spacing w:before="0" w:after="283"/>
                                    <w:rPr/>
                                  </w:pPr>
                                  <w:r>
                                    <w:rPr/>
                                    <w:t> </w:t>
                                  </w:r>
                                </w:p>
                              </w:tc>
                              <w:tc>
                                <w:tcPr>
                                  <w:tcW w:w="45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auto" w:val="clear"/>
                                </w:tcPr>
                                <w:p>
                                  <w:pPr>
                                    <w:pStyle w:val="TableContents"/>
                                    <w:spacing w:before="0" w:after="283"/>
                                    <w:rPr/>
                                  </w:pPr>
                                  <w:r>
                                    <w:rPr/>
                                    <w:t> </w:t>
                                  </w:r>
                                </w:p>
                              </w:tc>
                              <w:tc>
                                <w:tcPr>
                                  <w:tcW w:w="352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Holdings, Inc. </w:t>
                                  </w:r>
                                </w:p>
                              </w:tc>
                            </w:tr>
                          </w:tbl>
                          <w:tbl>
                            <w:tblPr>
                              <w:tblW w:w="5000" w:type="pct"/>
                              <w:jc w:val="left"/>
                              <w:tblInd w:w="0" w:type="dxa"/>
                              <w:tblCellMar>
                                <w:top w:w="0" w:type="dxa"/>
                                <w:left w:w="0" w:type="dxa"/>
                                <w:bottom w:w="0" w:type="dxa"/>
                                <w:right w:w="0" w:type="dxa"/>
                              </w:tblCellMar>
                            </w:tblPr>
                            <w:tblGrid>
                              <w:gridCol w:w="903"/>
                              <w:gridCol w:w="505"/>
                              <w:gridCol w:w="106"/>
                              <w:gridCol w:w="3384"/>
                            </w:tblGrid>
                            <w:tr>
                              <w:trPr/>
                              <w:tc>
                                <w:tcPr>
                                  <w:tcW w:w="903" w:type="dxa"/>
                                  <w:tcBorders/>
                                  <w:shd w:fill="auto" w:val="clear"/>
                                  <w:vAlign w:val="center"/>
                                </w:tcPr>
                                <w:p>
                                  <w:pPr>
                                    <w:pStyle w:val="TableContents"/>
                                    <w:spacing w:before="0" w:after="283"/>
                                    <w:rPr/>
                                  </w:pPr>
                                  <w:r>
                                    <w:rPr/>
                                    <w:t> </w:t>
                                  </w:r>
                                </w:p>
                              </w:tc>
                              <w:tc>
                                <w:tcPr>
                                  <w:tcW w:w="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Pr>
                                <w:p>
                                  <w:pPr>
                                    <w:pStyle w:val="TableContents"/>
                                    <w:spacing w:before="0" w:after="283"/>
                                    <w:rPr/>
                                  </w:pPr>
                                  <w:r>
                                    <w:rPr/>
                                    <w:t> </w:t>
                                  </w:r>
                                </w:p>
                              </w:tc>
                              <w:tc>
                                <w:tcPr>
                                  <w:tcW w:w="33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Idaho, Inc. </w:t>
                                  </w:r>
                                </w:p>
                              </w:tc>
                            </w:tr>
                          </w:tbl>
                          <w:tbl>
                            <w:tblPr>
                              <w:tblW w:w="5000" w:type="pct"/>
                              <w:jc w:val="left"/>
                              <w:tblInd w:w="0" w:type="dxa"/>
                              <w:tblCellMar>
                                <w:top w:w="0" w:type="dxa"/>
                                <w:left w:w="0" w:type="dxa"/>
                                <w:bottom w:w="0" w:type="dxa"/>
                                <w:right w:w="0" w:type="dxa"/>
                              </w:tblCellMar>
                            </w:tblPr>
                            <w:tblGrid>
                              <w:gridCol w:w="870"/>
                              <w:gridCol w:w="486"/>
                              <w:gridCol w:w="103"/>
                              <w:gridCol w:w="3439"/>
                            </w:tblGrid>
                            <w:tr>
                              <w:trPr/>
                              <w:tc>
                                <w:tcPr>
                                  <w:tcW w:w="870"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Pr>
                                <w:p>
                                  <w:pPr>
                                    <w:pStyle w:val="TableContents"/>
                                    <w:spacing w:before="0" w:after="283"/>
                                    <w:rPr/>
                                  </w:pPr>
                                  <w:r>
                                    <w:rPr/>
                                    <w:t> </w:t>
                                  </w:r>
                                </w:p>
                              </w:tc>
                              <w:tc>
                                <w:tcPr>
                                  <w:tcW w:w="343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Kansas, Inc. </w:t>
                                  </w:r>
                                </w:p>
                              </w:tc>
                            </w:tr>
                          </w:tbl>
                          <w:tbl>
                            <w:tblPr>
                              <w:tblW w:w="5000" w:type="pct"/>
                              <w:jc w:val="left"/>
                              <w:tblInd w:w="0" w:type="dxa"/>
                              <w:tblCellMar>
                                <w:top w:w="0" w:type="dxa"/>
                                <w:left w:w="0" w:type="dxa"/>
                                <w:bottom w:w="0" w:type="dxa"/>
                                <w:right w:w="0" w:type="dxa"/>
                              </w:tblCellMar>
                            </w:tblPr>
                            <w:tblGrid>
                              <w:gridCol w:w="742"/>
                              <w:gridCol w:w="415"/>
                              <w:gridCol w:w="87"/>
                              <w:gridCol w:w="3654"/>
                            </w:tblGrid>
                            <w:tr>
                              <w:trPr/>
                              <w:tc>
                                <w:tcPr>
                                  <w:tcW w:w="742" w:type="dxa"/>
                                  <w:tcBorders/>
                                  <w:shd w:fill="auto" w:val="clear"/>
                                  <w:vAlign w:val="center"/>
                                </w:tcPr>
                                <w:p>
                                  <w:pPr>
                                    <w:pStyle w:val="TableContents"/>
                                    <w:spacing w:before="0" w:after="283"/>
                                    <w:rPr/>
                                  </w:pPr>
                                  <w:r>
                                    <w:rPr/>
                                    <w:t> </w:t>
                                  </w:r>
                                </w:p>
                              </w:tc>
                              <w:tc>
                                <w:tcPr>
                                  <w:tcW w:w="41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7" w:type="dxa"/>
                                  <w:tcBorders/>
                                  <w:shd w:fill="auto" w:val="clear"/>
                                </w:tcPr>
                                <w:p>
                                  <w:pPr>
                                    <w:pStyle w:val="TableContents"/>
                                    <w:spacing w:before="0" w:after="283"/>
                                    <w:rPr/>
                                  </w:pPr>
                                  <w:r>
                                    <w:rPr/>
                                    <w:t> </w:t>
                                  </w:r>
                                </w:p>
                              </w:tc>
                              <w:tc>
                                <w:tcPr>
                                  <w:tcW w:w="36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Management, Inc. </w:t>
                                  </w:r>
                                </w:p>
                              </w:tc>
                            </w:tr>
                          </w:tbl>
                          <w:tbl>
                            <w:tblPr>
                              <w:tblW w:w="5000" w:type="pct"/>
                              <w:jc w:val="left"/>
                              <w:tblInd w:w="0" w:type="dxa"/>
                              <w:tblCellMar>
                                <w:top w:w="0" w:type="dxa"/>
                                <w:left w:w="0" w:type="dxa"/>
                                <w:bottom w:w="0" w:type="dxa"/>
                                <w:right w:w="0" w:type="dxa"/>
                              </w:tblCellMar>
                            </w:tblPr>
                            <w:tblGrid>
                              <w:gridCol w:w="827"/>
                              <w:gridCol w:w="462"/>
                              <w:gridCol w:w="97"/>
                              <w:gridCol w:w="3512"/>
                            </w:tblGrid>
                            <w:tr>
                              <w:trPr/>
                              <w:tc>
                                <w:tcPr>
                                  <w:tcW w:w="827" w:type="dxa"/>
                                  <w:tcBorders/>
                                  <w:shd w:fill="auto" w:val="clear"/>
                                  <w:vAlign w:val="center"/>
                                </w:tcPr>
                                <w:p>
                                  <w:pPr>
                                    <w:pStyle w:val="TableContents"/>
                                    <w:spacing w:before="0" w:after="283"/>
                                    <w:rPr/>
                                  </w:pPr>
                                  <w:r>
                                    <w:rPr/>
                                    <w:t> </w:t>
                                  </w:r>
                                </w:p>
                              </w:tc>
                              <w:tc>
                                <w:tcPr>
                                  <w:tcW w:w="46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Pr>
                                <w:p>
                                  <w:pPr>
                                    <w:pStyle w:val="TableContents"/>
                                    <w:spacing w:before="0" w:after="283"/>
                                    <w:rPr/>
                                  </w:pPr>
                                  <w:r>
                                    <w:rPr/>
                                    <w:t> </w:t>
                                  </w:r>
                                </w:p>
                              </w:tc>
                              <w:tc>
                                <w:tcPr>
                                  <w:tcW w:w="35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Missouri, Inc. </w:t>
                                  </w:r>
                                </w:p>
                              </w:tc>
                            </w:tr>
                          </w:tbl>
                          <w:tbl>
                            <w:tblPr>
                              <w:tblW w:w="5000" w:type="pct"/>
                              <w:jc w:val="left"/>
                              <w:tblInd w:w="0" w:type="dxa"/>
                              <w:tblCellMar>
                                <w:top w:w="0" w:type="dxa"/>
                                <w:left w:w="0" w:type="dxa"/>
                                <w:bottom w:w="0" w:type="dxa"/>
                                <w:right w:w="0" w:type="dxa"/>
                              </w:tblCellMar>
                            </w:tblPr>
                            <w:tblGrid>
                              <w:gridCol w:w="819"/>
                              <w:gridCol w:w="457"/>
                              <w:gridCol w:w="96"/>
                              <w:gridCol w:w="3526"/>
                            </w:tblGrid>
                            <w:tr>
                              <w:trPr/>
                              <w:tc>
                                <w:tcPr>
                                  <w:tcW w:w="819" w:type="dxa"/>
                                  <w:tcBorders/>
                                  <w:shd w:fill="auto" w:val="clear"/>
                                  <w:vAlign w:val="center"/>
                                </w:tcPr>
                                <w:p>
                                  <w:pPr>
                                    <w:pStyle w:val="TableContents"/>
                                    <w:spacing w:before="0" w:after="283"/>
                                    <w:rPr/>
                                  </w:pPr>
                                  <w:r>
                                    <w:rPr/>
                                    <w:t> </w:t>
                                  </w:r>
                                </w:p>
                              </w:tc>
                              <w:tc>
                                <w:tcPr>
                                  <w:tcW w:w="45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auto" w:val="clear"/>
                                </w:tcPr>
                                <w:p>
                                  <w:pPr>
                                    <w:pStyle w:val="TableContents"/>
                                    <w:spacing w:before="0" w:after="283"/>
                                    <w:rPr/>
                                  </w:pPr>
                                  <w:r>
                                    <w:rPr/>
                                    <w:t> </w:t>
                                  </w:r>
                                </w:p>
                              </w:tc>
                              <w:tc>
                                <w:tcPr>
                                  <w:tcW w:w="352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Nebraska, Inc. </w:t>
                                  </w:r>
                                </w:p>
                              </w:tc>
                            </w:tr>
                          </w:tbl>
                          <w:tbl>
                            <w:tblPr>
                              <w:tblW w:w="5000" w:type="pct"/>
                              <w:jc w:val="left"/>
                              <w:tblInd w:w="0" w:type="dxa"/>
                              <w:tblCellMar>
                                <w:top w:w="0" w:type="dxa"/>
                                <w:left w:w="0" w:type="dxa"/>
                                <w:bottom w:w="0" w:type="dxa"/>
                                <w:right w:w="0" w:type="dxa"/>
                              </w:tblCellMar>
                            </w:tblPr>
                            <w:tblGrid>
                              <w:gridCol w:w="732"/>
                              <w:gridCol w:w="409"/>
                              <w:gridCol w:w="87"/>
                              <w:gridCol w:w="3670"/>
                            </w:tblGrid>
                            <w:tr>
                              <w:trPr/>
                              <w:tc>
                                <w:tcPr>
                                  <w:tcW w:w="732" w:type="dxa"/>
                                  <w:tcBorders/>
                                  <w:shd w:fill="auto" w:val="clear"/>
                                  <w:vAlign w:val="center"/>
                                </w:tcPr>
                                <w:p>
                                  <w:pPr>
                                    <w:pStyle w:val="TableContents"/>
                                    <w:spacing w:before="0" w:after="283"/>
                                    <w:rPr/>
                                  </w:pPr>
                                  <w:r>
                                    <w:rPr/>
                                    <w:t> </w:t>
                                  </w:r>
                                </w:p>
                              </w:tc>
                              <w:tc>
                                <w:tcPr>
                                  <w:tcW w:w="4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7" w:type="dxa"/>
                                  <w:tcBorders/>
                                  <w:shd w:fill="auto" w:val="clear"/>
                                </w:tcPr>
                                <w:p>
                                  <w:pPr>
                                    <w:pStyle w:val="TableContents"/>
                                    <w:spacing w:before="0" w:after="283"/>
                                    <w:rPr/>
                                  </w:pPr>
                                  <w:r>
                                    <w:rPr/>
                                    <w:t> </w:t>
                                  </w:r>
                                </w:p>
                              </w:tc>
                              <w:tc>
                                <w:tcPr>
                                  <w:tcW w:w="36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South Dakota, Inc. </w:t>
                                  </w:r>
                                </w:p>
                              </w:tc>
                            </w:tr>
                          </w:tbl>
                          <w:tbl>
                            <w:tblPr>
                              <w:tblW w:w="5000" w:type="pct"/>
                              <w:jc w:val="left"/>
                              <w:tblInd w:w="0" w:type="dxa"/>
                              <w:tblCellMar>
                                <w:top w:w="0" w:type="dxa"/>
                                <w:left w:w="0" w:type="dxa"/>
                                <w:bottom w:w="0" w:type="dxa"/>
                                <w:right w:w="0" w:type="dxa"/>
                              </w:tblCellMar>
                            </w:tblPr>
                            <w:tblGrid>
                              <w:gridCol w:w="928"/>
                              <w:gridCol w:w="519"/>
                              <w:gridCol w:w="109"/>
                              <w:gridCol w:w="3342"/>
                            </w:tblGrid>
                            <w:tr>
                              <w:trPr/>
                              <w:tc>
                                <w:tcPr>
                                  <w:tcW w:w="928" w:type="dxa"/>
                                  <w:tcBorders/>
                                  <w:shd w:fill="auto" w:val="clear"/>
                                  <w:vAlign w:val="center"/>
                                </w:tcPr>
                                <w:p>
                                  <w:pPr>
                                    <w:pStyle w:val="TableContents"/>
                                    <w:spacing w:before="0" w:after="283"/>
                                    <w:rPr/>
                                  </w:pPr>
                                  <w:r>
                                    <w:rPr/>
                                    <w:t> </w:t>
                                  </w:r>
                                </w:p>
                              </w:tc>
                              <w:tc>
                                <w:tcPr>
                                  <w:tcW w:w="5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Pr>
                                <w:p>
                                  <w:pPr>
                                    <w:pStyle w:val="TableContents"/>
                                    <w:spacing w:before="0" w:after="283"/>
                                    <w:rPr/>
                                  </w:pPr>
                                  <w:r>
                                    <w:rPr/>
                                    <w:t> </w:t>
                                  </w:r>
                                </w:p>
                              </w:tc>
                              <w:tc>
                                <w:tcPr>
                                  <w:tcW w:w="334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Utah, Inc. </w:t>
                                  </w:r>
                                </w:p>
                              </w:tc>
                            </w:tr>
                          </w:tbl>
                          <w:tbl>
                            <w:tblPr>
                              <w:tblW w:w="5000" w:type="pct"/>
                              <w:jc w:val="left"/>
                              <w:tblInd w:w="0" w:type="dxa"/>
                              <w:tblCellMar>
                                <w:top w:w="0" w:type="dxa"/>
                                <w:left w:w="0" w:type="dxa"/>
                                <w:bottom w:w="0" w:type="dxa"/>
                                <w:right w:w="0" w:type="dxa"/>
                              </w:tblCellMar>
                            </w:tblPr>
                            <w:tblGrid>
                              <w:gridCol w:w="791"/>
                              <w:gridCol w:w="443"/>
                              <w:gridCol w:w="93"/>
                              <w:gridCol w:w="3571"/>
                            </w:tblGrid>
                            <w:tr>
                              <w:trPr/>
                              <w:tc>
                                <w:tcPr>
                                  <w:tcW w:w="791" w:type="dxa"/>
                                  <w:tcBorders/>
                                  <w:shd w:fill="auto" w:val="clear"/>
                                  <w:vAlign w:val="center"/>
                                </w:tcPr>
                                <w:p>
                                  <w:pPr>
                                    <w:pStyle w:val="TableContents"/>
                                    <w:spacing w:before="0" w:after="283"/>
                                    <w:rPr/>
                                  </w:pPr>
                                  <w:r>
                                    <w:rPr/>
                                    <w:t> </w:t>
                                  </w:r>
                                </w:p>
                              </w:tc>
                              <w:tc>
                                <w:tcPr>
                                  <w:tcW w:w="4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Wisconsin, Inc. </w:t>
                                  </w:r>
                                </w:p>
                              </w:tc>
                            </w:tr>
                          </w:tbl>
                          <w:tbl>
                            <w:tblPr>
                              <w:tblW w:w="5000" w:type="pct"/>
                              <w:jc w:val="left"/>
                              <w:tblInd w:w="0" w:type="dxa"/>
                              <w:tblCellMar>
                                <w:top w:w="0" w:type="dxa"/>
                                <w:left w:w="0" w:type="dxa"/>
                                <w:bottom w:w="0" w:type="dxa"/>
                                <w:right w:w="0" w:type="dxa"/>
                              </w:tblCellMar>
                            </w:tblPr>
                            <w:tblGrid>
                              <w:gridCol w:w="870"/>
                              <w:gridCol w:w="486"/>
                              <w:gridCol w:w="103"/>
                              <w:gridCol w:w="3439"/>
                            </w:tblGrid>
                            <w:tr>
                              <w:trPr/>
                              <w:tc>
                                <w:tcPr>
                                  <w:tcW w:w="870"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Pr>
                                <w:p>
                                  <w:pPr>
                                    <w:pStyle w:val="TableContents"/>
                                    <w:spacing w:before="0" w:after="283"/>
                                    <w:rPr/>
                                  </w:pPr>
                                  <w:r>
                                    <w:rPr/>
                                    <w:t> </w:t>
                                  </w:r>
                                </w:p>
                              </w:tc>
                              <w:tc>
                                <w:tcPr>
                                  <w:tcW w:w="343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Alabama, Inc. </w:t>
                                  </w:r>
                                </w:p>
                              </w:tc>
                            </w:tr>
                          </w:tbl>
                          <w:tbl>
                            <w:tblPr>
                              <w:tblW w:w="5000" w:type="pct"/>
                              <w:jc w:val="left"/>
                              <w:tblInd w:w="0" w:type="dxa"/>
                              <w:tblCellMar>
                                <w:top w:w="0" w:type="dxa"/>
                                <w:left w:w="0" w:type="dxa"/>
                                <w:bottom w:w="0" w:type="dxa"/>
                                <w:right w:w="0" w:type="dxa"/>
                              </w:tblCellMar>
                            </w:tblPr>
                            <w:tblGrid>
                              <w:gridCol w:w="865"/>
                              <w:gridCol w:w="484"/>
                              <w:gridCol w:w="102"/>
                              <w:gridCol w:w="3447"/>
                            </w:tblGrid>
                            <w:tr>
                              <w:trPr/>
                              <w:tc>
                                <w:tcPr>
                                  <w:tcW w:w="865" w:type="dxa"/>
                                  <w:tcBorders/>
                                  <w:shd w:fill="auto" w:val="clear"/>
                                  <w:vAlign w:val="center"/>
                                </w:tcPr>
                                <w:p>
                                  <w:pPr>
                                    <w:pStyle w:val="TableContents"/>
                                    <w:spacing w:before="0" w:after="283"/>
                                    <w:rPr/>
                                  </w:pPr>
                                  <w:r>
                                    <w:rPr/>
                                    <w:t> </w:t>
                                  </w:r>
                                </w:p>
                              </w:tc>
                              <w:tc>
                                <w:tcPr>
                                  <w:tcW w:w="4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344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Arkansas, Inc.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12.5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966"/>
                        <w:gridCol w:w="540"/>
                        <w:gridCol w:w="113"/>
                        <w:gridCol w:w="3279"/>
                      </w:tblGrid>
                      <w:tr>
                        <w:trPr/>
                        <w:tc>
                          <w:tcPr>
                            <w:tcW w:w="966" w:type="dxa"/>
                            <w:tcBorders/>
                            <w:shd w:fill="auto" w:val="clear"/>
                            <w:vAlign w:val="center"/>
                          </w:tcPr>
                          <w:p>
                            <w:pPr>
                              <w:pStyle w:val="TableContents"/>
                              <w:spacing w:before="0" w:after="283"/>
                              <w:rPr/>
                            </w:pPr>
                            <w:r>
                              <w:rPr/>
                              <w:t> </w:t>
                            </w:r>
                          </w:p>
                        </w:tc>
                        <w:tc>
                          <w:tcPr>
                            <w:tcW w:w="54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Pr>
                          <w:p>
                            <w:pPr>
                              <w:pStyle w:val="TableContents"/>
                              <w:spacing w:before="0" w:after="283"/>
                              <w:rPr/>
                            </w:pPr>
                            <w:r>
                              <w:rPr/>
                              <w:t> </w:t>
                            </w:r>
                          </w:p>
                        </w:tc>
                        <w:tc>
                          <w:tcPr>
                            <w:tcW w:w="32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CCV Americas, LLC </w:t>
                            </w:r>
                          </w:p>
                        </w:tc>
                      </w:tr>
                    </w:tbl>
                    <w:tbl>
                      <w:tblPr>
                        <w:tblW w:w="5000" w:type="pct"/>
                        <w:jc w:val="left"/>
                        <w:tblInd w:w="0" w:type="dxa"/>
                        <w:tblCellMar>
                          <w:top w:w="0" w:type="dxa"/>
                          <w:left w:w="0" w:type="dxa"/>
                          <w:bottom w:w="0" w:type="dxa"/>
                          <w:right w:w="0" w:type="dxa"/>
                        </w:tblCellMar>
                      </w:tblPr>
                      <w:tblGrid>
                        <w:gridCol w:w="874"/>
                        <w:gridCol w:w="489"/>
                        <w:gridCol w:w="103"/>
                        <w:gridCol w:w="3432"/>
                      </w:tblGrid>
                      <w:tr>
                        <w:trPr/>
                        <w:tc>
                          <w:tcPr>
                            <w:tcW w:w="874" w:type="dxa"/>
                            <w:tcBorders/>
                            <w:shd w:fill="auto" w:val="clear"/>
                            <w:vAlign w:val="center"/>
                          </w:tcPr>
                          <w:p>
                            <w:pPr>
                              <w:pStyle w:val="TableContents"/>
                              <w:spacing w:before="0" w:after="283"/>
                              <w:rPr/>
                            </w:pPr>
                            <w:r>
                              <w:rPr/>
                              <w:t> </w:t>
                            </w:r>
                          </w:p>
                        </w:tc>
                        <w:tc>
                          <w:tcPr>
                            <w:tcW w:w="4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Pr>
                          <w:p>
                            <w:pPr>
                              <w:pStyle w:val="TableContents"/>
                              <w:spacing w:before="0" w:after="283"/>
                              <w:rPr/>
                            </w:pPr>
                            <w:r>
                              <w:rPr/>
                              <w:t> </w:t>
                            </w:r>
                          </w:p>
                        </w:tc>
                        <w:tc>
                          <w:tcPr>
                            <w:tcW w:w="343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CCV Pennsylvania, Inc. </w:t>
                            </w:r>
                          </w:p>
                        </w:tc>
                      </w:tr>
                    </w:tbl>
                    <w:tbl>
                      <w:tblPr>
                        <w:tblW w:w="5000" w:type="pct"/>
                        <w:jc w:val="left"/>
                        <w:tblInd w:w="0" w:type="dxa"/>
                        <w:tblCellMar>
                          <w:top w:w="0" w:type="dxa"/>
                          <w:left w:w="0" w:type="dxa"/>
                          <w:bottom w:w="0" w:type="dxa"/>
                          <w:right w:w="0" w:type="dxa"/>
                        </w:tblCellMar>
                      </w:tblPr>
                      <w:tblGrid>
                        <w:gridCol w:w="1025"/>
                        <w:gridCol w:w="574"/>
                        <w:gridCol w:w="120"/>
                        <w:gridCol w:w="3179"/>
                      </w:tblGrid>
                      <w:tr>
                        <w:trPr/>
                        <w:tc>
                          <w:tcPr>
                            <w:tcW w:w="1025" w:type="dxa"/>
                            <w:tcBorders/>
                            <w:shd w:fill="auto" w:val="clear"/>
                            <w:vAlign w:val="center"/>
                          </w:tcPr>
                          <w:p>
                            <w:pPr>
                              <w:pStyle w:val="TableContents"/>
                              <w:spacing w:before="0" w:after="283"/>
                              <w:rPr/>
                            </w:pPr>
                            <w:r>
                              <w:rPr/>
                              <w:t> </w:t>
                            </w:r>
                          </w:p>
                        </w:tc>
                        <w:tc>
                          <w:tcPr>
                            <w:tcW w:w="5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0" w:type="dxa"/>
                            <w:tcBorders/>
                            <w:shd w:fill="auto" w:val="clear"/>
                          </w:tcPr>
                          <w:p>
                            <w:pPr>
                              <w:pStyle w:val="TableContents"/>
                              <w:spacing w:before="0" w:after="283"/>
                              <w:rPr/>
                            </w:pPr>
                            <w:r>
                              <w:rPr/>
                              <w:t> </w:t>
                            </w:r>
                          </w:p>
                        </w:tc>
                        <w:tc>
                          <w:tcPr>
                            <w:tcW w:w="31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CCV Virginia, Inc. </w:t>
                            </w:r>
                          </w:p>
                        </w:tc>
                      </w:tr>
                    </w:tbl>
                    <w:tbl>
                      <w:tblPr>
                        <w:tblW w:w="5000" w:type="pct"/>
                        <w:jc w:val="left"/>
                        <w:tblInd w:w="0" w:type="dxa"/>
                        <w:tblCellMar>
                          <w:top w:w="0" w:type="dxa"/>
                          <w:left w:w="0" w:type="dxa"/>
                          <w:bottom w:w="0" w:type="dxa"/>
                          <w:right w:w="0" w:type="dxa"/>
                        </w:tblCellMar>
                      </w:tblPr>
                      <w:tblGrid>
                        <w:gridCol w:w="966"/>
                        <w:gridCol w:w="540"/>
                        <w:gridCol w:w="113"/>
                        <w:gridCol w:w="3279"/>
                      </w:tblGrid>
                      <w:tr>
                        <w:trPr/>
                        <w:tc>
                          <w:tcPr>
                            <w:tcW w:w="966" w:type="dxa"/>
                            <w:tcBorders/>
                            <w:shd w:fill="auto" w:val="clear"/>
                            <w:vAlign w:val="center"/>
                          </w:tcPr>
                          <w:p>
                            <w:pPr>
                              <w:pStyle w:val="TableContents"/>
                              <w:spacing w:before="0" w:after="283"/>
                              <w:rPr/>
                            </w:pPr>
                            <w:r>
                              <w:rPr/>
                              <w:t> </w:t>
                            </w:r>
                          </w:p>
                        </w:tc>
                        <w:tc>
                          <w:tcPr>
                            <w:tcW w:w="54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Pr>
                          <w:p>
                            <w:pPr>
                              <w:pStyle w:val="TableContents"/>
                              <w:spacing w:before="0" w:after="283"/>
                              <w:rPr/>
                            </w:pPr>
                            <w:r>
                              <w:rPr/>
                              <w:t> </w:t>
                            </w:r>
                          </w:p>
                        </w:tc>
                        <w:tc>
                          <w:tcPr>
                            <w:tcW w:w="32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 Capital, Inc. </w:t>
                            </w:r>
                          </w:p>
                        </w:tc>
                      </w:tr>
                    </w:tbl>
                    <w:tbl>
                      <w:tblPr>
                        <w:tblW w:w="5000" w:type="pct"/>
                        <w:jc w:val="left"/>
                        <w:tblInd w:w="0" w:type="dxa"/>
                        <w:tblCellMar>
                          <w:top w:w="0" w:type="dxa"/>
                          <w:left w:w="0" w:type="dxa"/>
                          <w:bottom w:w="0" w:type="dxa"/>
                          <w:right w:w="0" w:type="dxa"/>
                        </w:tblCellMar>
                      </w:tblPr>
                      <w:tblGrid>
                        <w:gridCol w:w="678"/>
                        <w:gridCol w:w="380"/>
                        <w:gridCol w:w="79"/>
                        <w:gridCol w:w="3761"/>
                      </w:tblGrid>
                      <w:tr>
                        <w:trPr/>
                        <w:tc>
                          <w:tcPr>
                            <w:tcW w:w="678" w:type="dxa"/>
                            <w:tcBorders/>
                            <w:shd w:fill="auto" w:val="clear"/>
                            <w:vAlign w:val="center"/>
                          </w:tcPr>
                          <w:p>
                            <w:pPr>
                              <w:pStyle w:val="TableContents"/>
                              <w:spacing w:before="0" w:after="283"/>
                              <w:rPr/>
                            </w:pPr>
                            <w:r>
                              <w:rPr/>
                              <w:t> </w:t>
                            </w:r>
                          </w:p>
                        </w:tc>
                        <w:tc>
                          <w:tcPr>
                            <w:tcW w:w="3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79" w:type="dxa"/>
                            <w:tcBorders/>
                            <w:shd w:fill="auto" w:val="clear"/>
                          </w:tcPr>
                          <w:p>
                            <w:pPr>
                              <w:pStyle w:val="TableContents"/>
                              <w:spacing w:before="0" w:after="283"/>
                              <w:rPr/>
                            </w:pPr>
                            <w:r>
                              <w:rPr/>
                              <w:t> </w:t>
                            </w:r>
                          </w:p>
                        </w:tc>
                        <w:tc>
                          <w:tcPr>
                            <w:tcW w:w="376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 Capital Investments, LLC </w:t>
                            </w:r>
                          </w:p>
                        </w:tc>
                      </w:tr>
                    </w:tbl>
                    <w:tbl>
                      <w:tblPr>
                        <w:tblW w:w="5000" w:type="pct"/>
                        <w:jc w:val="left"/>
                        <w:tblInd w:w="0" w:type="dxa"/>
                        <w:tblCellMar>
                          <w:top w:w="0" w:type="dxa"/>
                          <w:left w:w="0" w:type="dxa"/>
                          <w:bottom w:w="0" w:type="dxa"/>
                          <w:right w:w="0" w:type="dxa"/>
                        </w:tblCellMar>
                      </w:tblPr>
                      <w:tblGrid>
                        <w:gridCol w:w="729"/>
                        <w:gridCol w:w="407"/>
                        <w:gridCol w:w="86"/>
                        <w:gridCol w:w="3676"/>
                      </w:tblGrid>
                      <w:tr>
                        <w:trPr/>
                        <w:tc>
                          <w:tcPr>
                            <w:tcW w:w="729"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6" w:type="dxa"/>
                            <w:tcBorders/>
                            <w:shd w:fill="auto" w:val="clear"/>
                          </w:tcPr>
                          <w:p>
                            <w:pPr>
                              <w:pStyle w:val="TableContents"/>
                              <w:spacing w:before="0" w:after="283"/>
                              <w:rPr/>
                            </w:pPr>
                            <w:r>
                              <w:rPr/>
                              <w:t> </w:t>
                            </w:r>
                          </w:p>
                        </w:tc>
                        <w:tc>
                          <w:tcPr>
                            <w:tcW w:w="36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 Capital Ventures, LLC </w:t>
                            </w:r>
                          </w:p>
                        </w:tc>
                      </w:tr>
                    </w:tbl>
                    <w:tbl>
                      <w:tblPr>
                        <w:tblW w:w="5000" w:type="pct"/>
                        <w:jc w:val="left"/>
                        <w:tblInd w:w="0" w:type="dxa"/>
                        <w:tblCellMar>
                          <w:top w:w="0" w:type="dxa"/>
                          <w:left w:w="0" w:type="dxa"/>
                          <w:bottom w:w="0" w:type="dxa"/>
                          <w:right w:w="0" w:type="dxa"/>
                        </w:tblCellMar>
                      </w:tblPr>
                      <w:tblGrid>
                        <w:gridCol w:w="791"/>
                        <w:gridCol w:w="443"/>
                        <w:gridCol w:w="93"/>
                        <w:gridCol w:w="3571"/>
                      </w:tblGrid>
                      <w:tr>
                        <w:trPr/>
                        <w:tc>
                          <w:tcPr>
                            <w:tcW w:w="791" w:type="dxa"/>
                            <w:tcBorders/>
                            <w:shd w:fill="auto" w:val="clear"/>
                            <w:vAlign w:val="center"/>
                          </w:tcPr>
                          <w:p>
                            <w:pPr>
                              <w:pStyle w:val="TableContents"/>
                              <w:spacing w:before="0" w:after="283"/>
                              <w:rPr/>
                            </w:pPr>
                            <w:r>
                              <w:rPr/>
                              <w:t> </w:t>
                            </w:r>
                          </w:p>
                        </w:tc>
                        <w:tc>
                          <w:tcPr>
                            <w:tcW w:w="4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EZCORP International, Inc. </w:t>
                            </w:r>
                          </w:p>
                        </w:tc>
                      </w:tr>
                    </w:tbl>
                    <w:tbl>
                      <w:tblPr>
                        <w:tblW w:w="5000" w:type="pct"/>
                        <w:jc w:val="left"/>
                        <w:tblInd w:w="0" w:type="dxa"/>
                        <w:tblCellMar>
                          <w:top w:w="0" w:type="dxa"/>
                          <w:left w:w="0" w:type="dxa"/>
                          <w:bottom w:w="0" w:type="dxa"/>
                          <w:right w:w="0" w:type="dxa"/>
                        </w:tblCellMar>
                      </w:tblPr>
                      <w:tblGrid>
                        <w:gridCol w:w="620"/>
                        <w:gridCol w:w="347"/>
                        <w:gridCol w:w="73"/>
                        <w:gridCol w:w="3858"/>
                      </w:tblGrid>
                      <w:tr>
                        <w:trPr/>
                        <w:tc>
                          <w:tcPr>
                            <w:tcW w:w="620" w:type="dxa"/>
                            <w:tcBorders/>
                            <w:shd w:fill="auto" w:val="clear"/>
                            <w:vAlign w:val="center"/>
                          </w:tcPr>
                          <w:p>
                            <w:pPr>
                              <w:pStyle w:val="TableContents"/>
                              <w:spacing w:before="0" w:after="283"/>
                              <w:rPr/>
                            </w:pPr>
                            <w:r>
                              <w:rPr/>
                              <w:t> </w:t>
                            </w:r>
                          </w:p>
                        </w:tc>
                        <w:tc>
                          <w:tcPr>
                            <w:tcW w:w="34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73" w:type="dxa"/>
                            <w:tcBorders/>
                            <w:shd w:fill="auto" w:val="clear"/>
                          </w:tcPr>
                          <w:p>
                            <w:pPr>
                              <w:pStyle w:val="TableContents"/>
                              <w:spacing w:before="0" w:after="283"/>
                              <w:rPr/>
                            </w:pPr>
                            <w:r>
                              <w:rPr/>
                              <w:t> </w:t>
                            </w:r>
                          </w:p>
                        </w:tc>
                        <w:tc>
                          <w:tcPr>
                            <w:tcW w:w="385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EZCORP International Holdings, LLC </w:t>
                            </w:r>
                          </w:p>
                        </w:tc>
                      </w:tr>
                    </w:tbl>
                    <w:tbl>
                      <w:tblPr>
                        <w:tblW w:w="5000" w:type="pct"/>
                        <w:jc w:val="left"/>
                        <w:tblInd w:w="0" w:type="dxa"/>
                        <w:tblCellMar>
                          <w:top w:w="0" w:type="dxa"/>
                          <w:left w:w="0" w:type="dxa"/>
                          <w:bottom w:w="0" w:type="dxa"/>
                          <w:right w:w="0" w:type="dxa"/>
                        </w:tblCellMar>
                      </w:tblPr>
                      <w:tblGrid>
                        <w:gridCol w:w="939"/>
                        <w:gridCol w:w="524"/>
                        <w:gridCol w:w="111"/>
                        <w:gridCol w:w="3324"/>
                      </w:tblGrid>
                      <w:tr>
                        <w:trPr/>
                        <w:tc>
                          <w:tcPr>
                            <w:tcW w:w="939" w:type="dxa"/>
                            <w:tcBorders/>
                            <w:shd w:fill="auto" w:val="clear"/>
                            <w:vAlign w:val="center"/>
                          </w:tcPr>
                          <w:p>
                            <w:pPr>
                              <w:pStyle w:val="TableContents"/>
                              <w:spacing w:before="0" w:after="283"/>
                              <w:rPr/>
                            </w:pPr>
                            <w:r>
                              <w:rPr/>
                              <w:t> </w:t>
                            </w:r>
                          </w:p>
                        </w:tc>
                        <w:tc>
                          <w:tcPr>
                            <w:tcW w:w="5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auto" w:val="clear"/>
                          </w:tcPr>
                          <w:p>
                            <w:pPr>
                              <w:pStyle w:val="TableContents"/>
                              <w:spacing w:before="0" w:after="283"/>
                              <w:rPr/>
                            </w:pPr>
                            <w:r>
                              <w:rPr/>
                              <w:t> </w:t>
                            </w:r>
                          </w:p>
                        </w:tc>
                        <w:tc>
                          <w:tcPr>
                            <w:tcW w:w="3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EZCORP Online, Inc. </w:t>
                            </w:r>
                          </w:p>
                        </w:tc>
                      </w:tr>
                    </w:tbl>
                    <w:tbl>
                      <w:tblPr>
                        <w:tblW w:w="5000" w:type="pct"/>
                        <w:jc w:val="left"/>
                        <w:tblInd w:w="0" w:type="dxa"/>
                        <w:tblCellMar>
                          <w:top w:w="0" w:type="dxa"/>
                          <w:left w:w="0" w:type="dxa"/>
                          <w:bottom w:w="0" w:type="dxa"/>
                          <w:right w:w="0" w:type="dxa"/>
                        </w:tblCellMar>
                      </w:tblPr>
                      <w:tblGrid>
                        <w:gridCol w:w="1007"/>
                        <w:gridCol w:w="563"/>
                        <w:gridCol w:w="118"/>
                        <w:gridCol w:w="3210"/>
                      </w:tblGrid>
                      <w:tr>
                        <w:trPr/>
                        <w:tc>
                          <w:tcPr>
                            <w:tcW w:w="1007" w:type="dxa"/>
                            <w:tcBorders/>
                            <w:shd w:fill="auto" w:val="clear"/>
                            <w:vAlign w:val="center"/>
                          </w:tcPr>
                          <w:p>
                            <w:pPr>
                              <w:pStyle w:val="TableContents"/>
                              <w:spacing w:before="0" w:after="283"/>
                              <w:rPr/>
                            </w:pPr>
                            <w:r>
                              <w:rPr/>
                              <w:t> </w:t>
                            </w:r>
                          </w:p>
                        </w:tc>
                        <w:tc>
                          <w:tcPr>
                            <w:tcW w:w="56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8" w:type="dxa"/>
                            <w:tcBorders/>
                            <w:shd w:fill="auto" w:val="clear"/>
                          </w:tcPr>
                          <w:p>
                            <w:pPr>
                              <w:pStyle w:val="TableContents"/>
                              <w:spacing w:before="0" w:after="283"/>
                              <w:rPr/>
                            </w:pPr>
                            <w:r>
                              <w:rPr/>
                              <w:t> </w:t>
                            </w:r>
                          </w:p>
                        </w:tc>
                        <w:tc>
                          <w:tcPr>
                            <w:tcW w:w="32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EZCORP USA, Inc. </w:t>
                            </w:r>
                          </w:p>
                        </w:tc>
                      </w:tr>
                    </w:tbl>
                    <w:tbl>
                      <w:tblPr>
                        <w:tblW w:w="5000" w:type="pct"/>
                        <w:jc w:val="left"/>
                        <w:tblInd w:w="0" w:type="dxa"/>
                        <w:tblCellMar>
                          <w:top w:w="0" w:type="dxa"/>
                          <w:left w:w="0" w:type="dxa"/>
                          <w:bottom w:w="0" w:type="dxa"/>
                          <w:right w:w="0" w:type="dxa"/>
                        </w:tblCellMar>
                      </w:tblPr>
                      <w:tblGrid>
                        <w:gridCol w:w="827"/>
                        <w:gridCol w:w="462"/>
                        <w:gridCol w:w="97"/>
                        <w:gridCol w:w="3512"/>
                      </w:tblGrid>
                      <w:tr>
                        <w:trPr/>
                        <w:tc>
                          <w:tcPr>
                            <w:tcW w:w="827" w:type="dxa"/>
                            <w:tcBorders/>
                            <w:shd w:fill="auto" w:val="clear"/>
                            <w:vAlign w:val="center"/>
                          </w:tcPr>
                          <w:p>
                            <w:pPr>
                              <w:pStyle w:val="TableContents"/>
                              <w:spacing w:before="0" w:after="283"/>
                              <w:rPr/>
                            </w:pPr>
                            <w:r>
                              <w:rPr/>
                              <w:t> </w:t>
                            </w:r>
                          </w:p>
                        </w:tc>
                        <w:tc>
                          <w:tcPr>
                            <w:tcW w:w="46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Pr>
                          <w:p>
                            <w:pPr>
                              <w:pStyle w:val="TableContents"/>
                              <w:spacing w:before="0" w:after="283"/>
                              <w:rPr/>
                            </w:pPr>
                            <w:r>
                              <w:rPr/>
                              <w:t> </w:t>
                            </w:r>
                          </w:p>
                        </w:tc>
                        <w:tc>
                          <w:tcPr>
                            <w:tcW w:w="35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Alabama, Inc. </w:t>
                            </w:r>
                          </w:p>
                        </w:tc>
                      </w:tr>
                    </w:tbl>
                    <w:tbl>
                      <w:tblPr>
                        <w:tblW w:w="5000" w:type="pct"/>
                        <w:jc w:val="left"/>
                        <w:tblInd w:w="0" w:type="dxa"/>
                        <w:tblCellMar>
                          <w:top w:w="0" w:type="dxa"/>
                          <w:left w:w="0" w:type="dxa"/>
                          <w:bottom w:w="0" w:type="dxa"/>
                          <w:right w:w="0" w:type="dxa"/>
                        </w:tblCellMar>
                      </w:tblPr>
                      <w:tblGrid>
                        <w:gridCol w:w="856"/>
                        <w:gridCol w:w="479"/>
                        <w:gridCol w:w="101"/>
                        <w:gridCol w:w="3462"/>
                      </w:tblGrid>
                      <w:tr>
                        <w:trPr/>
                        <w:tc>
                          <w:tcPr>
                            <w:tcW w:w="856" w:type="dxa"/>
                            <w:tcBorders/>
                            <w:shd w:fill="auto" w:val="clear"/>
                            <w:vAlign w:val="center"/>
                          </w:tcPr>
                          <w:p>
                            <w:pPr>
                              <w:pStyle w:val="TableContents"/>
                              <w:spacing w:before="0" w:after="283"/>
                              <w:rPr/>
                            </w:pPr>
                            <w:r>
                              <w:rPr/>
                              <w:t> </w:t>
                            </w:r>
                          </w:p>
                        </w:tc>
                        <w:tc>
                          <w:tcPr>
                            <w:tcW w:w="4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346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Canada, Inc. </w:t>
                            </w:r>
                          </w:p>
                        </w:tc>
                      </w:tr>
                    </w:tbl>
                    <w:tbl>
                      <w:tblPr>
                        <w:tblW w:w="5000" w:type="pct"/>
                        <w:jc w:val="left"/>
                        <w:tblInd w:w="0" w:type="dxa"/>
                        <w:tblCellMar>
                          <w:top w:w="0" w:type="dxa"/>
                          <w:left w:w="0" w:type="dxa"/>
                          <w:bottom w:w="0" w:type="dxa"/>
                          <w:right w:w="0" w:type="dxa"/>
                        </w:tblCellMar>
                      </w:tblPr>
                      <w:tblGrid>
                        <w:gridCol w:w="814"/>
                        <w:gridCol w:w="456"/>
                        <w:gridCol w:w="96"/>
                        <w:gridCol w:w="3532"/>
                      </w:tblGrid>
                      <w:tr>
                        <w:trPr/>
                        <w:tc>
                          <w:tcPr>
                            <w:tcW w:w="814" w:type="dxa"/>
                            <w:tcBorders/>
                            <w:shd w:fill="auto" w:val="clear"/>
                            <w:vAlign w:val="center"/>
                          </w:tcPr>
                          <w:p>
                            <w:pPr>
                              <w:pStyle w:val="TableContents"/>
                              <w:spacing w:before="0" w:after="283"/>
                              <w:rPr/>
                            </w:pPr>
                            <w:r>
                              <w:rPr/>
                              <w:t> </w:t>
                            </w:r>
                          </w:p>
                        </w:tc>
                        <w:tc>
                          <w:tcPr>
                            <w:tcW w:w="45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auto" w:val="clear"/>
                          </w:tcPr>
                          <w:p>
                            <w:pPr>
                              <w:pStyle w:val="TableContents"/>
                              <w:spacing w:before="0" w:after="283"/>
                              <w:rPr/>
                            </w:pPr>
                            <w:r>
                              <w:rPr/>
                              <w:t> </w:t>
                            </w:r>
                          </w:p>
                        </w:tc>
                        <w:tc>
                          <w:tcPr>
                            <w:tcW w:w="353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Colorado, Inc. </w:t>
                            </w:r>
                          </w:p>
                        </w:tc>
                      </w:tr>
                    </w:tbl>
                    <w:tbl>
                      <w:tblPr>
                        <w:tblW w:w="5000" w:type="pct"/>
                        <w:jc w:val="left"/>
                        <w:tblInd w:w="0" w:type="dxa"/>
                        <w:tblCellMar>
                          <w:top w:w="0" w:type="dxa"/>
                          <w:left w:w="0" w:type="dxa"/>
                          <w:bottom w:w="0" w:type="dxa"/>
                          <w:right w:w="0" w:type="dxa"/>
                        </w:tblCellMar>
                      </w:tblPr>
                      <w:tblGrid>
                        <w:gridCol w:w="870"/>
                        <w:gridCol w:w="486"/>
                        <w:gridCol w:w="103"/>
                        <w:gridCol w:w="3439"/>
                      </w:tblGrid>
                      <w:tr>
                        <w:trPr/>
                        <w:tc>
                          <w:tcPr>
                            <w:tcW w:w="870"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Pr>
                          <w:p>
                            <w:pPr>
                              <w:pStyle w:val="TableContents"/>
                              <w:spacing w:before="0" w:after="283"/>
                              <w:rPr/>
                            </w:pPr>
                            <w:r>
                              <w:rPr/>
                              <w:t> </w:t>
                            </w:r>
                          </w:p>
                        </w:tc>
                        <w:tc>
                          <w:tcPr>
                            <w:tcW w:w="343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Hawaii, Inc. </w:t>
                            </w:r>
                          </w:p>
                        </w:tc>
                      </w:tr>
                    </w:tbl>
                    <w:tbl>
                      <w:tblPr>
                        <w:tblW w:w="5000" w:type="pct"/>
                        <w:jc w:val="left"/>
                        <w:tblInd w:w="0" w:type="dxa"/>
                        <w:tblCellMar>
                          <w:top w:w="0" w:type="dxa"/>
                          <w:left w:w="0" w:type="dxa"/>
                          <w:bottom w:w="0" w:type="dxa"/>
                          <w:right w:w="0" w:type="dxa"/>
                        </w:tblCellMar>
                      </w:tblPr>
                      <w:tblGrid>
                        <w:gridCol w:w="819"/>
                        <w:gridCol w:w="457"/>
                        <w:gridCol w:w="96"/>
                        <w:gridCol w:w="3526"/>
                      </w:tblGrid>
                      <w:tr>
                        <w:trPr/>
                        <w:tc>
                          <w:tcPr>
                            <w:tcW w:w="819" w:type="dxa"/>
                            <w:tcBorders/>
                            <w:shd w:fill="auto" w:val="clear"/>
                            <w:vAlign w:val="center"/>
                          </w:tcPr>
                          <w:p>
                            <w:pPr>
                              <w:pStyle w:val="TableContents"/>
                              <w:spacing w:before="0" w:after="283"/>
                              <w:rPr/>
                            </w:pPr>
                            <w:r>
                              <w:rPr/>
                              <w:t> </w:t>
                            </w:r>
                          </w:p>
                        </w:tc>
                        <w:tc>
                          <w:tcPr>
                            <w:tcW w:w="45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auto" w:val="clear"/>
                          </w:tcPr>
                          <w:p>
                            <w:pPr>
                              <w:pStyle w:val="TableContents"/>
                              <w:spacing w:before="0" w:after="283"/>
                              <w:rPr/>
                            </w:pPr>
                            <w:r>
                              <w:rPr/>
                              <w:t> </w:t>
                            </w:r>
                          </w:p>
                        </w:tc>
                        <w:tc>
                          <w:tcPr>
                            <w:tcW w:w="352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Holdings, Inc. </w:t>
                            </w:r>
                          </w:p>
                        </w:tc>
                      </w:tr>
                    </w:tbl>
                    <w:tbl>
                      <w:tblPr>
                        <w:tblW w:w="5000" w:type="pct"/>
                        <w:jc w:val="left"/>
                        <w:tblInd w:w="0" w:type="dxa"/>
                        <w:tblCellMar>
                          <w:top w:w="0" w:type="dxa"/>
                          <w:left w:w="0" w:type="dxa"/>
                          <w:bottom w:w="0" w:type="dxa"/>
                          <w:right w:w="0" w:type="dxa"/>
                        </w:tblCellMar>
                      </w:tblPr>
                      <w:tblGrid>
                        <w:gridCol w:w="903"/>
                        <w:gridCol w:w="505"/>
                        <w:gridCol w:w="106"/>
                        <w:gridCol w:w="3384"/>
                      </w:tblGrid>
                      <w:tr>
                        <w:trPr/>
                        <w:tc>
                          <w:tcPr>
                            <w:tcW w:w="903" w:type="dxa"/>
                            <w:tcBorders/>
                            <w:shd w:fill="auto" w:val="clear"/>
                            <w:vAlign w:val="center"/>
                          </w:tcPr>
                          <w:p>
                            <w:pPr>
                              <w:pStyle w:val="TableContents"/>
                              <w:spacing w:before="0" w:after="283"/>
                              <w:rPr/>
                            </w:pPr>
                            <w:r>
                              <w:rPr/>
                              <w:t> </w:t>
                            </w:r>
                          </w:p>
                        </w:tc>
                        <w:tc>
                          <w:tcPr>
                            <w:tcW w:w="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Pr>
                          <w:p>
                            <w:pPr>
                              <w:pStyle w:val="TableContents"/>
                              <w:spacing w:before="0" w:after="283"/>
                              <w:rPr/>
                            </w:pPr>
                            <w:r>
                              <w:rPr/>
                              <w:t> </w:t>
                            </w:r>
                          </w:p>
                        </w:tc>
                        <w:tc>
                          <w:tcPr>
                            <w:tcW w:w="33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Idaho, Inc. </w:t>
                            </w:r>
                          </w:p>
                        </w:tc>
                      </w:tr>
                    </w:tbl>
                    <w:tbl>
                      <w:tblPr>
                        <w:tblW w:w="5000" w:type="pct"/>
                        <w:jc w:val="left"/>
                        <w:tblInd w:w="0" w:type="dxa"/>
                        <w:tblCellMar>
                          <w:top w:w="0" w:type="dxa"/>
                          <w:left w:w="0" w:type="dxa"/>
                          <w:bottom w:w="0" w:type="dxa"/>
                          <w:right w:w="0" w:type="dxa"/>
                        </w:tblCellMar>
                      </w:tblPr>
                      <w:tblGrid>
                        <w:gridCol w:w="870"/>
                        <w:gridCol w:w="486"/>
                        <w:gridCol w:w="103"/>
                        <w:gridCol w:w="3439"/>
                      </w:tblGrid>
                      <w:tr>
                        <w:trPr/>
                        <w:tc>
                          <w:tcPr>
                            <w:tcW w:w="870"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Pr>
                          <w:p>
                            <w:pPr>
                              <w:pStyle w:val="TableContents"/>
                              <w:spacing w:before="0" w:after="283"/>
                              <w:rPr/>
                            </w:pPr>
                            <w:r>
                              <w:rPr/>
                              <w:t> </w:t>
                            </w:r>
                          </w:p>
                        </w:tc>
                        <w:tc>
                          <w:tcPr>
                            <w:tcW w:w="343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Kansas, Inc. </w:t>
                            </w:r>
                          </w:p>
                        </w:tc>
                      </w:tr>
                    </w:tbl>
                    <w:tbl>
                      <w:tblPr>
                        <w:tblW w:w="5000" w:type="pct"/>
                        <w:jc w:val="left"/>
                        <w:tblInd w:w="0" w:type="dxa"/>
                        <w:tblCellMar>
                          <w:top w:w="0" w:type="dxa"/>
                          <w:left w:w="0" w:type="dxa"/>
                          <w:bottom w:w="0" w:type="dxa"/>
                          <w:right w:w="0" w:type="dxa"/>
                        </w:tblCellMar>
                      </w:tblPr>
                      <w:tblGrid>
                        <w:gridCol w:w="742"/>
                        <w:gridCol w:w="415"/>
                        <w:gridCol w:w="87"/>
                        <w:gridCol w:w="3654"/>
                      </w:tblGrid>
                      <w:tr>
                        <w:trPr/>
                        <w:tc>
                          <w:tcPr>
                            <w:tcW w:w="742" w:type="dxa"/>
                            <w:tcBorders/>
                            <w:shd w:fill="auto" w:val="clear"/>
                            <w:vAlign w:val="center"/>
                          </w:tcPr>
                          <w:p>
                            <w:pPr>
                              <w:pStyle w:val="TableContents"/>
                              <w:spacing w:before="0" w:after="283"/>
                              <w:rPr/>
                            </w:pPr>
                            <w:r>
                              <w:rPr/>
                              <w:t> </w:t>
                            </w:r>
                          </w:p>
                        </w:tc>
                        <w:tc>
                          <w:tcPr>
                            <w:tcW w:w="41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7" w:type="dxa"/>
                            <w:tcBorders/>
                            <w:shd w:fill="auto" w:val="clear"/>
                          </w:tcPr>
                          <w:p>
                            <w:pPr>
                              <w:pStyle w:val="TableContents"/>
                              <w:spacing w:before="0" w:after="283"/>
                              <w:rPr/>
                            </w:pPr>
                            <w:r>
                              <w:rPr/>
                              <w:t> </w:t>
                            </w:r>
                          </w:p>
                        </w:tc>
                        <w:tc>
                          <w:tcPr>
                            <w:tcW w:w="36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Management, Inc. </w:t>
                            </w:r>
                          </w:p>
                        </w:tc>
                      </w:tr>
                    </w:tbl>
                    <w:tbl>
                      <w:tblPr>
                        <w:tblW w:w="5000" w:type="pct"/>
                        <w:jc w:val="left"/>
                        <w:tblInd w:w="0" w:type="dxa"/>
                        <w:tblCellMar>
                          <w:top w:w="0" w:type="dxa"/>
                          <w:left w:w="0" w:type="dxa"/>
                          <w:bottom w:w="0" w:type="dxa"/>
                          <w:right w:w="0" w:type="dxa"/>
                        </w:tblCellMar>
                      </w:tblPr>
                      <w:tblGrid>
                        <w:gridCol w:w="827"/>
                        <w:gridCol w:w="462"/>
                        <w:gridCol w:w="97"/>
                        <w:gridCol w:w="3512"/>
                      </w:tblGrid>
                      <w:tr>
                        <w:trPr/>
                        <w:tc>
                          <w:tcPr>
                            <w:tcW w:w="827" w:type="dxa"/>
                            <w:tcBorders/>
                            <w:shd w:fill="auto" w:val="clear"/>
                            <w:vAlign w:val="center"/>
                          </w:tcPr>
                          <w:p>
                            <w:pPr>
                              <w:pStyle w:val="TableContents"/>
                              <w:spacing w:before="0" w:after="283"/>
                              <w:rPr/>
                            </w:pPr>
                            <w:r>
                              <w:rPr/>
                              <w:t> </w:t>
                            </w:r>
                          </w:p>
                        </w:tc>
                        <w:tc>
                          <w:tcPr>
                            <w:tcW w:w="46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Pr>
                          <w:p>
                            <w:pPr>
                              <w:pStyle w:val="TableContents"/>
                              <w:spacing w:before="0" w:after="283"/>
                              <w:rPr/>
                            </w:pPr>
                            <w:r>
                              <w:rPr/>
                              <w:t> </w:t>
                            </w:r>
                          </w:p>
                        </w:tc>
                        <w:tc>
                          <w:tcPr>
                            <w:tcW w:w="35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Missouri, Inc. </w:t>
                            </w:r>
                          </w:p>
                        </w:tc>
                      </w:tr>
                    </w:tbl>
                    <w:tbl>
                      <w:tblPr>
                        <w:tblW w:w="5000" w:type="pct"/>
                        <w:jc w:val="left"/>
                        <w:tblInd w:w="0" w:type="dxa"/>
                        <w:tblCellMar>
                          <w:top w:w="0" w:type="dxa"/>
                          <w:left w:w="0" w:type="dxa"/>
                          <w:bottom w:w="0" w:type="dxa"/>
                          <w:right w:w="0" w:type="dxa"/>
                        </w:tblCellMar>
                      </w:tblPr>
                      <w:tblGrid>
                        <w:gridCol w:w="819"/>
                        <w:gridCol w:w="457"/>
                        <w:gridCol w:w="96"/>
                        <w:gridCol w:w="3526"/>
                      </w:tblGrid>
                      <w:tr>
                        <w:trPr/>
                        <w:tc>
                          <w:tcPr>
                            <w:tcW w:w="819" w:type="dxa"/>
                            <w:tcBorders/>
                            <w:shd w:fill="auto" w:val="clear"/>
                            <w:vAlign w:val="center"/>
                          </w:tcPr>
                          <w:p>
                            <w:pPr>
                              <w:pStyle w:val="TableContents"/>
                              <w:spacing w:before="0" w:after="283"/>
                              <w:rPr/>
                            </w:pPr>
                            <w:r>
                              <w:rPr/>
                              <w:t> </w:t>
                            </w:r>
                          </w:p>
                        </w:tc>
                        <w:tc>
                          <w:tcPr>
                            <w:tcW w:w="45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auto" w:val="clear"/>
                          </w:tcPr>
                          <w:p>
                            <w:pPr>
                              <w:pStyle w:val="TableContents"/>
                              <w:spacing w:before="0" w:after="283"/>
                              <w:rPr/>
                            </w:pPr>
                            <w:r>
                              <w:rPr/>
                              <w:t> </w:t>
                            </w:r>
                          </w:p>
                        </w:tc>
                        <w:tc>
                          <w:tcPr>
                            <w:tcW w:w="352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Nebraska, Inc. </w:t>
                            </w:r>
                          </w:p>
                        </w:tc>
                      </w:tr>
                    </w:tbl>
                    <w:tbl>
                      <w:tblPr>
                        <w:tblW w:w="5000" w:type="pct"/>
                        <w:jc w:val="left"/>
                        <w:tblInd w:w="0" w:type="dxa"/>
                        <w:tblCellMar>
                          <w:top w:w="0" w:type="dxa"/>
                          <w:left w:w="0" w:type="dxa"/>
                          <w:bottom w:w="0" w:type="dxa"/>
                          <w:right w:w="0" w:type="dxa"/>
                        </w:tblCellMar>
                      </w:tblPr>
                      <w:tblGrid>
                        <w:gridCol w:w="732"/>
                        <w:gridCol w:w="409"/>
                        <w:gridCol w:w="87"/>
                        <w:gridCol w:w="3670"/>
                      </w:tblGrid>
                      <w:tr>
                        <w:trPr/>
                        <w:tc>
                          <w:tcPr>
                            <w:tcW w:w="732" w:type="dxa"/>
                            <w:tcBorders/>
                            <w:shd w:fill="auto" w:val="clear"/>
                            <w:vAlign w:val="center"/>
                          </w:tcPr>
                          <w:p>
                            <w:pPr>
                              <w:pStyle w:val="TableContents"/>
                              <w:spacing w:before="0" w:after="283"/>
                              <w:rPr/>
                            </w:pPr>
                            <w:r>
                              <w:rPr/>
                              <w:t> </w:t>
                            </w:r>
                          </w:p>
                        </w:tc>
                        <w:tc>
                          <w:tcPr>
                            <w:tcW w:w="4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7" w:type="dxa"/>
                            <w:tcBorders/>
                            <w:shd w:fill="auto" w:val="clear"/>
                          </w:tcPr>
                          <w:p>
                            <w:pPr>
                              <w:pStyle w:val="TableContents"/>
                              <w:spacing w:before="0" w:after="283"/>
                              <w:rPr/>
                            </w:pPr>
                            <w:r>
                              <w:rPr/>
                              <w:t> </w:t>
                            </w:r>
                          </w:p>
                        </w:tc>
                        <w:tc>
                          <w:tcPr>
                            <w:tcW w:w="36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South Dakota, Inc. </w:t>
                            </w:r>
                          </w:p>
                        </w:tc>
                      </w:tr>
                    </w:tbl>
                    <w:tbl>
                      <w:tblPr>
                        <w:tblW w:w="5000" w:type="pct"/>
                        <w:jc w:val="left"/>
                        <w:tblInd w:w="0" w:type="dxa"/>
                        <w:tblCellMar>
                          <w:top w:w="0" w:type="dxa"/>
                          <w:left w:w="0" w:type="dxa"/>
                          <w:bottom w:w="0" w:type="dxa"/>
                          <w:right w:w="0" w:type="dxa"/>
                        </w:tblCellMar>
                      </w:tblPr>
                      <w:tblGrid>
                        <w:gridCol w:w="928"/>
                        <w:gridCol w:w="519"/>
                        <w:gridCol w:w="109"/>
                        <w:gridCol w:w="3342"/>
                      </w:tblGrid>
                      <w:tr>
                        <w:trPr/>
                        <w:tc>
                          <w:tcPr>
                            <w:tcW w:w="928" w:type="dxa"/>
                            <w:tcBorders/>
                            <w:shd w:fill="auto" w:val="clear"/>
                            <w:vAlign w:val="center"/>
                          </w:tcPr>
                          <w:p>
                            <w:pPr>
                              <w:pStyle w:val="TableContents"/>
                              <w:spacing w:before="0" w:after="283"/>
                              <w:rPr/>
                            </w:pPr>
                            <w:r>
                              <w:rPr/>
                              <w:t> </w:t>
                            </w:r>
                          </w:p>
                        </w:tc>
                        <w:tc>
                          <w:tcPr>
                            <w:tcW w:w="5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Pr>
                          <w:p>
                            <w:pPr>
                              <w:pStyle w:val="TableContents"/>
                              <w:spacing w:before="0" w:after="283"/>
                              <w:rPr/>
                            </w:pPr>
                            <w:r>
                              <w:rPr/>
                              <w:t> </w:t>
                            </w:r>
                          </w:p>
                        </w:tc>
                        <w:tc>
                          <w:tcPr>
                            <w:tcW w:w="334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Utah, Inc. </w:t>
                            </w:r>
                          </w:p>
                        </w:tc>
                      </w:tr>
                    </w:tbl>
                    <w:tbl>
                      <w:tblPr>
                        <w:tblW w:w="5000" w:type="pct"/>
                        <w:jc w:val="left"/>
                        <w:tblInd w:w="0" w:type="dxa"/>
                        <w:tblCellMar>
                          <w:top w:w="0" w:type="dxa"/>
                          <w:left w:w="0" w:type="dxa"/>
                          <w:bottom w:w="0" w:type="dxa"/>
                          <w:right w:w="0" w:type="dxa"/>
                        </w:tblCellMar>
                      </w:tblPr>
                      <w:tblGrid>
                        <w:gridCol w:w="791"/>
                        <w:gridCol w:w="443"/>
                        <w:gridCol w:w="93"/>
                        <w:gridCol w:w="3571"/>
                      </w:tblGrid>
                      <w:tr>
                        <w:trPr/>
                        <w:tc>
                          <w:tcPr>
                            <w:tcW w:w="791" w:type="dxa"/>
                            <w:tcBorders/>
                            <w:shd w:fill="auto" w:val="clear"/>
                            <w:vAlign w:val="center"/>
                          </w:tcPr>
                          <w:p>
                            <w:pPr>
                              <w:pStyle w:val="TableContents"/>
                              <w:spacing w:before="0" w:after="283"/>
                              <w:rPr/>
                            </w:pPr>
                            <w:r>
                              <w:rPr/>
                              <w:t> </w:t>
                            </w:r>
                          </w:p>
                        </w:tc>
                        <w:tc>
                          <w:tcPr>
                            <w:tcW w:w="4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Wisconsin, Inc. </w:t>
                            </w:r>
                          </w:p>
                        </w:tc>
                      </w:tr>
                    </w:tbl>
                    <w:tbl>
                      <w:tblPr>
                        <w:tblW w:w="5000" w:type="pct"/>
                        <w:jc w:val="left"/>
                        <w:tblInd w:w="0" w:type="dxa"/>
                        <w:tblCellMar>
                          <w:top w:w="0" w:type="dxa"/>
                          <w:left w:w="0" w:type="dxa"/>
                          <w:bottom w:w="0" w:type="dxa"/>
                          <w:right w:w="0" w:type="dxa"/>
                        </w:tblCellMar>
                      </w:tblPr>
                      <w:tblGrid>
                        <w:gridCol w:w="870"/>
                        <w:gridCol w:w="486"/>
                        <w:gridCol w:w="103"/>
                        <w:gridCol w:w="3439"/>
                      </w:tblGrid>
                      <w:tr>
                        <w:trPr/>
                        <w:tc>
                          <w:tcPr>
                            <w:tcW w:w="870"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Pr>
                          <w:p>
                            <w:pPr>
                              <w:pStyle w:val="TableContents"/>
                              <w:spacing w:before="0" w:after="283"/>
                              <w:rPr/>
                            </w:pPr>
                            <w:r>
                              <w:rPr/>
                              <w:t> </w:t>
                            </w:r>
                          </w:p>
                        </w:tc>
                        <w:tc>
                          <w:tcPr>
                            <w:tcW w:w="343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Alabama, Inc. </w:t>
                            </w:r>
                          </w:p>
                        </w:tc>
                      </w:tr>
                    </w:tbl>
                    <w:tbl>
                      <w:tblPr>
                        <w:tblW w:w="5000" w:type="pct"/>
                        <w:jc w:val="left"/>
                        <w:tblInd w:w="0" w:type="dxa"/>
                        <w:tblCellMar>
                          <w:top w:w="0" w:type="dxa"/>
                          <w:left w:w="0" w:type="dxa"/>
                          <w:bottom w:w="0" w:type="dxa"/>
                          <w:right w:w="0" w:type="dxa"/>
                        </w:tblCellMar>
                      </w:tblPr>
                      <w:tblGrid>
                        <w:gridCol w:w="865"/>
                        <w:gridCol w:w="484"/>
                        <w:gridCol w:w="102"/>
                        <w:gridCol w:w="3447"/>
                      </w:tblGrid>
                      <w:tr>
                        <w:trPr/>
                        <w:tc>
                          <w:tcPr>
                            <w:tcW w:w="865" w:type="dxa"/>
                            <w:tcBorders/>
                            <w:shd w:fill="auto" w:val="clear"/>
                            <w:vAlign w:val="center"/>
                          </w:tcPr>
                          <w:p>
                            <w:pPr>
                              <w:pStyle w:val="TableContents"/>
                              <w:spacing w:before="0" w:after="283"/>
                              <w:rPr/>
                            </w:pPr>
                            <w:r>
                              <w:rPr/>
                              <w:t> </w:t>
                            </w:r>
                          </w:p>
                        </w:tc>
                        <w:tc>
                          <w:tcPr>
                            <w:tcW w:w="4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344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Arkansas, Inc.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right</wp:align>
                </wp:positionH>
                <wp:positionV relativeFrom="line">
                  <wp:posOffset>635</wp:posOffset>
                </wp:positionV>
                <wp:extent cx="3110230" cy="9049385"/>
                <wp:effectExtent l="0" t="0" r="0" b="0"/>
                <wp:wrapSquare wrapText="largest"/>
                <wp:docPr id="3" name="Frame2"/>
                <a:graphic xmlns:a="http://schemas.openxmlformats.org/drawingml/2006/main">
                  <a:graphicData uri="http://schemas.microsoft.com/office/word/2010/wordprocessingShape">
                    <wps:wsp>
                      <wps:cNvSpPr txBox="1"/>
                      <wps:spPr>
                        <a:xfrm>
                          <a:off x="0" y="0"/>
                          <a:ext cx="3110230" cy="9049385"/>
                        </a:xfrm>
                        <a:prstGeom prst="rect"/>
                      </wps:spPr>
                      <wps:txbx>
                        <w:txbxContent>
                          <w:tbl>
                            <w:tblPr>
                              <w:tblW w:w="5000" w:type="pct"/>
                              <w:jc w:val="left"/>
                              <w:tblInd w:w="0" w:type="dxa"/>
                              <w:tblCellMar>
                                <w:top w:w="0" w:type="dxa"/>
                                <w:left w:w="0" w:type="dxa"/>
                                <w:bottom w:w="0" w:type="dxa"/>
                                <w:right w:w="0" w:type="dxa"/>
                              </w:tblCellMar>
                            </w:tblPr>
                            <w:tblGrid>
                              <w:gridCol w:w="856"/>
                              <w:gridCol w:w="479"/>
                              <w:gridCol w:w="101"/>
                              <w:gridCol w:w="3462"/>
                            </w:tblGrid>
                            <w:tr>
                              <w:trPr/>
                              <w:tc>
                                <w:tcPr>
                                  <w:tcW w:w="856" w:type="dxa"/>
                                  <w:tcBorders/>
                                  <w:shd w:fill="auto" w:val="clear"/>
                                  <w:vAlign w:val="center"/>
                                </w:tcPr>
                                <w:p>
                                  <w:pPr>
                                    <w:pStyle w:val="TableContents"/>
                                    <w:spacing w:before="0" w:after="283"/>
                                    <w:rPr/>
                                  </w:pPr>
                                  <w:r>
                                    <w:rPr/>
                                    <w:t> </w:t>
                                  </w:r>
                                </w:p>
                              </w:tc>
                              <w:tc>
                                <w:tcPr>
                                  <w:tcW w:w="4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346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Colorado, Inc. </w:t>
                                  </w:r>
                                </w:p>
                              </w:tc>
                            </w:tr>
                          </w:tbl>
                          <w:tbl>
                            <w:tblPr>
                              <w:tblW w:w="5000" w:type="pct"/>
                              <w:jc w:val="left"/>
                              <w:tblInd w:w="0" w:type="dxa"/>
                              <w:tblCellMar>
                                <w:top w:w="0" w:type="dxa"/>
                                <w:left w:w="0" w:type="dxa"/>
                                <w:bottom w:w="0" w:type="dxa"/>
                                <w:right w:w="0" w:type="dxa"/>
                              </w:tblCellMar>
                            </w:tblPr>
                            <w:tblGrid>
                              <w:gridCol w:w="913"/>
                              <w:gridCol w:w="510"/>
                              <w:gridCol w:w="108"/>
                              <w:gridCol w:w="3367"/>
                            </w:tblGrid>
                            <w:tr>
                              <w:trPr/>
                              <w:tc>
                                <w:tcPr>
                                  <w:tcW w:w="91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auto" w:val="clear"/>
                                </w:tcPr>
                                <w:p>
                                  <w:pPr>
                                    <w:pStyle w:val="TableContents"/>
                                    <w:spacing w:before="0" w:after="283"/>
                                    <w:rPr/>
                                  </w:pPr>
                                  <w:r>
                                    <w:rPr/>
                                    <w:t> </w:t>
                                  </w:r>
                                </w:p>
                              </w:tc>
                              <w:tc>
                                <w:tcPr>
                                  <w:tcW w:w="336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Florida, Inc. </w:t>
                                  </w:r>
                                </w:p>
                              </w:tc>
                            </w:tr>
                          </w:tbl>
                          <w:tbl>
                            <w:tblPr>
                              <w:tblW w:w="5000" w:type="pct"/>
                              <w:jc w:val="left"/>
                              <w:tblInd w:w="0" w:type="dxa"/>
                              <w:tblCellMar>
                                <w:top w:w="0" w:type="dxa"/>
                                <w:left w:w="0" w:type="dxa"/>
                                <w:bottom w:w="0" w:type="dxa"/>
                                <w:right w:w="0" w:type="dxa"/>
                              </w:tblCellMar>
                            </w:tblPr>
                            <w:tblGrid>
                              <w:gridCol w:w="893"/>
                              <w:gridCol w:w="500"/>
                              <w:gridCol w:w="105"/>
                              <w:gridCol w:w="3400"/>
                            </w:tblGrid>
                            <w:tr>
                              <w:trPr/>
                              <w:tc>
                                <w:tcPr>
                                  <w:tcW w:w="893" w:type="dxa"/>
                                  <w:tcBorders/>
                                  <w:shd w:fill="auto" w:val="clear"/>
                                  <w:vAlign w:val="center"/>
                                </w:tcPr>
                                <w:p>
                                  <w:pPr>
                                    <w:pStyle w:val="TableContents"/>
                                    <w:spacing w:before="0" w:after="283"/>
                                    <w:rPr/>
                                  </w:pPr>
                                  <w:r>
                                    <w:rPr/>
                                    <w:t> </w:t>
                                  </w:r>
                                </w:p>
                              </w:tc>
                              <w:tc>
                                <w:tcPr>
                                  <w:tcW w:w="5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Pr>
                                <w:p>
                                  <w:pPr>
                                    <w:pStyle w:val="TableContents"/>
                                    <w:spacing w:before="0" w:after="283"/>
                                    <w:rPr/>
                                  </w:pPr>
                                  <w:r>
                                    <w:rPr/>
                                    <w:t> </w:t>
                                  </w:r>
                                </w:p>
                              </w:tc>
                              <w:tc>
                                <w:tcPr>
                                  <w:tcW w:w="34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Georgia, Inc. </w:t>
                                  </w:r>
                                </w:p>
                              </w:tc>
                            </w:tr>
                          </w:tbl>
                          <w:tbl>
                            <w:tblPr>
                              <w:tblW w:w="5000" w:type="pct"/>
                              <w:jc w:val="left"/>
                              <w:tblInd w:w="0" w:type="dxa"/>
                              <w:tblCellMar>
                                <w:top w:w="0" w:type="dxa"/>
                                <w:left w:w="0" w:type="dxa"/>
                                <w:bottom w:w="0" w:type="dxa"/>
                                <w:right w:w="0" w:type="dxa"/>
                              </w:tblCellMar>
                            </w:tblPr>
                            <w:tblGrid>
                              <w:gridCol w:w="861"/>
                              <w:gridCol w:w="481"/>
                              <w:gridCol w:w="101"/>
                              <w:gridCol w:w="3455"/>
                            </w:tblGrid>
                            <w:tr>
                              <w:trPr/>
                              <w:tc>
                                <w:tcPr>
                                  <w:tcW w:w="861" w:type="dxa"/>
                                  <w:tcBorders/>
                                  <w:shd w:fill="auto" w:val="clear"/>
                                  <w:vAlign w:val="center"/>
                                </w:tcPr>
                                <w:p>
                                  <w:pPr>
                                    <w:pStyle w:val="TableContents"/>
                                    <w:spacing w:before="0" w:after="283"/>
                                    <w:rPr/>
                                  </w:pPr>
                                  <w:r>
                                    <w:rPr/>
                                    <w:t> </w:t>
                                  </w:r>
                                </w:p>
                              </w:tc>
                              <w:tc>
                                <w:tcPr>
                                  <w:tcW w:w="4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34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Holdings, Inc. </w:t>
                                  </w:r>
                                </w:p>
                              </w:tc>
                            </w:tr>
                          </w:tbl>
                          <w:tbl>
                            <w:tblPr>
                              <w:tblW w:w="5000" w:type="pct"/>
                              <w:jc w:val="left"/>
                              <w:tblInd w:w="0" w:type="dxa"/>
                              <w:tblCellMar>
                                <w:top w:w="0" w:type="dxa"/>
                                <w:left w:w="0" w:type="dxa"/>
                                <w:bottom w:w="0" w:type="dxa"/>
                                <w:right w:w="0" w:type="dxa"/>
                              </w:tblCellMar>
                            </w:tblPr>
                            <w:tblGrid>
                              <w:gridCol w:w="913"/>
                              <w:gridCol w:w="510"/>
                              <w:gridCol w:w="108"/>
                              <w:gridCol w:w="3367"/>
                            </w:tblGrid>
                            <w:tr>
                              <w:trPr/>
                              <w:tc>
                                <w:tcPr>
                                  <w:tcW w:w="91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auto" w:val="clear"/>
                                </w:tcPr>
                                <w:p>
                                  <w:pPr>
                                    <w:pStyle w:val="TableContents"/>
                                    <w:spacing w:before="0" w:after="283"/>
                                    <w:rPr/>
                                  </w:pPr>
                                  <w:r>
                                    <w:rPr/>
                                    <w:t> </w:t>
                                  </w:r>
                                </w:p>
                              </w:tc>
                              <w:tc>
                                <w:tcPr>
                                  <w:tcW w:w="336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Illinois, Inc. </w:t>
                                  </w:r>
                                </w:p>
                              </w:tc>
                            </w:tr>
                          </w:tbl>
                          <w:tbl>
                            <w:tblPr>
                              <w:tblW w:w="5000" w:type="pct"/>
                              <w:jc w:val="left"/>
                              <w:tblInd w:w="0" w:type="dxa"/>
                              <w:tblCellMar>
                                <w:top w:w="0" w:type="dxa"/>
                                <w:left w:w="0" w:type="dxa"/>
                                <w:bottom w:w="0" w:type="dxa"/>
                                <w:right w:w="0" w:type="dxa"/>
                              </w:tblCellMar>
                            </w:tblPr>
                            <w:tblGrid>
                              <w:gridCol w:w="903"/>
                              <w:gridCol w:w="505"/>
                              <w:gridCol w:w="106"/>
                              <w:gridCol w:w="3384"/>
                            </w:tblGrid>
                            <w:tr>
                              <w:trPr/>
                              <w:tc>
                                <w:tcPr>
                                  <w:tcW w:w="903" w:type="dxa"/>
                                  <w:tcBorders/>
                                  <w:shd w:fill="auto" w:val="clear"/>
                                  <w:vAlign w:val="center"/>
                                </w:tcPr>
                                <w:p>
                                  <w:pPr>
                                    <w:pStyle w:val="TableContents"/>
                                    <w:spacing w:before="0" w:after="283"/>
                                    <w:rPr/>
                                  </w:pPr>
                                  <w:r>
                                    <w:rPr/>
                                    <w:t> </w:t>
                                  </w:r>
                                </w:p>
                              </w:tc>
                              <w:tc>
                                <w:tcPr>
                                  <w:tcW w:w="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Pr>
                                <w:p>
                                  <w:pPr>
                                    <w:pStyle w:val="TableContents"/>
                                    <w:spacing w:before="0" w:after="283"/>
                                    <w:rPr/>
                                  </w:pPr>
                                  <w:r>
                                    <w:rPr/>
                                    <w:t> </w:t>
                                  </w:r>
                                </w:p>
                              </w:tc>
                              <w:tc>
                                <w:tcPr>
                                  <w:tcW w:w="33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Indiana, Inc. </w:t>
                                  </w:r>
                                </w:p>
                              </w:tc>
                            </w:tr>
                          </w:tbl>
                          <w:tbl>
                            <w:tblPr>
                              <w:tblW w:w="5000" w:type="pct"/>
                              <w:jc w:val="left"/>
                              <w:tblInd w:w="0" w:type="dxa"/>
                              <w:tblCellMar>
                                <w:top w:w="0" w:type="dxa"/>
                                <w:left w:w="0" w:type="dxa"/>
                                <w:bottom w:w="0" w:type="dxa"/>
                                <w:right w:w="0" w:type="dxa"/>
                              </w:tblCellMar>
                            </w:tblPr>
                            <w:tblGrid>
                              <w:gridCol w:w="983"/>
                              <w:gridCol w:w="550"/>
                              <w:gridCol w:w="115"/>
                              <w:gridCol w:w="3250"/>
                            </w:tblGrid>
                            <w:tr>
                              <w:trPr/>
                              <w:tc>
                                <w:tcPr>
                                  <w:tcW w:w="983" w:type="dxa"/>
                                  <w:tcBorders/>
                                  <w:shd w:fill="auto" w:val="clear"/>
                                  <w:vAlign w:val="center"/>
                                </w:tcPr>
                                <w:p>
                                  <w:pPr>
                                    <w:pStyle w:val="TableContents"/>
                                    <w:spacing w:before="0" w:after="283"/>
                                    <w:rPr/>
                                  </w:pPr>
                                  <w:r>
                                    <w:rPr/>
                                    <w:t> </w:t>
                                  </w:r>
                                </w:p>
                              </w:tc>
                              <w:tc>
                                <w:tcPr>
                                  <w:tcW w:w="5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5" w:type="dxa"/>
                                  <w:tcBorders/>
                                  <w:shd w:fill="auto" w:val="clear"/>
                                </w:tcPr>
                                <w:p>
                                  <w:pPr>
                                    <w:pStyle w:val="TableContents"/>
                                    <w:spacing w:before="0" w:after="283"/>
                                    <w:rPr/>
                                  </w:pPr>
                                  <w:r>
                                    <w:rPr/>
                                    <w:t> </w:t>
                                  </w:r>
                                </w:p>
                              </w:tc>
                              <w:tc>
                                <w:tcPr>
                                  <w:tcW w:w="32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Iowa, Inc. </w:t>
                                  </w:r>
                                </w:p>
                              </w:tc>
                            </w:tr>
                          </w:tbl>
                          <w:tbl>
                            <w:tblPr>
                              <w:tblW w:w="5000" w:type="pct"/>
                              <w:jc w:val="left"/>
                              <w:tblInd w:w="0" w:type="dxa"/>
                              <w:tblCellMar>
                                <w:top w:w="0" w:type="dxa"/>
                                <w:left w:w="0" w:type="dxa"/>
                                <w:bottom w:w="0" w:type="dxa"/>
                                <w:right w:w="0" w:type="dxa"/>
                              </w:tblCellMar>
                            </w:tblPr>
                            <w:tblGrid>
                              <w:gridCol w:w="843"/>
                              <w:gridCol w:w="472"/>
                              <w:gridCol w:w="99"/>
                              <w:gridCol w:w="3484"/>
                            </w:tblGrid>
                            <w:tr>
                              <w:trPr/>
                              <w:tc>
                                <w:tcPr>
                                  <w:tcW w:w="843" w:type="dxa"/>
                                  <w:tcBorders/>
                                  <w:shd w:fill="auto" w:val="clear"/>
                                  <w:vAlign w:val="center"/>
                                </w:tcPr>
                                <w:p>
                                  <w:pPr>
                                    <w:pStyle w:val="TableContents"/>
                                    <w:spacing w:before="0" w:after="283"/>
                                    <w:rPr/>
                                  </w:pPr>
                                  <w:r>
                                    <w:rPr/>
                                    <w:t> </w:t>
                                  </w:r>
                                </w:p>
                              </w:tc>
                              <w:tc>
                                <w:tcPr>
                                  <w:tcW w:w="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auto" w:val="clear"/>
                                </w:tcPr>
                                <w:p>
                                  <w:pPr>
                                    <w:pStyle w:val="TableContents"/>
                                    <w:spacing w:before="0" w:after="283"/>
                                    <w:rPr/>
                                  </w:pPr>
                                  <w:r>
                                    <w:rPr/>
                                    <w:t> </w:t>
                                  </w:r>
                                </w:p>
                              </w:tc>
                              <w:tc>
                                <w:tcPr>
                                  <w:tcW w:w="34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Louisiana, Inc. </w:t>
                                  </w:r>
                                </w:p>
                              </w:tc>
                            </w:tr>
                          </w:tbl>
                          <w:tbl>
                            <w:tblPr>
                              <w:tblW w:w="5000" w:type="pct"/>
                              <w:jc w:val="left"/>
                              <w:tblInd w:w="0" w:type="dxa"/>
                              <w:tblCellMar>
                                <w:top w:w="0" w:type="dxa"/>
                                <w:left w:w="0" w:type="dxa"/>
                                <w:bottom w:w="0" w:type="dxa"/>
                                <w:right w:w="0" w:type="dxa"/>
                              </w:tblCellMar>
                            </w:tblPr>
                            <w:tblGrid>
                              <w:gridCol w:w="684"/>
                              <w:gridCol w:w="382"/>
                              <w:gridCol w:w="81"/>
                              <w:gridCol w:w="3751"/>
                            </w:tblGrid>
                            <w:tr>
                              <w:trPr/>
                              <w:tc>
                                <w:tcPr>
                                  <w:tcW w:w="684" w:type="dxa"/>
                                  <w:tcBorders/>
                                  <w:shd w:fill="auto" w:val="clear"/>
                                  <w:vAlign w:val="center"/>
                                </w:tcPr>
                                <w:p>
                                  <w:pPr>
                                    <w:pStyle w:val="TableContents"/>
                                    <w:spacing w:before="0" w:after="283"/>
                                    <w:rPr/>
                                  </w:pPr>
                                  <w:r>
                                    <w:rPr/>
                                    <w:t> </w:t>
                                  </w:r>
                                </w:p>
                              </w:tc>
                              <w:tc>
                                <w:tcPr>
                                  <w:tcW w:w="3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1" w:type="dxa"/>
                                  <w:tcBorders/>
                                  <w:shd w:fill="auto" w:val="clear"/>
                                </w:tcPr>
                                <w:p>
                                  <w:pPr>
                                    <w:pStyle w:val="TableContents"/>
                                    <w:spacing w:before="0" w:after="283"/>
                                    <w:rPr/>
                                  </w:pPr>
                                  <w:r>
                                    <w:rPr/>
                                    <w:t> </w:t>
                                  </w:r>
                                </w:p>
                              </w:tc>
                              <w:tc>
                                <w:tcPr>
                                  <w:tcW w:w="375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Mexico Holdings, LLC </w:t>
                                  </w:r>
                                </w:p>
                              </w:tc>
                            </w:tr>
                          </w:tbl>
                          <w:tbl>
                            <w:tblPr>
                              <w:tblW w:w="5000" w:type="pct"/>
                              <w:jc w:val="left"/>
                              <w:tblInd w:w="0" w:type="dxa"/>
                              <w:tblCellMar>
                                <w:top w:w="0" w:type="dxa"/>
                                <w:left w:w="0" w:type="dxa"/>
                                <w:bottom w:w="0" w:type="dxa"/>
                                <w:right w:w="0" w:type="dxa"/>
                              </w:tblCellMar>
                            </w:tblPr>
                            <w:tblGrid>
                              <w:gridCol w:w="773"/>
                              <w:gridCol w:w="432"/>
                              <w:gridCol w:w="91"/>
                              <w:gridCol w:w="3602"/>
                            </w:tblGrid>
                            <w:tr>
                              <w:trPr/>
                              <w:tc>
                                <w:tcPr>
                                  <w:tcW w:w="773" w:type="dxa"/>
                                  <w:tcBorders/>
                                  <w:shd w:fill="auto" w:val="clear"/>
                                  <w:vAlign w:val="center"/>
                                </w:tcPr>
                                <w:p>
                                  <w:pPr>
                                    <w:pStyle w:val="TableContents"/>
                                    <w:spacing w:before="0" w:after="283"/>
                                    <w:rPr/>
                                  </w:pPr>
                                  <w:r>
                                    <w:rPr/>
                                    <w:t> </w:t>
                                  </w:r>
                                </w:p>
                              </w:tc>
                              <w:tc>
                                <w:tcPr>
                                  <w:tcW w:w="43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auto" w:val="clear"/>
                                </w:tcPr>
                                <w:p>
                                  <w:pPr>
                                    <w:pStyle w:val="TableContents"/>
                                    <w:spacing w:before="0" w:after="283"/>
                                    <w:rPr/>
                                  </w:pPr>
                                  <w:r>
                                    <w:rPr/>
                                    <w:t> </w:t>
                                  </w:r>
                                </w:p>
                              </w:tc>
                              <w:tc>
                                <w:tcPr>
                                  <w:tcW w:w="36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Mexico Ltd., LLC </w:t>
                                  </w:r>
                                </w:p>
                              </w:tc>
                            </w:tr>
                          </w:tbl>
                          <w:tbl>
                            <w:tblPr>
                              <w:tblW w:w="5000" w:type="pct"/>
                              <w:jc w:val="left"/>
                              <w:tblInd w:w="0" w:type="dxa"/>
                              <w:tblCellMar>
                                <w:top w:w="0" w:type="dxa"/>
                                <w:left w:w="0" w:type="dxa"/>
                                <w:bottom w:w="0" w:type="dxa"/>
                                <w:right w:w="0" w:type="dxa"/>
                              </w:tblCellMar>
                            </w:tblPr>
                            <w:tblGrid>
                              <w:gridCol w:w="903"/>
                              <w:gridCol w:w="505"/>
                              <w:gridCol w:w="106"/>
                              <w:gridCol w:w="3384"/>
                            </w:tblGrid>
                            <w:tr>
                              <w:trPr/>
                              <w:tc>
                                <w:tcPr>
                                  <w:tcW w:w="903" w:type="dxa"/>
                                  <w:tcBorders/>
                                  <w:shd w:fill="auto" w:val="clear"/>
                                  <w:vAlign w:val="center"/>
                                </w:tcPr>
                                <w:p>
                                  <w:pPr>
                                    <w:pStyle w:val="TableContents"/>
                                    <w:spacing w:before="0" w:after="283"/>
                                    <w:rPr/>
                                  </w:pPr>
                                  <w:r>
                                    <w:rPr/>
                                    <w:t> </w:t>
                                  </w:r>
                                </w:p>
                              </w:tc>
                              <w:tc>
                                <w:tcPr>
                                  <w:tcW w:w="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Pr>
                                <w:p>
                                  <w:pPr>
                                    <w:pStyle w:val="TableContents"/>
                                    <w:spacing w:before="0" w:after="283"/>
                                    <w:rPr/>
                                  </w:pPr>
                                  <w:r>
                                    <w:rPr/>
                                    <w:t> </w:t>
                                  </w:r>
                                </w:p>
                              </w:tc>
                              <w:tc>
                                <w:tcPr>
                                  <w:tcW w:w="33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Nevada, Inc. </w:t>
                                  </w:r>
                                </w:p>
                              </w:tc>
                            </w:tr>
                          </w:tbl>
                          <w:tbl>
                            <w:tblPr>
                              <w:tblW w:w="5000" w:type="pct"/>
                              <w:jc w:val="left"/>
                              <w:tblInd w:w="0" w:type="dxa"/>
                              <w:tblCellMar>
                                <w:top w:w="0" w:type="dxa"/>
                                <w:left w:w="0" w:type="dxa"/>
                                <w:bottom w:w="0" w:type="dxa"/>
                                <w:right w:w="0" w:type="dxa"/>
                              </w:tblCellMar>
                            </w:tblPr>
                            <w:tblGrid>
                              <w:gridCol w:w="835"/>
                              <w:gridCol w:w="467"/>
                              <w:gridCol w:w="98"/>
                              <w:gridCol w:w="3498"/>
                            </w:tblGrid>
                            <w:tr>
                              <w:trPr/>
                              <w:tc>
                                <w:tcPr>
                                  <w:tcW w:w="835" w:type="dxa"/>
                                  <w:tcBorders/>
                                  <w:shd w:fill="auto" w:val="clear"/>
                                  <w:vAlign w:val="center"/>
                                </w:tcPr>
                                <w:p>
                                  <w:pPr>
                                    <w:pStyle w:val="TableContents"/>
                                    <w:spacing w:before="0" w:after="283"/>
                                    <w:rPr/>
                                  </w:pPr>
                                  <w:r>
                                    <w:rPr/>
                                    <w:t> </w:t>
                                  </w:r>
                                </w:p>
                              </w:tc>
                              <w:tc>
                                <w:tcPr>
                                  <w:tcW w:w="46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auto" w:val="clear"/>
                                </w:tcPr>
                                <w:p>
                                  <w:pPr>
                                    <w:pStyle w:val="TableContents"/>
                                    <w:spacing w:before="0" w:after="283"/>
                                    <w:rPr/>
                                  </w:pPr>
                                  <w:r>
                                    <w:rPr/>
                                    <w:t> </w:t>
                                  </w:r>
                                </w:p>
                              </w:tc>
                              <w:tc>
                                <w:tcPr>
                                  <w:tcW w:w="34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Oklahoma, Inc. </w:t>
                                  </w:r>
                                </w:p>
                              </w:tc>
                            </w:tr>
                          </w:tbl>
                          <w:tbl>
                            <w:tblPr>
                              <w:tblW w:w="5000" w:type="pct"/>
                              <w:jc w:val="left"/>
                              <w:tblInd w:w="0" w:type="dxa"/>
                              <w:tblCellMar>
                                <w:top w:w="0" w:type="dxa"/>
                                <w:left w:w="0" w:type="dxa"/>
                                <w:bottom w:w="0" w:type="dxa"/>
                                <w:right w:w="0" w:type="dxa"/>
                              </w:tblCellMar>
                            </w:tblPr>
                            <w:tblGrid>
                              <w:gridCol w:w="835"/>
                              <w:gridCol w:w="467"/>
                              <w:gridCol w:w="98"/>
                              <w:gridCol w:w="3498"/>
                            </w:tblGrid>
                            <w:tr>
                              <w:trPr/>
                              <w:tc>
                                <w:tcPr>
                                  <w:tcW w:w="835" w:type="dxa"/>
                                  <w:tcBorders/>
                                  <w:shd w:fill="auto" w:val="clear"/>
                                  <w:vAlign w:val="center"/>
                                </w:tcPr>
                                <w:p>
                                  <w:pPr>
                                    <w:pStyle w:val="TableContents"/>
                                    <w:spacing w:before="0" w:after="283"/>
                                    <w:rPr/>
                                  </w:pPr>
                                  <w:r>
                                    <w:rPr/>
                                    <w:t> </w:t>
                                  </w:r>
                                </w:p>
                              </w:tc>
                              <w:tc>
                                <w:tcPr>
                                  <w:tcW w:w="46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auto" w:val="clear"/>
                                </w:tcPr>
                                <w:p>
                                  <w:pPr>
                                    <w:pStyle w:val="TableContents"/>
                                    <w:spacing w:before="0" w:after="283"/>
                                    <w:rPr/>
                                  </w:pPr>
                                  <w:r>
                                    <w:rPr/>
                                    <w:t> </w:t>
                                  </w:r>
                                </w:p>
                              </w:tc>
                              <w:tc>
                                <w:tcPr>
                                  <w:tcW w:w="34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Tennessee, Inc. </w:t>
                                  </w:r>
                                </w:p>
                              </w:tc>
                            </w:tr>
                          </w:tbl>
                          <w:tbl>
                            <w:tblPr>
                              <w:tblW w:w="5000" w:type="pct"/>
                              <w:jc w:val="left"/>
                              <w:tblInd w:w="0" w:type="dxa"/>
                              <w:tblCellMar>
                                <w:top w:w="0" w:type="dxa"/>
                                <w:left w:w="0" w:type="dxa"/>
                                <w:bottom w:w="0" w:type="dxa"/>
                                <w:right w:w="0" w:type="dxa"/>
                              </w:tblCellMar>
                            </w:tblPr>
                            <w:tblGrid>
                              <w:gridCol w:w="983"/>
                              <w:gridCol w:w="550"/>
                              <w:gridCol w:w="115"/>
                              <w:gridCol w:w="3250"/>
                            </w:tblGrid>
                            <w:tr>
                              <w:trPr/>
                              <w:tc>
                                <w:tcPr>
                                  <w:tcW w:w="983" w:type="dxa"/>
                                  <w:tcBorders/>
                                  <w:shd w:fill="auto" w:val="clear"/>
                                  <w:vAlign w:val="center"/>
                                </w:tcPr>
                                <w:p>
                                  <w:pPr>
                                    <w:pStyle w:val="TableContents"/>
                                    <w:spacing w:before="0" w:after="283"/>
                                    <w:rPr/>
                                  </w:pPr>
                                  <w:r>
                                    <w:rPr/>
                                    <w:t> </w:t>
                                  </w:r>
                                </w:p>
                              </w:tc>
                              <w:tc>
                                <w:tcPr>
                                  <w:tcW w:w="5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5" w:type="dxa"/>
                                  <w:tcBorders/>
                                  <w:shd w:fill="auto" w:val="clear"/>
                                </w:tcPr>
                                <w:p>
                                  <w:pPr>
                                    <w:pStyle w:val="TableContents"/>
                                    <w:spacing w:before="0" w:after="283"/>
                                    <w:rPr/>
                                  </w:pPr>
                                  <w:r>
                                    <w:rPr/>
                                    <w:t> </w:t>
                                  </w:r>
                                </w:p>
                              </w:tc>
                              <w:tc>
                                <w:tcPr>
                                  <w:tcW w:w="32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Utah, Inc. </w:t>
                                  </w:r>
                                </w:p>
                              </w:tc>
                            </w:tr>
                          </w:tbl>
                          <w:tbl>
                            <w:tblPr>
                              <w:tblW w:w="5000" w:type="pct"/>
                              <w:jc w:val="left"/>
                              <w:tblInd w:w="0" w:type="dxa"/>
                              <w:tblCellMar>
                                <w:top w:w="0" w:type="dxa"/>
                                <w:left w:w="0" w:type="dxa"/>
                                <w:bottom w:w="0" w:type="dxa"/>
                                <w:right w:w="0" w:type="dxa"/>
                              </w:tblCellMar>
                            </w:tblPr>
                            <w:tblGrid>
                              <w:gridCol w:w="831"/>
                              <w:gridCol w:w="464"/>
                              <w:gridCol w:w="98"/>
                              <w:gridCol w:w="3505"/>
                            </w:tblGrid>
                            <w:tr>
                              <w:trPr/>
                              <w:tc>
                                <w:tcPr>
                                  <w:tcW w:w="831" w:type="dxa"/>
                                  <w:tcBorders/>
                                  <w:shd w:fill="auto" w:val="clear"/>
                                  <w:vAlign w:val="center"/>
                                </w:tcPr>
                                <w:p>
                                  <w:pPr>
                                    <w:pStyle w:val="TableContents"/>
                                    <w:spacing w:before="0" w:after="283"/>
                                    <w:rPr/>
                                  </w:pPr>
                                  <w:r>
                                    <w:rPr/>
                                    <w:t> </w:t>
                                  </w:r>
                                </w:p>
                              </w:tc>
                              <w:tc>
                                <w:tcPr>
                                  <w:tcW w:w="46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auto" w:val="clear"/>
                                </w:tcPr>
                                <w:p>
                                  <w:pPr>
                                    <w:pStyle w:val="TableContents"/>
                                    <w:spacing w:before="0" w:after="283"/>
                                    <w:rPr/>
                                  </w:pPr>
                                  <w:r>
                                    <w:rPr/>
                                    <w:t> </w:t>
                                  </w:r>
                                </w:p>
                              </w:tc>
                              <w:tc>
                                <w:tcPr>
                                  <w:tcW w:w="3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Wisconsin, Inc. </w:t>
                                  </w:r>
                                </w:p>
                              </w:tc>
                            </w:tr>
                          </w:tbl>
                          <w:tbl>
                            <w:tblPr>
                              <w:tblW w:w="5000" w:type="pct"/>
                              <w:jc w:val="left"/>
                              <w:tblInd w:w="0" w:type="dxa"/>
                              <w:tblCellMar>
                                <w:top w:w="0" w:type="dxa"/>
                                <w:left w:w="0" w:type="dxa"/>
                                <w:bottom w:w="0" w:type="dxa"/>
                                <w:right w:w="0" w:type="dxa"/>
                              </w:tblCellMar>
                            </w:tblPr>
                            <w:tblGrid>
                              <w:gridCol w:w="766"/>
                              <w:gridCol w:w="428"/>
                              <w:gridCol w:w="90"/>
                              <w:gridCol w:w="3614"/>
                            </w:tblGrid>
                            <w:tr>
                              <w:trPr/>
                              <w:tc>
                                <w:tcPr>
                                  <w:tcW w:w="766" w:type="dxa"/>
                                  <w:tcBorders/>
                                  <w:shd w:fill="auto" w:val="clear"/>
                                  <w:vAlign w:val="center"/>
                                </w:tcPr>
                                <w:p>
                                  <w:pPr>
                                    <w:pStyle w:val="TableContents"/>
                                    <w:spacing w:before="0" w:after="283"/>
                                    <w:rPr/>
                                  </w:pPr>
                                  <w:r>
                                    <w:rPr/>
                                    <w:t> </w:t>
                                  </w:r>
                                </w:p>
                              </w:tc>
                              <w:tc>
                                <w:tcPr>
                                  <w:tcW w:w="42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Pr>
                                <w:p>
                                  <w:pPr>
                                    <w:pStyle w:val="TableContents"/>
                                    <w:spacing w:before="0" w:after="283"/>
                                    <w:rPr/>
                                  </w:pPr>
                                  <w:r>
                                    <w:rPr/>
                                    <w:t> </w:t>
                                  </w:r>
                                </w:p>
                              </w:tc>
                              <w:tc>
                                <w:tcPr>
                                  <w:tcW w:w="361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Mister Money Holdings, Inc. </w:t>
                                  </w:r>
                                </w:p>
                              </w:tc>
                            </w:tr>
                          </w:tbl>
                          <w:tbl>
                            <w:tblPr>
                              <w:tblW w:w="5000" w:type="pct"/>
                              <w:jc w:val="left"/>
                              <w:tblInd w:w="0" w:type="dxa"/>
                              <w:tblCellMar>
                                <w:top w:w="0" w:type="dxa"/>
                                <w:left w:w="0" w:type="dxa"/>
                                <w:bottom w:w="0" w:type="dxa"/>
                                <w:right w:w="0" w:type="dxa"/>
                              </w:tblCellMar>
                            </w:tblPr>
                            <w:tblGrid>
                              <w:gridCol w:w="874"/>
                              <w:gridCol w:w="489"/>
                              <w:gridCol w:w="103"/>
                              <w:gridCol w:w="3432"/>
                            </w:tblGrid>
                            <w:tr>
                              <w:trPr/>
                              <w:tc>
                                <w:tcPr>
                                  <w:tcW w:w="874" w:type="dxa"/>
                                  <w:tcBorders/>
                                  <w:shd w:fill="auto" w:val="clear"/>
                                  <w:vAlign w:val="center"/>
                                </w:tcPr>
                                <w:p>
                                  <w:pPr>
                                    <w:pStyle w:val="TableContents"/>
                                    <w:spacing w:before="0" w:after="283"/>
                                    <w:rPr/>
                                  </w:pPr>
                                  <w:r>
                                    <w:rPr/>
                                    <w:t> </w:t>
                                  </w:r>
                                </w:p>
                              </w:tc>
                              <w:tc>
                                <w:tcPr>
                                  <w:tcW w:w="4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Pr>
                                <w:p>
                                  <w:pPr>
                                    <w:pStyle w:val="TableContents"/>
                                    <w:spacing w:before="0" w:after="283"/>
                                    <w:rPr/>
                                  </w:pPr>
                                  <w:r>
                                    <w:rPr/>
                                    <w:t> </w:t>
                                  </w:r>
                                </w:p>
                              </w:tc>
                              <w:tc>
                                <w:tcPr>
                                  <w:tcW w:w="343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Pawn Management, Inc. </w:t>
                                  </w:r>
                                </w:p>
                              </w:tc>
                            </w:tr>
                          </w:tbl>
                          <w:tbl>
                            <w:tblPr>
                              <w:tblW w:w="5000" w:type="pct"/>
                              <w:jc w:val="left"/>
                              <w:tblInd w:w="0" w:type="dxa"/>
                              <w:tblCellMar>
                                <w:top w:w="0" w:type="dxa"/>
                                <w:left w:w="0" w:type="dxa"/>
                                <w:bottom w:w="0" w:type="dxa"/>
                                <w:right w:w="0" w:type="dxa"/>
                              </w:tblCellMar>
                            </w:tblPr>
                            <w:tblGrid>
                              <w:gridCol w:w="716"/>
                              <w:gridCol w:w="401"/>
                              <w:gridCol w:w="84"/>
                              <w:gridCol w:w="3697"/>
                            </w:tblGrid>
                            <w:tr>
                              <w:trPr/>
                              <w:tc>
                                <w:tcPr>
                                  <w:tcW w:w="716" w:type="dxa"/>
                                  <w:tcBorders/>
                                  <w:shd w:fill="auto" w:val="clear"/>
                                  <w:vAlign w:val="center"/>
                                </w:tcPr>
                                <w:p>
                                  <w:pPr>
                                    <w:pStyle w:val="TableContents"/>
                                    <w:spacing w:before="0" w:after="283"/>
                                    <w:rPr/>
                                  </w:pPr>
                                  <w:r>
                                    <w:rPr/>
                                    <w:t> </w:t>
                                  </w:r>
                                </w:p>
                              </w:tc>
                              <w:tc>
                                <w:tcPr>
                                  <w:tcW w:w="4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4" w:type="dxa"/>
                                  <w:tcBorders/>
                                  <w:shd w:fill="auto" w:val="clear"/>
                                </w:tcPr>
                                <w:p>
                                  <w:pPr>
                                    <w:pStyle w:val="TableContents"/>
                                    <w:spacing w:before="0" w:after="283"/>
                                    <w:rPr/>
                                  </w:pPr>
                                  <w:r>
                                    <w:rPr/>
                                    <w:t> </w:t>
                                  </w:r>
                                </w:p>
                              </w:tc>
                              <w:tc>
                                <w:tcPr>
                                  <w:tcW w:w="3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Payday Loan Management, Inc. </w:t>
                                  </w:r>
                                </w:p>
                              </w:tc>
                            </w:tr>
                          </w:tbl>
                          <w:tbl>
                            <w:tblPr>
                              <w:tblW w:w="5000" w:type="pct"/>
                              <w:jc w:val="left"/>
                              <w:tblInd w:w="0" w:type="dxa"/>
                              <w:tblCellMar>
                                <w:top w:w="0" w:type="dxa"/>
                                <w:left w:w="0" w:type="dxa"/>
                                <w:bottom w:w="0" w:type="dxa"/>
                                <w:right w:w="0" w:type="dxa"/>
                              </w:tblCellMar>
                            </w:tblPr>
                            <w:tblGrid>
                              <w:gridCol w:w="893"/>
                              <w:gridCol w:w="500"/>
                              <w:gridCol w:w="105"/>
                              <w:gridCol w:w="3400"/>
                            </w:tblGrid>
                            <w:tr>
                              <w:trPr/>
                              <w:tc>
                                <w:tcPr>
                                  <w:tcW w:w="893" w:type="dxa"/>
                                  <w:tcBorders/>
                                  <w:shd w:fill="auto" w:val="clear"/>
                                  <w:vAlign w:val="center"/>
                                </w:tcPr>
                                <w:p>
                                  <w:pPr>
                                    <w:pStyle w:val="TableContents"/>
                                    <w:spacing w:before="0" w:after="283"/>
                                    <w:rPr/>
                                  </w:pPr>
                                  <w:r>
                                    <w:rPr/>
                                    <w:t> </w:t>
                                  </w:r>
                                </w:p>
                              </w:tc>
                              <w:tc>
                                <w:tcPr>
                                  <w:tcW w:w="5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Pr>
                                <w:p>
                                  <w:pPr>
                                    <w:pStyle w:val="TableContents"/>
                                    <w:spacing w:before="0" w:after="283"/>
                                    <w:rPr/>
                                  </w:pPr>
                                  <w:r>
                                    <w:rPr/>
                                    <w:t> </w:t>
                                  </w:r>
                                </w:p>
                              </w:tc>
                              <w:tc>
                                <w:tcPr>
                                  <w:tcW w:w="34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Texas EZMONEY, L.P. </w:t>
                                  </w:r>
                                </w:p>
                              </w:tc>
                            </w:tr>
                          </w:tbl>
                          <w:tbl>
                            <w:tblPr>
                              <w:tblW w:w="5000" w:type="pct"/>
                              <w:jc w:val="left"/>
                              <w:tblInd w:w="0" w:type="dxa"/>
                              <w:tblCellMar>
                                <w:top w:w="0" w:type="dxa"/>
                                <w:left w:w="0" w:type="dxa"/>
                                <w:bottom w:w="0" w:type="dxa"/>
                                <w:right w:w="0" w:type="dxa"/>
                              </w:tblCellMar>
                            </w:tblPr>
                            <w:tblGrid>
                              <w:gridCol w:w="667"/>
                              <w:gridCol w:w="374"/>
                              <w:gridCol w:w="78"/>
                              <w:gridCol w:w="3779"/>
                            </w:tblGrid>
                            <w:tr>
                              <w:trPr/>
                              <w:tc>
                                <w:tcPr>
                                  <w:tcW w:w="667" w:type="dxa"/>
                                  <w:tcBorders/>
                                  <w:shd w:fill="auto" w:val="clear"/>
                                  <w:vAlign w:val="center"/>
                                </w:tcPr>
                                <w:p>
                                  <w:pPr>
                                    <w:pStyle w:val="TableContents"/>
                                    <w:spacing w:before="0" w:after="283"/>
                                    <w:rPr/>
                                  </w:pPr>
                                  <w:r>
                                    <w:rPr/>
                                    <w:t> </w:t>
                                  </w:r>
                                </w:p>
                              </w:tc>
                              <w:tc>
                                <w:tcPr>
                                  <w:tcW w:w="3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Pr>
                                <w:p>
                                  <w:pPr>
                                    <w:pStyle w:val="TableContents"/>
                                    <w:spacing w:before="0" w:after="283"/>
                                    <w:rPr/>
                                  </w:pPr>
                                  <w:r>
                                    <w:rPr/>
                                    <w:t> </w:t>
                                  </w:r>
                                </w:p>
                              </w:tc>
                              <w:tc>
                                <w:tcPr>
                                  <w:tcW w:w="37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Texas EZPAWN Management, Inc. </w:t>
                                  </w:r>
                                </w:p>
                              </w:tc>
                            </w:tr>
                          </w:tbl>
                          <w:tbl>
                            <w:tblPr>
                              <w:tblW w:w="5000" w:type="pct"/>
                              <w:jc w:val="left"/>
                              <w:tblInd w:w="0" w:type="dxa"/>
                              <w:tblCellMar>
                                <w:top w:w="0" w:type="dxa"/>
                                <w:left w:w="0" w:type="dxa"/>
                                <w:bottom w:w="0" w:type="dxa"/>
                                <w:right w:w="0" w:type="dxa"/>
                              </w:tblCellMar>
                            </w:tblPr>
                            <w:tblGrid>
                              <w:gridCol w:w="944"/>
                              <w:gridCol w:w="528"/>
                              <w:gridCol w:w="111"/>
                              <w:gridCol w:w="3315"/>
                            </w:tblGrid>
                            <w:tr>
                              <w:trPr/>
                              <w:tc>
                                <w:tcPr>
                                  <w:tcW w:w="944" w:type="dxa"/>
                                  <w:tcBorders/>
                                  <w:shd w:fill="auto" w:val="clear"/>
                                  <w:vAlign w:val="center"/>
                                </w:tcPr>
                                <w:p>
                                  <w:pPr>
                                    <w:pStyle w:val="TableContents"/>
                                    <w:spacing w:before="0" w:after="283"/>
                                    <w:rPr/>
                                  </w:pPr>
                                  <w:r>
                                    <w:rPr/>
                                    <w:t> </w:t>
                                  </w:r>
                                </w:p>
                              </w:tc>
                              <w:tc>
                                <w:tcPr>
                                  <w:tcW w:w="52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auto" w:val="clear"/>
                                </w:tcPr>
                                <w:p>
                                  <w:pPr>
                                    <w:pStyle w:val="TableContents"/>
                                    <w:spacing w:before="0" w:after="283"/>
                                    <w:rPr/>
                                  </w:pPr>
                                  <w:r>
                                    <w:rPr/>
                                    <w:t> </w:t>
                                  </w:r>
                                </w:p>
                              </w:tc>
                              <w:tc>
                                <w:tcPr>
                                  <w:tcW w:w="331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Texas EZPAWN, L.P. </w:t>
                                  </w:r>
                                </w:p>
                              </w:tc>
                            </w:tr>
                          </w:tbl>
                          <w:tbl>
                            <w:tblPr>
                              <w:tblW w:w="5000" w:type="pct"/>
                              <w:jc w:val="left"/>
                              <w:tblInd w:w="0" w:type="dxa"/>
                              <w:tblCellMar>
                                <w:top w:w="0" w:type="dxa"/>
                                <w:left w:w="0" w:type="dxa"/>
                                <w:bottom w:w="0" w:type="dxa"/>
                                <w:right w:w="0" w:type="dxa"/>
                              </w:tblCellMar>
                            </w:tblPr>
                            <w:tblGrid>
                              <w:gridCol w:w="748"/>
                              <w:gridCol w:w="419"/>
                              <w:gridCol w:w="88"/>
                              <w:gridCol w:w="3643"/>
                            </w:tblGrid>
                            <w:tr>
                              <w:trPr/>
                              <w:tc>
                                <w:tcPr>
                                  <w:tcW w:w="748" w:type="dxa"/>
                                  <w:tcBorders/>
                                  <w:shd w:fill="auto" w:val="clear"/>
                                  <w:vAlign w:val="center"/>
                                </w:tcPr>
                                <w:p>
                                  <w:pPr>
                                    <w:pStyle w:val="TableContents"/>
                                    <w:spacing w:before="0" w:after="283"/>
                                    <w:rPr/>
                                  </w:pPr>
                                  <w:r>
                                    <w:rPr/>
                                    <w:t> </w:t>
                                  </w:r>
                                </w:p>
                              </w:tc>
                              <w:tc>
                                <w:tcPr>
                                  <w:tcW w:w="4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tcPr>
                                <w:p>
                                  <w:pPr>
                                    <w:pStyle w:val="TableContents"/>
                                    <w:spacing w:before="0" w:after="283"/>
                                    <w:rPr/>
                                  </w:pPr>
                                  <w:r>
                                    <w:rPr/>
                                    <w:t> </w:t>
                                  </w:r>
                                </w:p>
                              </w:tc>
                              <w:tc>
                                <w:tcPr>
                                  <w:tcW w:w="36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Texas PRA Management, L.P. </w:t>
                                  </w:r>
                                </w:p>
                              </w:tc>
                            </w:tr>
                          </w:tbl>
                          <w:tbl>
                            <w:tblPr>
                              <w:tblW w:w="5000" w:type="pct"/>
                              <w:jc w:val="left"/>
                              <w:tblInd w:w="0" w:type="dxa"/>
                              <w:tblCellMar>
                                <w:top w:w="0" w:type="dxa"/>
                                <w:left w:w="0" w:type="dxa"/>
                                <w:bottom w:w="0" w:type="dxa"/>
                                <w:right w:w="0" w:type="dxa"/>
                              </w:tblCellMar>
                            </w:tblPr>
                            <w:tblGrid>
                              <w:gridCol w:w="752"/>
                              <w:gridCol w:w="420"/>
                              <w:gridCol w:w="89"/>
                              <w:gridCol w:w="3637"/>
                            </w:tblGrid>
                            <w:tr>
                              <w:trPr/>
                              <w:tc>
                                <w:tcPr>
                                  <w:tcW w:w="752"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auto" w:val="clear"/>
                                </w:tcPr>
                                <w:p>
                                  <w:pPr>
                                    <w:pStyle w:val="TableContents"/>
                                    <w:spacing w:before="0" w:after="283"/>
                                    <w:rPr/>
                                  </w:pPr>
                                  <w:r>
                                    <w:rPr/>
                                    <w:t> </w:t>
                                  </w:r>
                                </w:p>
                              </w:tc>
                              <w:tc>
                                <w:tcPr>
                                  <w:tcW w:w="363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Value Financial Services, Inc. </w:t>
                                  </w:r>
                                </w:p>
                              </w:tc>
                            </w:tr>
                          </w:tbl>
                          <w:tbl>
                            <w:tblPr>
                              <w:tblW w:w="5000" w:type="pct"/>
                              <w:jc w:val="left"/>
                              <w:tblInd w:w="0" w:type="dxa"/>
                              <w:tblCellMar>
                                <w:top w:w="0" w:type="dxa"/>
                                <w:left w:w="0" w:type="dxa"/>
                                <w:bottom w:w="0" w:type="dxa"/>
                                <w:right w:w="0" w:type="dxa"/>
                              </w:tblCellMar>
                            </w:tblPr>
                            <w:tblGrid>
                              <w:gridCol w:w="748"/>
                              <w:gridCol w:w="419"/>
                              <w:gridCol w:w="88"/>
                              <w:gridCol w:w="3643"/>
                            </w:tblGrid>
                            <w:tr>
                              <w:trPr/>
                              <w:tc>
                                <w:tcPr>
                                  <w:tcW w:w="748" w:type="dxa"/>
                                  <w:tcBorders/>
                                  <w:shd w:fill="auto" w:val="clear"/>
                                  <w:vAlign w:val="center"/>
                                </w:tcPr>
                                <w:p>
                                  <w:pPr>
                                    <w:pStyle w:val="TableContents"/>
                                    <w:spacing w:before="0" w:after="283"/>
                                    <w:rPr/>
                                  </w:pPr>
                                  <w:r>
                                    <w:rPr/>
                                    <w:t> </w:t>
                                  </w:r>
                                </w:p>
                              </w:tc>
                              <w:tc>
                                <w:tcPr>
                                  <w:tcW w:w="4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tcPr>
                                <w:p>
                                  <w:pPr>
                                    <w:pStyle w:val="TableContents"/>
                                    <w:spacing w:before="0" w:after="283"/>
                                    <w:rPr/>
                                  </w:pPr>
                                  <w:r>
                                    <w:rPr/>
                                    <w:t> </w:t>
                                  </w:r>
                                </w:p>
                              </w:tc>
                              <w:tc>
                                <w:tcPr>
                                  <w:tcW w:w="36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VFS Mexico Operations, LLC </w:t>
                                  </w:r>
                                </w:p>
                              </w:tc>
                            </w:tr>
                          </w:tbl>
                          <w:tbl>
                            <w:tblPr>
                              <w:tblW w:w="5000" w:type="pct"/>
                              <w:jc w:val="left"/>
                              <w:tblInd w:w="0" w:type="dxa"/>
                              <w:tblCellMar>
                                <w:top w:w="0" w:type="dxa"/>
                                <w:left w:w="0" w:type="dxa"/>
                                <w:bottom w:w="0" w:type="dxa"/>
                                <w:right w:w="0" w:type="dxa"/>
                              </w:tblCellMar>
                            </w:tblPr>
                            <w:tblGrid>
                              <w:gridCol w:w="799"/>
                              <w:gridCol w:w="447"/>
                              <w:gridCol w:w="94"/>
                              <w:gridCol w:w="3558"/>
                            </w:tblGrid>
                            <w:tr>
                              <w:trPr/>
                              <w:tc>
                                <w:tcPr>
                                  <w:tcW w:w="799" w:type="dxa"/>
                                  <w:tcBorders/>
                                  <w:shd w:fill="auto" w:val="clear"/>
                                  <w:vAlign w:val="center"/>
                                </w:tcPr>
                                <w:p>
                                  <w:pPr>
                                    <w:pStyle w:val="TableContents"/>
                                    <w:spacing w:before="0" w:after="283"/>
                                    <w:rPr/>
                                  </w:pPr>
                                  <w:r>
                                    <w:rPr/>
                                    <w:t> </w:t>
                                  </w:r>
                                </w:p>
                              </w:tc>
                              <w:tc>
                                <w:tcPr>
                                  <w:tcW w:w="44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Pr>
                                <w:p>
                                  <w:pPr>
                                    <w:pStyle w:val="TableContents"/>
                                    <w:spacing w:before="0" w:after="283"/>
                                    <w:rPr/>
                                  </w:pPr>
                                  <w:r>
                                    <w:rPr/>
                                    <w:t> </w:t>
                                  </w:r>
                                </w:p>
                              </w:tc>
                              <w:tc>
                                <w:tcPr>
                                  <w:tcW w:w="355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VFS Mexico Services, LLC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12.55pt;mso-wrap-distance-left:0pt;mso-wrap-distance-right:0pt;mso-wrap-distance-top:0pt;mso-wrap-distance-bottom:0pt;margin-top:0pt;mso-position-vertical:top;mso-position-vertical-relative:text;margin-left:265.35pt;mso-position-horizontal:right;mso-position-horizontal-relative:text">
                <v:textbox inset="0in,0in,0in,0in">
                  <w:txbxContent>
                    <w:tbl>
                      <w:tblPr>
                        <w:tblW w:w="5000" w:type="pct"/>
                        <w:jc w:val="left"/>
                        <w:tblInd w:w="0" w:type="dxa"/>
                        <w:tblCellMar>
                          <w:top w:w="0" w:type="dxa"/>
                          <w:left w:w="0" w:type="dxa"/>
                          <w:bottom w:w="0" w:type="dxa"/>
                          <w:right w:w="0" w:type="dxa"/>
                        </w:tblCellMar>
                      </w:tblPr>
                      <w:tblGrid>
                        <w:gridCol w:w="856"/>
                        <w:gridCol w:w="479"/>
                        <w:gridCol w:w="101"/>
                        <w:gridCol w:w="3462"/>
                      </w:tblGrid>
                      <w:tr>
                        <w:trPr/>
                        <w:tc>
                          <w:tcPr>
                            <w:tcW w:w="856" w:type="dxa"/>
                            <w:tcBorders/>
                            <w:shd w:fill="auto" w:val="clear"/>
                            <w:vAlign w:val="center"/>
                          </w:tcPr>
                          <w:p>
                            <w:pPr>
                              <w:pStyle w:val="TableContents"/>
                              <w:spacing w:before="0" w:after="283"/>
                              <w:rPr/>
                            </w:pPr>
                            <w:r>
                              <w:rPr/>
                              <w:t> </w:t>
                            </w:r>
                          </w:p>
                        </w:tc>
                        <w:tc>
                          <w:tcPr>
                            <w:tcW w:w="4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346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Colorado, Inc. </w:t>
                            </w:r>
                          </w:p>
                        </w:tc>
                      </w:tr>
                    </w:tbl>
                    <w:tbl>
                      <w:tblPr>
                        <w:tblW w:w="5000" w:type="pct"/>
                        <w:jc w:val="left"/>
                        <w:tblInd w:w="0" w:type="dxa"/>
                        <w:tblCellMar>
                          <w:top w:w="0" w:type="dxa"/>
                          <w:left w:w="0" w:type="dxa"/>
                          <w:bottom w:w="0" w:type="dxa"/>
                          <w:right w:w="0" w:type="dxa"/>
                        </w:tblCellMar>
                      </w:tblPr>
                      <w:tblGrid>
                        <w:gridCol w:w="913"/>
                        <w:gridCol w:w="510"/>
                        <w:gridCol w:w="108"/>
                        <w:gridCol w:w="3367"/>
                      </w:tblGrid>
                      <w:tr>
                        <w:trPr/>
                        <w:tc>
                          <w:tcPr>
                            <w:tcW w:w="91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auto" w:val="clear"/>
                          </w:tcPr>
                          <w:p>
                            <w:pPr>
                              <w:pStyle w:val="TableContents"/>
                              <w:spacing w:before="0" w:after="283"/>
                              <w:rPr/>
                            </w:pPr>
                            <w:r>
                              <w:rPr/>
                              <w:t> </w:t>
                            </w:r>
                          </w:p>
                        </w:tc>
                        <w:tc>
                          <w:tcPr>
                            <w:tcW w:w="336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Florida, Inc. </w:t>
                            </w:r>
                          </w:p>
                        </w:tc>
                      </w:tr>
                    </w:tbl>
                    <w:tbl>
                      <w:tblPr>
                        <w:tblW w:w="5000" w:type="pct"/>
                        <w:jc w:val="left"/>
                        <w:tblInd w:w="0" w:type="dxa"/>
                        <w:tblCellMar>
                          <w:top w:w="0" w:type="dxa"/>
                          <w:left w:w="0" w:type="dxa"/>
                          <w:bottom w:w="0" w:type="dxa"/>
                          <w:right w:w="0" w:type="dxa"/>
                        </w:tblCellMar>
                      </w:tblPr>
                      <w:tblGrid>
                        <w:gridCol w:w="893"/>
                        <w:gridCol w:w="500"/>
                        <w:gridCol w:w="105"/>
                        <w:gridCol w:w="3400"/>
                      </w:tblGrid>
                      <w:tr>
                        <w:trPr/>
                        <w:tc>
                          <w:tcPr>
                            <w:tcW w:w="893" w:type="dxa"/>
                            <w:tcBorders/>
                            <w:shd w:fill="auto" w:val="clear"/>
                            <w:vAlign w:val="center"/>
                          </w:tcPr>
                          <w:p>
                            <w:pPr>
                              <w:pStyle w:val="TableContents"/>
                              <w:spacing w:before="0" w:after="283"/>
                              <w:rPr/>
                            </w:pPr>
                            <w:r>
                              <w:rPr/>
                              <w:t> </w:t>
                            </w:r>
                          </w:p>
                        </w:tc>
                        <w:tc>
                          <w:tcPr>
                            <w:tcW w:w="5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Pr>
                          <w:p>
                            <w:pPr>
                              <w:pStyle w:val="TableContents"/>
                              <w:spacing w:before="0" w:after="283"/>
                              <w:rPr/>
                            </w:pPr>
                            <w:r>
                              <w:rPr/>
                              <w:t> </w:t>
                            </w:r>
                          </w:p>
                        </w:tc>
                        <w:tc>
                          <w:tcPr>
                            <w:tcW w:w="34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Georgia, Inc. </w:t>
                            </w:r>
                          </w:p>
                        </w:tc>
                      </w:tr>
                    </w:tbl>
                    <w:tbl>
                      <w:tblPr>
                        <w:tblW w:w="5000" w:type="pct"/>
                        <w:jc w:val="left"/>
                        <w:tblInd w:w="0" w:type="dxa"/>
                        <w:tblCellMar>
                          <w:top w:w="0" w:type="dxa"/>
                          <w:left w:w="0" w:type="dxa"/>
                          <w:bottom w:w="0" w:type="dxa"/>
                          <w:right w:w="0" w:type="dxa"/>
                        </w:tblCellMar>
                      </w:tblPr>
                      <w:tblGrid>
                        <w:gridCol w:w="861"/>
                        <w:gridCol w:w="481"/>
                        <w:gridCol w:w="101"/>
                        <w:gridCol w:w="3455"/>
                      </w:tblGrid>
                      <w:tr>
                        <w:trPr/>
                        <w:tc>
                          <w:tcPr>
                            <w:tcW w:w="861" w:type="dxa"/>
                            <w:tcBorders/>
                            <w:shd w:fill="auto" w:val="clear"/>
                            <w:vAlign w:val="center"/>
                          </w:tcPr>
                          <w:p>
                            <w:pPr>
                              <w:pStyle w:val="TableContents"/>
                              <w:spacing w:before="0" w:after="283"/>
                              <w:rPr/>
                            </w:pPr>
                            <w:r>
                              <w:rPr/>
                              <w:t> </w:t>
                            </w:r>
                          </w:p>
                        </w:tc>
                        <w:tc>
                          <w:tcPr>
                            <w:tcW w:w="4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34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Holdings, Inc. </w:t>
                            </w:r>
                          </w:p>
                        </w:tc>
                      </w:tr>
                    </w:tbl>
                    <w:tbl>
                      <w:tblPr>
                        <w:tblW w:w="5000" w:type="pct"/>
                        <w:jc w:val="left"/>
                        <w:tblInd w:w="0" w:type="dxa"/>
                        <w:tblCellMar>
                          <w:top w:w="0" w:type="dxa"/>
                          <w:left w:w="0" w:type="dxa"/>
                          <w:bottom w:w="0" w:type="dxa"/>
                          <w:right w:w="0" w:type="dxa"/>
                        </w:tblCellMar>
                      </w:tblPr>
                      <w:tblGrid>
                        <w:gridCol w:w="913"/>
                        <w:gridCol w:w="510"/>
                        <w:gridCol w:w="108"/>
                        <w:gridCol w:w="3367"/>
                      </w:tblGrid>
                      <w:tr>
                        <w:trPr/>
                        <w:tc>
                          <w:tcPr>
                            <w:tcW w:w="91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auto" w:val="clear"/>
                          </w:tcPr>
                          <w:p>
                            <w:pPr>
                              <w:pStyle w:val="TableContents"/>
                              <w:spacing w:before="0" w:after="283"/>
                              <w:rPr/>
                            </w:pPr>
                            <w:r>
                              <w:rPr/>
                              <w:t> </w:t>
                            </w:r>
                          </w:p>
                        </w:tc>
                        <w:tc>
                          <w:tcPr>
                            <w:tcW w:w="336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Illinois, Inc. </w:t>
                            </w:r>
                          </w:p>
                        </w:tc>
                      </w:tr>
                    </w:tbl>
                    <w:tbl>
                      <w:tblPr>
                        <w:tblW w:w="5000" w:type="pct"/>
                        <w:jc w:val="left"/>
                        <w:tblInd w:w="0" w:type="dxa"/>
                        <w:tblCellMar>
                          <w:top w:w="0" w:type="dxa"/>
                          <w:left w:w="0" w:type="dxa"/>
                          <w:bottom w:w="0" w:type="dxa"/>
                          <w:right w:w="0" w:type="dxa"/>
                        </w:tblCellMar>
                      </w:tblPr>
                      <w:tblGrid>
                        <w:gridCol w:w="903"/>
                        <w:gridCol w:w="505"/>
                        <w:gridCol w:w="106"/>
                        <w:gridCol w:w="3384"/>
                      </w:tblGrid>
                      <w:tr>
                        <w:trPr/>
                        <w:tc>
                          <w:tcPr>
                            <w:tcW w:w="903" w:type="dxa"/>
                            <w:tcBorders/>
                            <w:shd w:fill="auto" w:val="clear"/>
                            <w:vAlign w:val="center"/>
                          </w:tcPr>
                          <w:p>
                            <w:pPr>
                              <w:pStyle w:val="TableContents"/>
                              <w:spacing w:before="0" w:after="283"/>
                              <w:rPr/>
                            </w:pPr>
                            <w:r>
                              <w:rPr/>
                              <w:t> </w:t>
                            </w:r>
                          </w:p>
                        </w:tc>
                        <w:tc>
                          <w:tcPr>
                            <w:tcW w:w="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Pr>
                          <w:p>
                            <w:pPr>
                              <w:pStyle w:val="TableContents"/>
                              <w:spacing w:before="0" w:after="283"/>
                              <w:rPr/>
                            </w:pPr>
                            <w:r>
                              <w:rPr/>
                              <w:t> </w:t>
                            </w:r>
                          </w:p>
                        </w:tc>
                        <w:tc>
                          <w:tcPr>
                            <w:tcW w:w="33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Indiana, Inc. </w:t>
                            </w:r>
                          </w:p>
                        </w:tc>
                      </w:tr>
                    </w:tbl>
                    <w:tbl>
                      <w:tblPr>
                        <w:tblW w:w="5000" w:type="pct"/>
                        <w:jc w:val="left"/>
                        <w:tblInd w:w="0" w:type="dxa"/>
                        <w:tblCellMar>
                          <w:top w:w="0" w:type="dxa"/>
                          <w:left w:w="0" w:type="dxa"/>
                          <w:bottom w:w="0" w:type="dxa"/>
                          <w:right w:w="0" w:type="dxa"/>
                        </w:tblCellMar>
                      </w:tblPr>
                      <w:tblGrid>
                        <w:gridCol w:w="983"/>
                        <w:gridCol w:w="550"/>
                        <w:gridCol w:w="115"/>
                        <w:gridCol w:w="3250"/>
                      </w:tblGrid>
                      <w:tr>
                        <w:trPr/>
                        <w:tc>
                          <w:tcPr>
                            <w:tcW w:w="983" w:type="dxa"/>
                            <w:tcBorders/>
                            <w:shd w:fill="auto" w:val="clear"/>
                            <w:vAlign w:val="center"/>
                          </w:tcPr>
                          <w:p>
                            <w:pPr>
                              <w:pStyle w:val="TableContents"/>
                              <w:spacing w:before="0" w:after="283"/>
                              <w:rPr/>
                            </w:pPr>
                            <w:r>
                              <w:rPr/>
                              <w:t> </w:t>
                            </w:r>
                          </w:p>
                        </w:tc>
                        <w:tc>
                          <w:tcPr>
                            <w:tcW w:w="5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5" w:type="dxa"/>
                            <w:tcBorders/>
                            <w:shd w:fill="auto" w:val="clear"/>
                          </w:tcPr>
                          <w:p>
                            <w:pPr>
                              <w:pStyle w:val="TableContents"/>
                              <w:spacing w:before="0" w:after="283"/>
                              <w:rPr/>
                            </w:pPr>
                            <w:r>
                              <w:rPr/>
                              <w:t> </w:t>
                            </w:r>
                          </w:p>
                        </w:tc>
                        <w:tc>
                          <w:tcPr>
                            <w:tcW w:w="32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Iowa, Inc. </w:t>
                            </w:r>
                          </w:p>
                        </w:tc>
                      </w:tr>
                    </w:tbl>
                    <w:tbl>
                      <w:tblPr>
                        <w:tblW w:w="5000" w:type="pct"/>
                        <w:jc w:val="left"/>
                        <w:tblInd w:w="0" w:type="dxa"/>
                        <w:tblCellMar>
                          <w:top w:w="0" w:type="dxa"/>
                          <w:left w:w="0" w:type="dxa"/>
                          <w:bottom w:w="0" w:type="dxa"/>
                          <w:right w:w="0" w:type="dxa"/>
                        </w:tblCellMar>
                      </w:tblPr>
                      <w:tblGrid>
                        <w:gridCol w:w="843"/>
                        <w:gridCol w:w="472"/>
                        <w:gridCol w:w="99"/>
                        <w:gridCol w:w="3484"/>
                      </w:tblGrid>
                      <w:tr>
                        <w:trPr/>
                        <w:tc>
                          <w:tcPr>
                            <w:tcW w:w="843" w:type="dxa"/>
                            <w:tcBorders/>
                            <w:shd w:fill="auto" w:val="clear"/>
                            <w:vAlign w:val="center"/>
                          </w:tcPr>
                          <w:p>
                            <w:pPr>
                              <w:pStyle w:val="TableContents"/>
                              <w:spacing w:before="0" w:after="283"/>
                              <w:rPr/>
                            </w:pPr>
                            <w:r>
                              <w:rPr/>
                              <w:t> </w:t>
                            </w:r>
                          </w:p>
                        </w:tc>
                        <w:tc>
                          <w:tcPr>
                            <w:tcW w:w="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auto" w:val="clear"/>
                          </w:tcPr>
                          <w:p>
                            <w:pPr>
                              <w:pStyle w:val="TableContents"/>
                              <w:spacing w:before="0" w:after="283"/>
                              <w:rPr/>
                            </w:pPr>
                            <w:r>
                              <w:rPr/>
                              <w:t> </w:t>
                            </w:r>
                          </w:p>
                        </w:tc>
                        <w:tc>
                          <w:tcPr>
                            <w:tcW w:w="34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Louisiana, Inc. </w:t>
                            </w:r>
                          </w:p>
                        </w:tc>
                      </w:tr>
                    </w:tbl>
                    <w:tbl>
                      <w:tblPr>
                        <w:tblW w:w="5000" w:type="pct"/>
                        <w:jc w:val="left"/>
                        <w:tblInd w:w="0" w:type="dxa"/>
                        <w:tblCellMar>
                          <w:top w:w="0" w:type="dxa"/>
                          <w:left w:w="0" w:type="dxa"/>
                          <w:bottom w:w="0" w:type="dxa"/>
                          <w:right w:w="0" w:type="dxa"/>
                        </w:tblCellMar>
                      </w:tblPr>
                      <w:tblGrid>
                        <w:gridCol w:w="684"/>
                        <w:gridCol w:w="382"/>
                        <w:gridCol w:w="81"/>
                        <w:gridCol w:w="3751"/>
                      </w:tblGrid>
                      <w:tr>
                        <w:trPr/>
                        <w:tc>
                          <w:tcPr>
                            <w:tcW w:w="684" w:type="dxa"/>
                            <w:tcBorders/>
                            <w:shd w:fill="auto" w:val="clear"/>
                            <w:vAlign w:val="center"/>
                          </w:tcPr>
                          <w:p>
                            <w:pPr>
                              <w:pStyle w:val="TableContents"/>
                              <w:spacing w:before="0" w:after="283"/>
                              <w:rPr/>
                            </w:pPr>
                            <w:r>
                              <w:rPr/>
                              <w:t> </w:t>
                            </w:r>
                          </w:p>
                        </w:tc>
                        <w:tc>
                          <w:tcPr>
                            <w:tcW w:w="3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1" w:type="dxa"/>
                            <w:tcBorders/>
                            <w:shd w:fill="auto" w:val="clear"/>
                          </w:tcPr>
                          <w:p>
                            <w:pPr>
                              <w:pStyle w:val="TableContents"/>
                              <w:spacing w:before="0" w:after="283"/>
                              <w:rPr/>
                            </w:pPr>
                            <w:r>
                              <w:rPr/>
                              <w:t> </w:t>
                            </w:r>
                          </w:p>
                        </w:tc>
                        <w:tc>
                          <w:tcPr>
                            <w:tcW w:w="375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Mexico Holdings, LLC </w:t>
                            </w:r>
                          </w:p>
                        </w:tc>
                      </w:tr>
                    </w:tbl>
                    <w:tbl>
                      <w:tblPr>
                        <w:tblW w:w="5000" w:type="pct"/>
                        <w:jc w:val="left"/>
                        <w:tblInd w:w="0" w:type="dxa"/>
                        <w:tblCellMar>
                          <w:top w:w="0" w:type="dxa"/>
                          <w:left w:w="0" w:type="dxa"/>
                          <w:bottom w:w="0" w:type="dxa"/>
                          <w:right w:w="0" w:type="dxa"/>
                        </w:tblCellMar>
                      </w:tblPr>
                      <w:tblGrid>
                        <w:gridCol w:w="773"/>
                        <w:gridCol w:w="432"/>
                        <w:gridCol w:w="91"/>
                        <w:gridCol w:w="3602"/>
                      </w:tblGrid>
                      <w:tr>
                        <w:trPr/>
                        <w:tc>
                          <w:tcPr>
                            <w:tcW w:w="773" w:type="dxa"/>
                            <w:tcBorders/>
                            <w:shd w:fill="auto" w:val="clear"/>
                            <w:vAlign w:val="center"/>
                          </w:tcPr>
                          <w:p>
                            <w:pPr>
                              <w:pStyle w:val="TableContents"/>
                              <w:spacing w:before="0" w:after="283"/>
                              <w:rPr/>
                            </w:pPr>
                            <w:r>
                              <w:rPr/>
                              <w:t> </w:t>
                            </w:r>
                          </w:p>
                        </w:tc>
                        <w:tc>
                          <w:tcPr>
                            <w:tcW w:w="43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auto" w:val="clear"/>
                          </w:tcPr>
                          <w:p>
                            <w:pPr>
                              <w:pStyle w:val="TableContents"/>
                              <w:spacing w:before="0" w:after="283"/>
                              <w:rPr/>
                            </w:pPr>
                            <w:r>
                              <w:rPr/>
                              <w:t> </w:t>
                            </w:r>
                          </w:p>
                        </w:tc>
                        <w:tc>
                          <w:tcPr>
                            <w:tcW w:w="36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Mexico Ltd., LLC </w:t>
                            </w:r>
                          </w:p>
                        </w:tc>
                      </w:tr>
                    </w:tbl>
                    <w:tbl>
                      <w:tblPr>
                        <w:tblW w:w="5000" w:type="pct"/>
                        <w:jc w:val="left"/>
                        <w:tblInd w:w="0" w:type="dxa"/>
                        <w:tblCellMar>
                          <w:top w:w="0" w:type="dxa"/>
                          <w:left w:w="0" w:type="dxa"/>
                          <w:bottom w:w="0" w:type="dxa"/>
                          <w:right w:w="0" w:type="dxa"/>
                        </w:tblCellMar>
                      </w:tblPr>
                      <w:tblGrid>
                        <w:gridCol w:w="903"/>
                        <w:gridCol w:w="505"/>
                        <w:gridCol w:w="106"/>
                        <w:gridCol w:w="3384"/>
                      </w:tblGrid>
                      <w:tr>
                        <w:trPr/>
                        <w:tc>
                          <w:tcPr>
                            <w:tcW w:w="903" w:type="dxa"/>
                            <w:tcBorders/>
                            <w:shd w:fill="auto" w:val="clear"/>
                            <w:vAlign w:val="center"/>
                          </w:tcPr>
                          <w:p>
                            <w:pPr>
                              <w:pStyle w:val="TableContents"/>
                              <w:spacing w:before="0" w:after="283"/>
                              <w:rPr/>
                            </w:pPr>
                            <w:r>
                              <w:rPr/>
                              <w:t> </w:t>
                            </w:r>
                          </w:p>
                        </w:tc>
                        <w:tc>
                          <w:tcPr>
                            <w:tcW w:w="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Pr>
                          <w:p>
                            <w:pPr>
                              <w:pStyle w:val="TableContents"/>
                              <w:spacing w:before="0" w:after="283"/>
                              <w:rPr/>
                            </w:pPr>
                            <w:r>
                              <w:rPr/>
                              <w:t> </w:t>
                            </w:r>
                          </w:p>
                        </w:tc>
                        <w:tc>
                          <w:tcPr>
                            <w:tcW w:w="33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Nevada, Inc. </w:t>
                            </w:r>
                          </w:p>
                        </w:tc>
                      </w:tr>
                    </w:tbl>
                    <w:tbl>
                      <w:tblPr>
                        <w:tblW w:w="5000" w:type="pct"/>
                        <w:jc w:val="left"/>
                        <w:tblInd w:w="0" w:type="dxa"/>
                        <w:tblCellMar>
                          <w:top w:w="0" w:type="dxa"/>
                          <w:left w:w="0" w:type="dxa"/>
                          <w:bottom w:w="0" w:type="dxa"/>
                          <w:right w:w="0" w:type="dxa"/>
                        </w:tblCellMar>
                      </w:tblPr>
                      <w:tblGrid>
                        <w:gridCol w:w="835"/>
                        <w:gridCol w:w="467"/>
                        <w:gridCol w:w="98"/>
                        <w:gridCol w:w="3498"/>
                      </w:tblGrid>
                      <w:tr>
                        <w:trPr/>
                        <w:tc>
                          <w:tcPr>
                            <w:tcW w:w="835" w:type="dxa"/>
                            <w:tcBorders/>
                            <w:shd w:fill="auto" w:val="clear"/>
                            <w:vAlign w:val="center"/>
                          </w:tcPr>
                          <w:p>
                            <w:pPr>
                              <w:pStyle w:val="TableContents"/>
                              <w:spacing w:before="0" w:after="283"/>
                              <w:rPr/>
                            </w:pPr>
                            <w:r>
                              <w:rPr/>
                              <w:t> </w:t>
                            </w:r>
                          </w:p>
                        </w:tc>
                        <w:tc>
                          <w:tcPr>
                            <w:tcW w:w="46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auto" w:val="clear"/>
                          </w:tcPr>
                          <w:p>
                            <w:pPr>
                              <w:pStyle w:val="TableContents"/>
                              <w:spacing w:before="0" w:after="283"/>
                              <w:rPr/>
                            </w:pPr>
                            <w:r>
                              <w:rPr/>
                              <w:t> </w:t>
                            </w:r>
                          </w:p>
                        </w:tc>
                        <w:tc>
                          <w:tcPr>
                            <w:tcW w:w="34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Oklahoma, Inc. </w:t>
                            </w:r>
                          </w:p>
                        </w:tc>
                      </w:tr>
                    </w:tbl>
                    <w:tbl>
                      <w:tblPr>
                        <w:tblW w:w="5000" w:type="pct"/>
                        <w:jc w:val="left"/>
                        <w:tblInd w:w="0" w:type="dxa"/>
                        <w:tblCellMar>
                          <w:top w:w="0" w:type="dxa"/>
                          <w:left w:w="0" w:type="dxa"/>
                          <w:bottom w:w="0" w:type="dxa"/>
                          <w:right w:w="0" w:type="dxa"/>
                        </w:tblCellMar>
                      </w:tblPr>
                      <w:tblGrid>
                        <w:gridCol w:w="835"/>
                        <w:gridCol w:w="467"/>
                        <w:gridCol w:w="98"/>
                        <w:gridCol w:w="3498"/>
                      </w:tblGrid>
                      <w:tr>
                        <w:trPr/>
                        <w:tc>
                          <w:tcPr>
                            <w:tcW w:w="835" w:type="dxa"/>
                            <w:tcBorders/>
                            <w:shd w:fill="auto" w:val="clear"/>
                            <w:vAlign w:val="center"/>
                          </w:tcPr>
                          <w:p>
                            <w:pPr>
                              <w:pStyle w:val="TableContents"/>
                              <w:spacing w:before="0" w:after="283"/>
                              <w:rPr/>
                            </w:pPr>
                            <w:r>
                              <w:rPr/>
                              <w:t> </w:t>
                            </w:r>
                          </w:p>
                        </w:tc>
                        <w:tc>
                          <w:tcPr>
                            <w:tcW w:w="46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auto" w:val="clear"/>
                          </w:tcPr>
                          <w:p>
                            <w:pPr>
                              <w:pStyle w:val="TableContents"/>
                              <w:spacing w:before="0" w:after="283"/>
                              <w:rPr/>
                            </w:pPr>
                            <w:r>
                              <w:rPr/>
                              <w:t> </w:t>
                            </w:r>
                          </w:p>
                        </w:tc>
                        <w:tc>
                          <w:tcPr>
                            <w:tcW w:w="34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Tennessee, Inc. </w:t>
                            </w:r>
                          </w:p>
                        </w:tc>
                      </w:tr>
                    </w:tbl>
                    <w:tbl>
                      <w:tblPr>
                        <w:tblW w:w="5000" w:type="pct"/>
                        <w:jc w:val="left"/>
                        <w:tblInd w:w="0" w:type="dxa"/>
                        <w:tblCellMar>
                          <w:top w:w="0" w:type="dxa"/>
                          <w:left w:w="0" w:type="dxa"/>
                          <w:bottom w:w="0" w:type="dxa"/>
                          <w:right w:w="0" w:type="dxa"/>
                        </w:tblCellMar>
                      </w:tblPr>
                      <w:tblGrid>
                        <w:gridCol w:w="983"/>
                        <w:gridCol w:w="550"/>
                        <w:gridCol w:w="115"/>
                        <w:gridCol w:w="3250"/>
                      </w:tblGrid>
                      <w:tr>
                        <w:trPr/>
                        <w:tc>
                          <w:tcPr>
                            <w:tcW w:w="983" w:type="dxa"/>
                            <w:tcBorders/>
                            <w:shd w:fill="auto" w:val="clear"/>
                            <w:vAlign w:val="center"/>
                          </w:tcPr>
                          <w:p>
                            <w:pPr>
                              <w:pStyle w:val="TableContents"/>
                              <w:spacing w:before="0" w:after="283"/>
                              <w:rPr/>
                            </w:pPr>
                            <w:r>
                              <w:rPr/>
                              <w:t> </w:t>
                            </w:r>
                          </w:p>
                        </w:tc>
                        <w:tc>
                          <w:tcPr>
                            <w:tcW w:w="5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5" w:type="dxa"/>
                            <w:tcBorders/>
                            <w:shd w:fill="auto" w:val="clear"/>
                          </w:tcPr>
                          <w:p>
                            <w:pPr>
                              <w:pStyle w:val="TableContents"/>
                              <w:spacing w:before="0" w:after="283"/>
                              <w:rPr/>
                            </w:pPr>
                            <w:r>
                              <w:rPr/>
                              <w:t> </w:t>
                            </w:r>
                          </w:p>
                        </w:tc>
                        <w:tc>
                          <w:tcPr>
                            <w:tcW w:w="32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Utah, Inc. </w:t>
                            </w:r>
                          </w:p>
                        </w:tc>
                      </w:tr>
                    </w:tbl>
                    <w:tbl>
                      <w:tblPr>
                        <w:tblW w:w="5000" w:type="pct"/>
                        <w:jc w:val="left"/>
                        <w:tblInd w:w="0" w:type="dxa"/>
                        <w:tblCellMar>
                          <w:top w:w="0" w:type="dxa"/>
                          <w:left w:w="0" w:type="dxa"/>
                          <w:bottom w:w="0" w:type="dxa"/>
                          <w:right w:w="0" w:type="dxa"/>
                        </w:tblCellMar>
                      </w:tblPr>
                      <w:tblGrid>
                        <w:gridCol w:w="831"/>
                        <w:gridCol w:w="464"/>
                        <w:gridCol w:w="98"/>
                        <w:gridCol w:w="3505"/>
                      </w:tblGrid>
                      <w:tr>
                        <w:trPr/>
                        <w:tc>
                          <w:tcPr>
                            <w:tcW w:w="831" w:type="dxa"/>
                            <w:tcBorders/>
                            <w:shd w:fill="auto" w:val="clear"/>
                            <w:vAlign w:val="center"/>
                          </w:tcPr>
                          <w:p>
                            <w:pPr>
                              <w:pStyle w:val="TableContents"/>
                              <w:spacing w:before="0" w:after="283"/>
                              <w:rPr/>
                            </w:pPr>
                            <w:r>
                              <w:rPr/>
                              <w:t> </w:t>
                            </w:r>
                          </w:p>
                        </w:tc>
                        <w:tc>
                          <w:tcPr>
                            <w:tcW w:w="46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auto" w:val="clear"/>
                          </w:tcPr>
                          <w:p>
                            <w:pPr>
                              <w:pStyle w:val="TableContents"/>
                              <w:spacing w:before="0" w:after="283"/>
                              <w:rPr/>
                            </w:pPr>
                            <w:r>
                              <w:rPr/>
                              <w:t> </w:t>
                            </w:r>
                          </w:p>
                        </w:tc>
                        <w:tc>
                          <w:tcPr>
                            <w:tcW w:w="3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EZPAWN Wisconsin, Inc. </w:t>
                            </w:r>
                          </w:p>
                        </w:tc>
                      </w:tr>
                    </w:tbl>
                    <w:tbl>
                      <w:tblPr>
                        <w:tblW w:w="5000" w:type="pct"/>
                        <w:jc w:val="left"/>
                        <w:tblInd w:w="0" w:type="dxa"/>
                        <w:tblCellMar>
                          <w:top w:w="0" w:type="dxa"/>
                          <w:left w:w="0" w:type="dxa"/>
                          <w:bottom w:w="0" w:type="dxa"/>
                          <w:right w:w="0" w:type="dxa"/>
                        </w:tblCellMar>
                      </w:tblPr>
                      <w:tblGrid>
                        <w:gridCol w:w="766"/>
                        <w:gridCol w:w="428"/>
                        <w:gridCol w:w="90"/>
                        <w:gridCol w:w="3614"/>
                      </w:tblGrid>
                      <w:tr>
                        <w:trPr/>
                        <w:tc>
                          <w:tcPr>
                            <w:tcW w:w="766" w:type="dxa"/>
                            <w:tcBorders/>
                            <w:shd w:fill="auto" w:val="clear"/>
                            <w:vAlign w:val="center"/>
                          </w:tcPr>
                          <w:p>
                            <w:pPr>
                              <w:pStyle w:val="TableContents"/>
                              <w:spacing w:before="0" w:after="283"/>
                              <w:rPr/>
                            </w:pPr>
                            <w:r>
                              <w:rPr/>
                              <w:t> </w:t>
                            </w:r>
                          </w:p>
                        </w:tc>
                        <w:tc>
                          <w:tcPr>
                            <w:tcW w:w="42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Pr>
                          <w:p>
                            <w:pPr>
                              <w:pStyle w:val="TableContents"/>
                              <w:spacing w:before="0" w:after="283"/>
                              <w:rPr/>
                            </w:pPr>
                            <w:r>
                              <w:rPr/>
                              <w:t> </w:t>
                            </w:r>
                          </w:p>
                        </w:tc>
                        <w:tc>
                          <w:tcPr>
                            <w:tcW w:w="361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Mister Money Holdings, Inc. </w:t>
                            </w:r>
                          </w:p>
                        </w:tc>
                      </w:tr>
                    </w:tbl>
                    <w:tbl>
                      <w:tblPr>
                        <w:tblW w:w="5000" w:type="pct"/>
                        <w:jc w:val="left"/>
                        <w:tblInd w:w="0" w:type="dxa"/>
                        <w:tblCellMar>
                          <w:top w:w="0" w:type="dxa"/>
                          <w:left w:w="0" w:type="dxa"/>
                          <w:bottom w:w="0" w:type="dxa"/>
                          <w:right w:w="0" w:type="dxa"/>
                        </w:tblCellMar>
                      </w:tblPr>
                      <w:tblGrid>
                        <w:gridCol w:w="874"/>
                        <w:gridCol w:w="489"/>
                        <w:gridCol w:w="103"/>
                        <w:gridCol w:w="3432"/>
                      </w:tblGrid>
                      <w:tr>
                        <w:trPr/>
                        <w:tc>
                          <w:tcPr>
                            <w:tcW w:w="874" w:type="dxa"/>
                            <w:tcBorders/>
                            <w:shd w:fill="auto" w:val="clear"/>
                            <w:vAlign w:val="center"/>
                          </w:tcPr>
                          <w:p>
                            <w:pPr>
                              <w:pStyle w:val="TableContents"/>
                              <w:spacing w:before="0" w:after="283"/>
                              <w:rPr/>
                            </w:pPr>
                            <w:r>
                              <w:rPr/>
                              <w:t> </w:t>
                            </w:r>
                          </w:p>
                        </w:tc>
                        <w:tc>
                          <w:tcPr>
                            <w:tcW w:w="4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Pr>
                          <w:p>
                            <w:pPr>
                              <w:pStyle w:val="TableContents"/>
                              <w:spacing w:before="0" w:after="283"/>
                              <w:rPr/>
                            </w:pPr>
                            <w:r>
                              <w:rPr/>
                              <w:t> </w:t>
                            </w:r>
                          </w:p>
                        </w:tc>
                        <w:tc>
                          <w:tcPr>
                            <w:tcW w:w="343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Pawn Management, Inc. </w:t>
                            </w:r>
                          </w:p>
                        </w:tc>
                      </w:tr>
                    </w:tbl>
                    <w:tbl>
                      <w:tblPr>
                        <w:tblW w:w="5000" w:type="pct"/>
                        <w:jc w:val="left"/>
                        <w:tblInd w:w="0" w:type="dxa"/>
                        <w:tblCellMar>
                          <w:top w:w="0" w:type="dxa"/>
                          <w:left w:w="0" w:type="dxa"/>
                          <w:bottom w:w="0" w:type="dxa"/>
                          <w:right w:w="0" w:type="dxa"/>
                        </w:tblCellMar>
                      </w:tblPr>
                      <w:tblGrid>
                        <w:gridCol w:w="716"/>
                        <w:gridCol w:w="401"/>
                        <w:gridCol w:w="84"/>
                        <w:gridCol w:w="3697"/>
                      </w:tblGrid>
                      <w:tr>
                        <w:trPr/>
                        <w:tc>
                          <w:tcPr>
                            <w:tcW w:w="716" w:type="dxa"/>
                            <w:tcBorders/>
                            <w:shd w:fill="auto" w:val="clear"/>
                            <w:vAlign w:val="center"/>
                          </w:tcPr>
                          <w:p>
                            <w:pPr>
                              <w:pStyle w:val="TableContents"/>
                              <w:spacing w:before="0" w:after="283"/>
                              <w:rPr/>
                            </w:pPr>
                            <w:r>
                              <w:rPr/>
                              <w:t> </w:t>
                            </w:r>
                          </w:p>
                        </w:tc>
                        <w:tc>
                          <w:tcPr>
                            <w:tcW w:w="4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4" w:type="dxa"/>
                            <w:tcBorders/>
                            <w:shd w:fill="auto" w:val="clear"/>
                          </w:tcPr>
                          <w:p>
                            <w:pPr>
                              <w:pStyle w:val="TableContents"/>
                              <w:spacing w:before="0" w:after="283"/>
                              <w:rPr/>
                            </w:pPr>
                            <w:r>
                              <w:rPr/>
                              <w:t> </w:t>
                            </w:r>
                          </w:p>
                        </w:tc>
                        <w:tc>
                          <w:tcPr>
                            <w:tcW w:w="3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Payday Loan Management, Inc. </w:t>
                            </w:r>
                          </w:p>
                        </w:tc>
                      </w:tr>
                    </w:tbl>
                    <w:tbl>
                      <w:tblPr>
                        <w:tblW w:w="5000" w:type="pct"/>
                        <w:jc w:val="left"/>
                        <w:tblInd w:w="0" w:type="dxa"/>
                        <w:tblCellMar>
                          <w:top w:w="0" w:type="dxa"/>
                          <w:left w:w="0" w:type="dxa"/>
                          <w:bottom w:w="0" w:type="dxa"/>
                          <w:right w:w="0" w:type="dxa"/>
                        </w:tblCellMar>
                      </w:tblPr>
                      <w:tblGrid>
                        <w:gridCol w:w="893"/>
                        <w:gridCol w:w="500"/>
                        <w:gridCol w:w="105"/>
                        <w:gridCol w:w="3400"/>
                      </w:tblGrid>
                      <w:tr>
                        <w:trPr/>
                        <w:tc>
                          <w:tcPr>
                            <w:tcW w:w="893" w:type="dxa"/>
                            <w:tcBorders/>
                            <w:shd w:fill="auto" w:val="clear"/>
                            <w:vAlign w:val="center"/>
                          </w:tcPr>
                          <w:p>
                            <w:pPr>
                              <w:pStyle w:val="TableContents"/>
                              <w:spacing w:before="0" w:after="283"/>
                              <w:rPr/>
                            </w:pPr>
                            <w:r>
                              <w:rPr/>
                              <w:t> </w:t>
                            </w:r>
                          </w:p>
                        </w:tc>
                        <w:tc>
                          <w:tcPr>
                            <w:tcW w:w="5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Pr>
                          <w:p>
                            <w:pPr>
                              <w:pStyle w:val="TableContents"/>
                              <w:spacing w:before="0" w:after="283"/>
                              <w:rPr/>
                            </w:pPr>
                            <w:r>
                              <w:rPr/>
                              <w:t> </w:t>
                            </w:r>
                          </w:p>
                        </w:tc>
                        <w:tc>
                          <w:tcPr>
                            <w:tcW w:w="34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Texas EZMONEY, L.P. </w:t>
                            </w:r>
                          </w:p>
                        </w:tc>
                      </w:tr>
                    </w:tbl>
                    <w:tbl>
                      <w:tblPr>
                        <w:tblW w:w="5000" w:type="pct"/>
                        <w:jc w:val="left"/>
                        <w:tblInd w:w="0" w:type="dxa"/>
                        <w:tblCellMar>
                          <w:top w:w="0" w:type="dxa"/>
                          <w:left w:w="0" w:type="dxa"/>
                          <w:bottom w:w="0" w:type="dxa"/>
                          <w:right w:w="0" w:type="dxa"/>
                        </w:tblCellMar>
                      </w:tblPr>
                      <w:tblGrid>
                        <w:gridCol w:w="667"/>
                        <w:gridCol w:w="374"/>
                        <w:gridCol w:w="78"/>
                        <w:gridCol w:w="3779"/>
                      </w:tblGrid>
                      <w:tr>
                        <w:trPr/>
                        <w:tc>
                          <w:tcPr>
                            <w:tcW w:w="667" w:type="dxa"/>
                            <w:tcBorders/>
                            <w:shd w:fill="auto" w:val="clear"/>
                            <w:vAlign w:val="center"/>
                          </w:tcPr>
                          <w:p>
                            <w:pPr>
                              <w:pStyle w:val="TableContents"/>
                              <w:spacing w:before="0" w:after="283"/>
                              <w:rPr/>
                            </w:pPr>
                            <w:r>
                              <w:rPr/>
                              <w:t> </w:t>
                            </w:r>
                          </w:p>
                        </w:tc>
                        <w:tc>
                          <w:tcPr>
                            <w:tcW w:w="3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Pr>
                          <w:p>
                            <w:pPr>
                              <w:pStyle w:val="TableContents"/>
                              <w:spacing w:before="0" w:after="283"/>
                              <w:rPr/>
                            </w:pPr>
                            <w:r>
                              <w:rPr/>
                              <w:t> </w:t>
                            </w:r>
                          </w:p>
                        </w:tc>
                        <w:tc>
                          <w:tcPr>
                            <w:tcW w:w="37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Texas EZPAWN Management, Inc. </w:t>
                            </w:r>
                          </w:p>
                        </w:tc>
                      </w:tr>
                    </w:tbl>
                    <w:tbl>
                      <w:tblPr>
                        <w:tblW w:w="5000" w:type="pct"/>
                        <w:jc w:val="left"/>
                        <w:tblInd w:w="0" w:type="dxa"/>
                        <w:tblCellMar>
                          <w:top w:w="0" w:type="dxa"/>
                          <w:left w:w="0" w:type="dxa"/>
                          <w:bottom w:w="0" w:type="dxa"/>
                          <w:right w:w="0" w:type="dxa"/>
                        </w:tblCellMar>
                      </w:tblPr>
                      <w:tblGrid>
                        <w:gridCol w:w="944"/>
                        <w:gridCol w:w="528"/>
                        <w:gridCol w:w="111"/>
                        <w:gridCol w:w="3315"/>
                      </w:tblGrid>
                      <w:tr>
                        <w:trPr/>
                        <w:tc>
                          <w:tcPr>
                            <w:tcW w:w="944" w:type="dxa"/>
                            <w:tcBorders/>
                            <w:shd w:fill="auto" w:val="clear"/>
                            <w:vAlign w:val="center"/>
                          </w:tcPr>
                          <w:p>
                            <w:pPr>
                              <w:pStyle w:val="TableContents"/>
                              <w:spacing w:before="0" w:after="283"/>
                              <w:rPr/>
                            </w:pPr>
                            <w:r>
                              <w:rPr/>
                              <w:t> </w:t>
                            </w:r>
                          </w:p>
                        </w:tc>
                        <w:tc>
                          <w:tcPr>
                            <w:tcW w:w="52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auto" w:val="clear"/>
                          </w:tcPr>
                          <w:p>
                            <w:pPr>
                              <w:pStyle w:val="TableContents"/>
                              <w:spacing w:before="0" w:after="283"/>
                              <w:rPr/>
                            </w:pPr>
                            <w:r>
                              <w:rPr/>
                              <w:t> </w:t>
                            </w:r>
                          </w:p>
                        </w:tc>
                        <w:tc>
                          <w:tcPr>
                            <w:tcW w:w="331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Texas EZPAWN, L.P. </w:t>
                            </w:r>
                          </w:p>
                        </w:tc>
                      </w:tr>
                    </w:tbl>
                    <w:tbl>
                      <w:tblPr>
                        <w:tblW w:w="5000" w:type="pct"/>
                        <w:jc w:val="left"/>
                        <w:tblInd w:w="0" w:type="dxa"/>
                        <w:tblCellMar>
                          <w:top w:w="0" w:type="dxa"/>
                          <w:left w:w="0" w:type="dxa"/>
                          <w:bottom w:w="0" w:type="dxa"/>
                          <w:right w:w="0" w:type="dxa"/>
                        </w:tblCellMar>
                      </w:tblPr>
                      <w:tblGrid>
                        <w:gridCol w:w="748"/>
                        <w:gridCol w:w="419"/>
                        <w:gridCol w:w="88"/>
                        <w:gridCol w:w="3643"/>
                      </w:tblGrid>
                      <w:tr>
                        <w:trPr/>
                        <w:tc>
                          <w:tcPr>
                            <w:tcW w:w="748" w:type="dxa"/>
                            <w:tcBorders/>
                            <w:shd w:fill="auto" w:val="clear"/>
                            <w:vAlign w:val="center"/>
                          </w:tcPr>
                          <w:p>
                            <w:pPr>
                              <w:pStyle w:val="TableContents"/>
                              <w:spacing w:before="0" w:after="283"/>
                              <w:rPr/>
                            </w:pPr>
                            <w:r>
                              <w:rPr/>
                              <w:t> </w:t>
                            </w:r>
                          </w:p>
                        </w:tc>
                        <w:tc>
                          <w:tcPr>
                            <w:tcW w:w="4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tcPr>
                          <w:p>
                            <w:pPr>
                              <w:pStyle w:val="TableContents"/>
                              <w:spacing w:before="0" w:after="283"/>
                              <w:rPr/>
                            </w:pPr>
                            <w:r>
                              <w:rPr/>
                              <w:t> </w:t>
                            </w:r>
                          </w:p>
                        </w:tc>
                        <w:tc>
                          <w:tcPr>
                            <w:tcW w:w="36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Texas PRA Management, L.P. </w:t>
                            </w:r>
                          </w:p>
                        </w:tc>
                      </w:tr>
                    </w:tbl>
                    <w:tbl>
                      <w:tblPr>
                        <w:tblW w:w="5000" w:type="pct"/>
                        <w:jc w:val="left"/>
                        <w:tblInd w:w="0" w:type="dxa"/>
                        <w:tblCellMar>
                          <w:top w:w="0" w:type="dxa"/>
                          <w:left w:w="0" w:type="dxa"/>
                          <w:bottom w:w="0" w:type="dxa"/>
                          <w:right w:w="0" w:type="dxa"/>
                        </w:tblCellMar>
                      </w:tblPr>
                      <w:tblGrid>
                        <w:gridCol w:w="752"/>
                        <w:gridCol w:w="420"/>
                        <w:gridCol w:w="89"/>
                        <w:gridCol w:w="3637"/>
                      </w:tblGrid>
                      <w:tr>
                        <w:trPr/>
                        <w:tc>
                          <w:tcPr>
                            <w:tcW w:w="752"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auto" w:val="clear"/>
                          </w:tcPr>
                          <w:p>
                            <w:pPr>
                              <w:pStyle w:val="TableContents"/>
                              <w:spacing w:before="0" w:after="283"/>
                              <w:rPr/>
                            </w:pPr>
                            <w:r>
                              <w:rPr/>
                              <w:t> </w:t>
                            </w:r>
                          </w:p>
                        </w:tc>
                        <w:tc>
                          <w:tcPr>
                            <w:tcW w:w="363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Value Financial Services, Inc. </w:t>
                            </w:r>
                          </w:p>
                        </w:tc>
                      </w:tr>
                    </w:tbl>
                    <w:tbl>
                      <w:tblPr>
                        <w:tblW w:w="5000" w:type="pct"/>
                        <w:jc w:val="left"/>
                        <w:tblInd w:w="0" w:type="dxa"/>
                        <w:tblCellMar>
                          <w:top w:w="0" w:type="dxa"/>
                          <w:left w:w="0" w:type="dxa"/>
                          <w:bottom w:w="0" w:type="dxa"/>
                          <w:right w:w="0" w:type="dxa"/>
                        </w:tblCellMar>
                      </w:tblPr>
                      <w:tblGrid>
                        <w:gridCol w:w="748"/>
                        <w:gridCol w:w="419"/>
                        <w:gridCol w:w="88"/>
                        <w:gridCol w:w="3643"/>
                      </w:tblGrid>
                      <w:tr>
                        <w:trPr/>
                        <w:tc>
                          <w:tcPr>
                            <w:tcW w:w="748" w:type="dxa"/>
                            <w:tcBorders/>
                            <w:shd w:fill="auto" w:val="clear"/>
                            <w:vAlign w:val="center"/>
                          </w:tcPr>
                          <w:p>
                            <w:pPr>
                              <w:pStyle w:val="TableContents"/>
                              <w:spacing w:before="0" w:after="283"/>
                              <w:rPr/>
                            </w:pPr>
                            <w:r>
                              <w:rPr/>
                              <w:t> </w:t>
                            </w:r>
                          </w:p>
                        </w:tc>
                        <w:tc>
                          <w:tcPr>
                            <w:tcW w:w="4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tcPr>
                          <w:p>
                            <w:pPr>
                              <w:pStyle w:val="TableContents"/>
                              <w:spacing w:before="0" w:after="283"/>
                              <w:rPr/>
                            </w:pPr>
                            <w:r>
                              <w:rPr/>
                              <w:t> </w:t>
                            </w:r>
                          </w:p>
                        </w:tc>
                        <w:tc>
                          <w:tcPr>
                            <w:tcW w:w="36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VFS Mexico Operations, LLC </w:t>
                            </w:r>
                          </w:p>
                        </w:tc>
                      </w:tr>
                    </w:tbl>
                    <w:tbl>
                      <w:tblPr>
                        <w:tblW w:w="5000" w:type="pct"/>
                        <w:jc w:val="left"/>
                        <w:tblInd w:w="0" w:type="dxa"/>
                        <w:tblCellMar>
                          <w:top w:w="0" w:type="dxa"/>
                          <w:left w:w="0" w:type="dxa"/>
                          <w:bottom w:w="0" w:type="dxa"/>
                          <w:right w:w="0" w:type="dxa"/>
                        </w:tblCellMar>
                      </w:tblPr>
                      <w:tblGrid>
                        <w:gridCol w:w="799"/>
                        <w:gridCol w:w="447"/>
                        <w:gridCol w:w="94"/>
                        <w:gridCol w:w="3558"/>
                      </w:tblGrid>
                      <w:tr>
                        <w:trPr/>
                        <w:tc>
                          <w:tcPr>
                            <w:tcW w:w="799" w:type="dxa"/>
                            <w:tcBorders/>
                            <w:shd w:fill="auto" w:val="clear"/>
                            <w:vAlign w:val="center"/>
                          </w:tcPr>
                          <w:p>
                            <w:pPr>
                              <w:pStyle w:val="TableContents"/>
                              <w:spacing w:before="0" w:after="283"/>
                              <w:rPr/>
                            </w:pPr>
                            <w:r>
                              <w:rPr/>
                              <w:t> </w:t>
                            </w:r>
                          </w:p>
                        </w:tc>
                        <w:tc>
                          <w:tcPr>
                            <w:tcW w:w="44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Pr>
                          <w:p>
                            <w:pPr>
                              <w:pStyle w:val="TableContents"/>
                              <w:spacing w:before="0" w:after="283"/>
                              <w:rPr/>
                            </w:pPr>
                            <w:r>
                              <w:rPr/>
                              <w:t> </w:t>
                            </w:r>
                          </w:p>
                        </w:tc>
                        <w:tc>
                          <w:tcPr>
                            <w:tcW w:w="355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VFS Mexico Services, LLC </w:t>
                            </w:r>
                          </w:p>
                        </w:tc>
                      </w:tr>
                    </w:tbl>
                    <w:p>
                      <w:pPr>
                        <w:pStyle w:val="TextBody"/>
                        <w:spacing w:before="0" w:after="283"/>
                        <w:rPr/>
                      </w:pPr>
                      <w:r>
                        <w:rPr/>
                      </w:r>
                    </w:p>
                  </w:txbxContent>
                </v:textbox>
                <w10:wrap type="square" side="left"/>
              </v:rect>
            </w:pict>
          </mc:Fallback>
        </mc:AlternateConten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Unless otherwise indicated in an accompanying prospectus supplement, each of those domestic subsidiaries will fully and unconditionally guarantee on a joint and several basis our payment obligations under any series of debt securities offered by this prospectus. Financial information concerning these subsidiaries is included in our consolidated financial statements filed with the SEC as a part of our reports pursuant to the Exchange Act, to the extent required by the rules and regulations of the SEC, and incorporated by reference herein. </w:t>
      </w:r>
    </w:p>
    <w:p>
      <w:pPr>
        <w:pStyle w:val="TextBody"/>
        <w:spacing w:before="180" w:after="0"/>
        <w:rPr>
          <w:rFonts w:ascii="Times New Roman" w:hAnsi="Times New Roman"/>
          <w:sz w:val="20"/>
        </w:rPr>
      </w:pPr>
      <w:r>
        <w:rPr>
          <w:rFonts w:ascii="Times New Roman" w:hAnsi="Times New Roman"/>
          <w:sz w:val="20"/>
        </w:rPr>
        <w:t xml:space="preserve">Additional information concerning our subsidiaries and us is included in reports and other documents incorporated by reference in this prospectus. See Where You Can Find More Information and Incorporation of Documents by Reference of this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x267319_7"/>
      <w:bookmarkEnd w:id="9"/>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Investing in our securities involves risks. Before making an investment decision, you should carefully consider the specific risks described in our most recent Annual Report on Form 10-K, as supplemented by subsequent Quarterly Reports on Form 10-Q and Current Reports on Form 8-K, to the extent applicable, each of which is incorporated herein by reference, and those risk factors that may be included or incorporated by reference under the caption Risk Factors in any applicable prospectus supplement, together with all of the other information included in this prospectus, any prospectus supplement and the documents we incorporate by reference in evaluating an investment in our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x267319_8"/>
      <w:bookmarkEnd w:id="10"/>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we inform you otherwise in the prospectus supplement, we expect to use the net proceeds from the sale of securities for general corporate purposes. These purposes may include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Reduction or refinancing of debt or other corporate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Acquisitions;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Capital expenditures;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Working capital. </w:t>
            </w:r>
          </w:p>
        </w:tc>
      </w:tr>
    </w:tbl>
    <w:p>
      <w:pPr>
        <w:pStyle w:val="TextBody"/>
        <w:spacing w:before="180" w:after="0"/>
        <w:rPr>
          <w:rFonts w:ascii="Times New Roman" w:hAnsi="Times New Roman"/>
          <w:sz w:val="20"/>
        </w:rPr>
      </w:pPr>
      <w:r>
        <w:rPr>
          <w:rFonts w:ascii="Times New Roman" w:hAnsi="Times New Roman"/>
          <w:sz w:val="20"/>
        </w:rPr>
        <w:t xml:space="preserve">Pending any specific application, we may initially invest funds in short-term marketable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x267319_9"/>
      <w:bookmarkEnd w:id="11"/>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ratio of consolidated earnings to fixed charges for the periods presented: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298"/>
        <w:gridCol w:w="281"/>
        <w:gridCol w:w="60"/>
        <w:gridCol w:w="498"/>
        <w:gridCol w:w="327"/>
        <w:gridCol w:w="227"/>
        <w:gridCol w:w="60"/>
        <w:gridCol w:w="593"/>
        <w:gridCol w:w="327"/>
        <w:gridCol w:w="227"/>
        <w:gridCol w:w="60"/>
        <w:gridCol w:w="498"/>
        <w:gridCol w:w="326"/>
        <w:gridCol w:w="227"/>
        <w:gridCol w:w="60"/>
        <w:gridCol w:w="593"/>
        <w:gridCol w:w="327"/>
        <w:gridCol w:w="227"/>
        <w:gridCol w:w="60"/>
        <w:gridCol w:w="593"/>
        <w:gridCol w:w="336"/>
      </w:tblGrid>
      <w:tr>
        <w:trPr/>
        <w:tc>
          <w:tcPr>
            <w:tcW w:w="429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r>
      <w:tr>
        <w:trPr/>
        <w:tc>
          <w:tcPr>
            <w:tcW w:w="4298"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5290" w:type="dxa"/>
            <w:gridSpan w:val="1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Year ended September 30,</w:t>
            </w:r>
          </w:p>
        </w:tc>
        <w:tc>
          <w:tcPr>
            <w:tcW w:w="336" w:type="dxa"/>
            <w:tcBorders/>
            <w:shd w:fill="auto" w:val="clear"/>
            <w:vAlign w:val="bottom"/>
          </w:tcPr>
          <w:p>
            <w:pPr>
              <w:pStyle w:val="TableContents"/>
              <w:spacing w:before="0" w:after="283"/>
              <w:rPr/>
            </w:pPr>
            <w:r>
              <w:rPr/>
              <w:t> </w:t>
            </w:r>
          </w:p>
        </w:tc>
      </w:tr>
      <w:tr>
        <w:trPr/>
        <w:tc>
          <w:tcPr>
            <w:tcW w:w="4298"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55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32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6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32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55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32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6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32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6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336" w:type="dxa"/>
            <w:tcBorders/>
            <w:shd w:fill="auto" w:val="clear"/>
            <w:vAlign w:val="bottom"/>
          </w:tcPr>
          <w:p>
            <w:pPr>
              <w:pStyle w:val="TableContents"/>
              <w:spacing w:before="0" w:after="283"/>
              <w:rPr/>
            </w:pPr>
            <w:r>
              <w:rPr/>
              <w:t> </w:t>
            </w:r>
          </w:p>
        </w:tc>
      </w:tr>
      <w:tr>
        <w:trPr/>
        <w:tc>
          <w:tcPr>
            <w:tcW w:w="4298" w:type="dxa"/>
            <w:tcBorders/>
            <w:shd w:fill="CCEEFF" w:val="clear"/>
          </w:tcPr>
          <w:p>
            <w:pPr>
              <w:pStyle w:val="TableContents"/>
              <w:spacing w:before="0" w:after="283"/>
              <w:rPr/>
            </w:pPr>
            <w:r>
              <w:rPr>
                <w:rFonts w:ascii="Times New Roman" w:hAnsi="Times New Roman"/>
                <w:sz w:val="20"/>
              </w:rPr>
              <w:t>Ratio of earnings to fixed charges</w:t>
            </w:r>
            <w:r>
              <w:rPr/>
              <w:t> </w:t>
            </w:r>
            <w:r>
              <w:rPr>
                <w:rFonts w:ascii="Times New Roman" w:hAnsi="Times New Roman"/>
                <w:sz w:val="14"/>
              </w:rPr>
              <w:t>(a)</w:t>
            </w:r>
          </w:p>
        </w:tc>
        <w:tc>
          <w:tcPr>
            <w:tcW w:w="2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50.68</w:t>
            </w:r>
          </w:p>
        </w:tc>
        <w:tc>
          <w:tcPr>
            <w:tcW w:w="3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 </w:t>
            </w:r>
          </w:p>
        </w:tc>
        <w:tc>
          <w:tcPr>
            <w:tcW w:w="22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144.36</w:t>
            </w:r>
          </w:p>
        </w:tc>
        <w:tc>
          <w:tcPr>
            <w:tcW w:w="3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 </w:t>
            </w:r>
          </w:p>
        </w:tc>
        <w:tc>
          <w:tcPr>
            <w:tcW w:w="22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46.97</w:t>
            </w:r>
          </w:p>
        </w:tc>
        <w:tc>
          <w:tcPr>
            <w:tcW w:w="3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 </w:t>
            </w:r>
          </w:p>
        </w:tc>
        <w:tc>
          <w:tcPr>
            <w:tcW w:w="22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177.97</w:t>
            </w:r>
          </w:p>
        </w:tc>
        <w:tc>
          <w:tcPr>
            <w:tcW w:w="3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 </w:t>
            </w:r>
          </w:p>
        </w:tc>
        <w:tc>
          <w:tcPr>
            <w:tcW w:w="22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412.51</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ratio has been computed by dividing earnings by fixed charges. For purposes of computing this ratio: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Earnings consist of income from continuing operations before income taxes, cumulative effect of change in accounting principle, adjustments for net income or loss attributable to noncontrolling interests and our share of investees income or loss accounted for under the equity method, and adjustment for capitalized interest, plus fixed charges and our share of distributed income from investees accounted for under the equity method;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Fixed charges consist of interest expense, capitalized interest and the portion of rental expense deemed to be representative of the interest component of rental expense.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x267319_10"/>
      <w:bookmarkEnd w:id="12"/>
      <w:r>
        <w:rPr>
          <w:rFonts w:ascii="Times New Roman" w:hAnsi="Times New Roman"/>
          <w:b/>
          <w:sz w:val="20"/>
        </w:rPr>
        <w:t xml:space="preserve">DESCRIPTION OF DEBT SECURITIES </w:t>
      </w:r>
    </w:p>
    <w:p>
      <w:pPr>
        <w:pStyle w:val="TextBody"/>
        <w:spacing w:before="180" w:after="0"/>
        <w:rPr>
          <w:rFonts w:ascii="Times New Roman" w:hAnsi="Times New Roman"/>
          <w:sz w:val="20"/>
        </w:rPr>
      </w:pPr>
      <w:r>
        <w:rPr>
          <w:rFonts w:ascii="Times New Roman" w:hAnsi="Times New Roman"/>
          <w:sz w:val="20"/>
        </w:rPr>
        <w:t xml:space="preserve">The Debt Securities will be either our senior debt securities (Senior Debt Securities) or our subordinated debt securities (Subordinated Debt Securities). The Senior Debt Securities and the Subordinated Debt Securities will be issued under separate indentures among us, our subsidiaries, if our subsidiaries are guarantors of such Debt Securities, and a trustee to be selected by us (the Trustee). Senior Debt Securities will be issued under a Senior Indenture and Subordinated Debt Securities will be issued under a Subordinated Indenture. Together, the Senior Indenture and the Subordinated Indenture are called the Indentures. </w:t>
      </w:r>
    </w:p>
    <w:p>
      <w:pPr>
        <w:pStyle w:val="TextBody"/>
        <w:spacing w:before="180" w:after="0"/>
        <w:rPr>
          <w:rFonts w:ascii="Times New Roman" w:hAnsi="Times New Roman"/>
          <w:sz w:val="20"/>
        </w:rPr>
      </w:pPr>
      <w:r>
        <w:rPr>
          <w:rFonts w:ascii="Times New Roman" w:hAnsi="Times New Roman"/>
          <w:sz w:val="20"/>
        </w:rPr>
        <w:t xml:space="preserve">The Debt Securities may be issued from time to time in one or more series. The particular terms of each series that are offered by a prospectus supplement will be described in the prospectus supplement. </w:t>
      </w:r>
    </w:p>
    <w:p>
      <w:pPr>
        <w:pStyle w:val="TextBody"/>
        <w:spacing w:before="180" w:after="0"/>
        <w:rPr>
          <w:rFonts w:ascii="Times New Roman" w:hAnsi="Times New Roman"/>
          <w:sz w:val="20"/>
        </w:rPr>
      </w:pPr>
      <w:r>
        <w:rPr>
          <w:rFonts w:ascii="Times New Roman" w:hAnsi="Times New Roman"/>
          <w:sz w:val="20"/>
        </w:rPr>
        <w:t xml:space="preserve">Unless the Debt Securities are guaranteed by our subsidiaries as described below, the rights of EZCORP and our creditors, including Holders of the Debt Securities, to participate in the assets of any subsidiary upon the latters liquidation or reorganization, will be subject to the prior claims of the subsidiarys creditors, except to the extent that we may ourself be a creditor with recognized claims against such subsidiary. </w:t>
      </w:r>
    </w:p>
    <w:p>
      <w:pPr>
        <w:pStyle w:val="TextBody"/>
        <w:spacing w:before="180" w:after="0"/>
        <w:rPr>
          <w:rFonts w:ascii="Times New Roman" w:hAnsi="Times New Roman"/>
          <w:sz w:val="20"/>
        </w:rPr>
      </w:pPr>
      <w:r>
        <w:rPr>
          <w:rFonts w:ascii="Times New Roman" w:hAnsi="Times New Roman"/>
          <w:sz w:val="20"/>
        </w:rPr>
        <w:t xml:space="preserve">We have summarized selected provisions of the Indentures below. The summary is not complete. The form of each Indenture has been filed with the SEC as an exhibit to the registration statement of which this prospectus is a part, and you should read the Indentures for provisions that may be important to you. In the summary below, we have included references to article or section numbers of the applicable Indenture so that you can easily locate these provisions. Whenever we refer in this prospectus or in the prospectus supplement to particular articles or sections or defined terms of the Indentures, those articles or sections or defined terms are incorporated by reference herein or therein, as applicable.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Indentures provide that Debt Securities in separate series may be issued thereunder from time to time without limitation as to aggregate principal amount. We may specify a maximum aggregate principal amount for the Debt Securities of any series (Section 301). We will determine the terms and conditions of the Debt Securities, including the maturity, principal and interest, but those terms must be consistent with the Indenture. The Debt Securities may be our secured or unsecured obligations. </w:t>
      </w:r>
    </w:p>
    <w:p>
      <w:pPr>
        <w:pStyle w:val="TextBody"/>
        <w:spacing w:before="180" w:after="0"/>
        <w:rPr>
          <w:rFonts w:ascii="Times New Roman" w:hAnsi="Times New Roman"/>
          <w:sz w:val="20"/>
        </w:rPr>
      </w:pPr>
      <w:r>
        <w:rPr>
          <w:rFonts w:ascii="Times New Roman" w:hAnsi="Times New Roman"/>
          <w:sz w:val="20"/>
        </w:rPr>
        <w:t xml:space="preserve">The Subordinated Debt Securities will be subordinated in right of payment to the prior payment in full of all of our Senior Debt (as defined in the Subordinated Indenture) as described under Description of Debt SecuritiesSubordination of Subordinated Debt Securities and in the prospectus supplement applicable to any Subordinated Debt Securities. </w:t>
      </w:r>
    </w:p>
    <w:p>
      <w:pPr>
        <w:pStyle w:val="TextBody"/>
        <w:spacing w:before="180" w:after="0"/>
        <w:rPr>
          <w:rFonts w:ascii="Times New Roman" w:hAnsi="Times New Roman"/>
          <w:sz w:val="20"/>
        </w:rPr>
      </w:pPr>
      <w:r>
        <w:rPr>
          <w:rFonts w:ascii="Times New Roman" w:hAnsi="Times New Roman"/>
          <w:sz w:val="20"/>
        </w:rPr>
        <w:t xml:space="preserve">If the prospectus supplement so indicates, the Debt Securities will be convertible into our Class A Non-Voting Common Stock (Section 301). </w:t>
      </w:r>
    </w:p>
    <w:p>
      <w:pPr>
        <w:pStyle w:val="TextBody"/>
        <w:spacing w:before="180" w:after="0"/>
        <w:rPr>
          <w:rFonts w:ascii="Times New Roman" w:hAnsi="Times New Roman"/>
          <w:sz w:val="20"/>
        </w:rPr>
      </w:pPr>
      <w:r>
        <w:rPr>
          <w:rFonts w:ascii="Times New Roman" w:hAnsi="Times New Roman"/>
          <w:sz w:val="20"/>
        </w:rPr>
        <w:t xml:space="preserve">If specified in the prospectus supplement respecting a particular series of Debt Securities, one or more of our domestic subsidiaries (the Subsidiary Guarantors) will fully and unconditionally guarantee (the Subsidiary Guarantees) on a joint and several basis such Debt Securities as described under Description of Debt SecuritiesSubsidiary Guarantees and in the prospectus supplement. The Subsidiary Guarantees will be unsecured obligations of each Subsidiary Guarantor. Subsidiary Guarantees of Subordinated Debt Securities will be subordinated to the Senior Debt of the Subsidiary Guarantors on the same basis as the Subordinated Debt Securities are subordinated to our Senior Debt. </w:t>
      </w:r>
    </w:p>
    <w:p>
      <w:pPr>
        <w:pStyle w:val="TextBody"/>
        <w:spacing w:before="180" w:after="0"/>
        <w:rPr>
          <w:rFonts w:ascii="Times New Roman" w:hAnsi="Times New Roman"/>
          <w:sz w:val="20"/>
        </w:rPr>
      </w:pPr>
      <w:r>
        <w:rPr>
          <w:rFonts w:ascii="Times New Roman" w:hAnsi="Times New Roman"/>
          <w:sz w:val="20"/>
        </w:rPr>
        <w:t xml:space="preserve">The applicable prospectus supplement will set forth the price or prices at which the Debt Securities to be offered will be issued and will describe the following terms of such Debt Securities: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Debt Securities or Subordinated Debt Securities and, if Subordinated Debt Securities, the related subordination terms;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Subsidiary Guarantors will provide Subsidiary Guarantees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place or places where payments on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terms upon which the Debt Securities may be redeemed, in whole or in part, at our option;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if less than all, of the Debt Securities that will be payable upon declaration of acceleration of the Maturity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defeasible;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addition to or change in the Events of Default;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convertible into our Class A Non-Voting Common Stock and, if so, the terms and conditions upon which conversion will be effected, including the initial conversion price or conversion rate and any adjustments thereto and the conversion period;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addition to or change in the covenants in the Indenture applicable to the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(15)</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not inconsistent with the provisions of the Indenture (Section 301). </w:t>
            </w:r>
          </w:p>
        </w:tc>
      </w:tr>
    </w:tbl>
    <w:p>
      <w:pPr>
        <w:pStyle w:val="TextBody"/>
        <w:spacing w:before="180" w:after="0"/>
        <w:rPr>
          <w:rFonts w:ascii="Times New Roman" w:hAnsi="Times New Roman"/>
          <w:sz w:val="20"/>
        </w:rPr>
      </w:pPr>
      <w:r>
        <w:rPr>
          <w:rFonts w:ascii="Times New Roman" w:hAnsi="Times New Roman"/>
          <w:sz w:val="20"/>
        </w:rPr>
        <w:t xml:space="preserve">Debt Securities, including any Debt Securities that provide for an amount less than the principal amount thereof to be due and payable upon a declaration of acceleration of the Maturity thereof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 </w:t>
      </w:r>
    </w:p>
    <w:p>
      <w:pPr>
        <w:pStyle w:val="TextBody"/>
        <w:spacing w:before="270" w:after="0"/>
        <w:rPr>
          <w:rFonts w:ascii="Times New Roman" w:hAnsi="Times New Roman"/>
          <w:b/>
          <w:sz w:val="20"/>
        </w:rPr>
      </w:pPr>
      <w:r>
        <w:rPr>
          <w:rFonts w:ascii="Times New Roman" w:hAnsi="Times New Roman"/>
          <w:b/>
          <w:sz w:val="20"/>
        </w:rPr>
        <w:t xml:space="preserve">Subordination of Subordinated Debt Securities </w:t>
      </w:r>
    </w:p>
    <w:p>
      <w:pPr>
        <w:pStyle w:val="TextBody"/>
        <w:spacing w:before="90" w:after="0"/>
        <w:rPr>
          <w:rFonts w:ascii="Times New Roman" w:hAnsi="Times New Roman"/>
          <w:sz w:val="20"/>
        </w:rPr>
      </w:pPr>
      <w:r>
        <w:rPr>
          <w:rFonts w:ascii="Times New Roman" w:hAnsi="Times New Roman"/>
          <w:sz w:val="20"/>
        </w:rPr>
        <w:t xml:space="preserve">The indebtedness evidenced by the Subordinated Debt Securities will, to the extent set forth in the Subordinated Indenture with respect to each series of Subordinated Debt Securities, be subordinate in right of payment to the prior payment in full of all of our Senior Debt, including the Senior Debt Securities, and such indebtedness may also be senior in right of payment to all of our Subordinated Debt (Article Twelve of the Subordinated Indenture). The prospectus supplement relating to any Subordinated Debt Securities will summarize the subordination provisions of the Subordinated Indenture applicable to that series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applicability and effect of such provisions upon any payment or distribution respecting that series following any liquidation, dissolution or other winding-up, or any assignment for the benefit of creditors or other marshaling of assets or any bankruptcy, insolvency or similar proceedings;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applicability and effect of such provisions in the event of specified defaults with respect to any Senior Debt, including the circumstances under which and the periods in which we will be prohibited from making payments on the Subordinated Debt Securities;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definition of Senior Debt applicable to the Subordinated Debt Securities of that series and, if the series is issued on a senior subordinated basis, the definition of Subordinated Debt applicable to that series. </w:t>
            </w:r>
          </w:p>
        </w:tc>
      </w:tr>
    </w:tbl>
    <w:p>
      <w:pPr>
        <w:pStyle w:val="TextBody"/>
        <w:spacing w:before="180" w:after="0"/>
        <w:rPr>
          <w:rFonts w:ascii="Times New Roman" w:hAnsi="Times New Roman"/>
          <w:sz w:val="20"/>
        </w:rPr>
      </w:pPr>
      <w:r>
        <w:rPr>
          <w:rFonts w:ascii="Times New Roman" w:hAnsi="Times New Roman"/>
          <w:sz w:val="20"/>
        </w:rPr>
        <w:t xml:space="preserve">The prospectus supplement will also describe as of a recent date the approximate amount of Senior Debt to which the Subordinated Debt Securities of that series will be subordinated. </w:t>
      </w:r>
    </w:p>
    <w:p>
      <w:pPr>
        <w:pStyle w:val="TextBody"/>
        <w:spacing w:before="180" w:after="0"/>
        <w:rPr>
          <w:rFonts w:ascii="Times New Roman" w:hAnsi="Times New Roman"/>
          <w:sz w:val="20"/>
        </w:rPr>
      </w:pPr>
      <w:r>
        <w:rPr>
          <w:rFonts w:ascii="Times New Roman" w:hAnsi="Times New Roman"/>
          <w:sz w:val="20"/>
        </w:rPr>
        <w:t xml:space="preserve">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 (Section 1202 of the Subordinated Indenture). </w:t>
      </w:r>
    </w:p>
    <w:p>
      <w:pPr>
        <w:pStyle w:val="TextBody"/>
        <w:spacing w:before="180" w:after="0"/>
        <w:rPr>
          <w:rFonts w:ascii="Times New Roman" w:hAnsi="Times New Roman"/>
          <w:sz w:val="20"/>
        </w:rPr>
      </w:pPr>
      <w:r>
        <w:rPr>
          <w:rFonts w:ascii="Times New Roman" w:hAnsi="Times New Roman"/>
          <w:sz w:val="20"/>
        </w:rPr>
        <w:t xml:space="preserve">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 Description of Debt SecuritiesLegal Defeasance and Covenant Defeasance (Section 1215 of the Subordinated Indenture). </w:t>
      </w:r>
    </w:p>
    <w:p>
      <w:pPr>
        <w:pStyle w:val="TextBody"/>
        <w:spacing w:before="270" w:after="0"/>
        <w:rPr>
          <w:rFonts w:ascii="Times New Roman" w:hAnsi="Times New Roman"/>
          <w:b/>
          <w:sz w:val="20"/>
        </w:rPr>
      </w:pPr>
      <w:r>
        <w:rPr>
          <w:rFonts w:ascii="Times New Roman" w:hAnsi="Times New Roman"/>
          <w:b/>
          <w:sz w:val="20"/>
        </w:rPr>
        <w:t xml:space="preserve">Subsidiary Guarantees </w:t>
      </w:r>
    </w:p>
    <w:p>
      <w:pPr>
        <w:pStyle w:val="TextBody"/>
        <w:spacing w:before="90" w:after="0"/>
        <w:rPr>
          <w:rFonts w:ascii="Times New Roman" w:hAnsi="Times New Roman"/>
          <w:sz w:val="20"/>
        </w:rPr>
      </w:pPr>
      <w:r>
        <w:rPr>
          <w:rFonts w:ascii="Times New Roman" w:hAnsi="Times New Roman"/>
          <w:sz w:val="20"/>
        </w:rPr>
        <w:t xml:space="preserve">If specified in the prospectus supplement, one or more of the Subsidiary Guarantors will guarantee the Debt Securities of a series. Unless otherwise indicated in the prospectus supplement, the following provisions will apply to the Subsidiary Guarantees of the Subsidiary Guarantors. </w:t>
      </w:r>
    </w:p>
    <w:p>
      <w:pPr>
        <w:pStyle w:val="TextBody"/>
        <w:spacing w:before="180" w:after="0"/>
        <w:rPr>
          <w:rFonts w:ascii="Times New Roman" w:hAnsi="Times New Roman"/>
          <w:sz w:val="20"/>
        </w:rPr>
      </w:pPr>
      <w:r>
        <w:rPr>
          <w:rFonts w:ascii="Times New Roman" w:hAnsi="Times New Roman"/>
          <w:sz w:val="20"/>
        </w:rPr>
        <w:t xml:space="preserve">Subject to the limitations described below and in the prospectus supplement, one or more of the Subsidiary Guarantors will, jointly and severally, fully and unconditionally guarantee the punctual payment when due, whether at Stated Maturity, by acceleration or otherwise, of all our obligations under the Debt Securities of a series and the related Indenture, whether for principal of, premium, if any, or interest on the Debt Securities or otherwise (all such obligations guaranteed by a Subsidiary Guarantor being herein called the Guaranteed Obligations). The Subsidiary Guarantors will also pay all expenses (including reasonable counsel fees and expenses) incurred by the applicable Trustee in enforcing any rights under a Subsidiary Guarantee with respect to a Subsidiary Guarantor (Section 1302). </w:t>
      </w:r>
    </w:p>
    <w:p>
      <w:pPr>
        <w:pStyle w:val="TextBody"/>
        <w:spacing w:before="180" w:after="0"/>
        <w:rPr>
          <w:rFonts w:ascii="Times New Roman" w:hAnsi="Times New Roman"/>
          <w:sz w:val="20"/>
        </w:rPr>
      </w:pPr>
      <w:r>
        <w:rPr>
          <w:rFonts w:ascii="Times New Roman" w:hAnsi="Times New Roman"/>
          <w:sz w:val="20"/>
        </w:rPr>
        <w:t xml:space="preserve">In the case of Subordinated Debt Securities, a Subsidiary Guarantors Subsidiary Guarantee will be subordinated in right of payment to the Senior Debt of such Subsidiary Guarantor on the same basis as the Subordinated Debt Securities are subordinated to our Senior Debt. No payment will be made by any Subsidiary Guarantor under its Subsidiary Guarantee during any period in which payments by us on the Subordinated Debt Securities are suspended by the subordination provisions of the Subordinated Indenture (Article Fourteen of the Subordinated Indenture). </w:t>
      </w:r>
    </w:p>
    <w:p>
      <w:pPr>
        <w:pStyle w:val="TextBody"/>
        <w:spacing w:before="180" w:after="0"/>
        <w:rPr>
          <w:rFonts w:ascii="Times New Roman" w:hAnsi="Times New Roman"/>
          <w:sz w:val="20"/>
        </w:rPr>
      </w:pPr>
      <w:r>
        <w:rPr>
          <w:rFonts w:ascii="Times New Roman" w:hAnsi="Times New Roman"/>
          <w:sz w:val="20"/>
        </w:rPr>
        <w:t xml:space="preserve">Each Subsidiary Guarantee will be limited in amount to an amount not to exceed the maximum amount that can be guaranteed by the relevant Subsidiary Guarantor without rendering such Subsidiary Guarantee voidable under applicable law relating to fraudulent conveyance or fraudulent transfer or similar laws affecting the rights of creditors generally (Section 1306). </w:t>
      </w:r>
    </w:p>
    <w:p>
      <w:pPr>
        <w:pStyle w:val="TextBody"/>
        <w:spacing w:before="180" w:after="0"/>
        <w:rPr>
          <w:rFonts w:ascii="Times New Roman" w:hAnsi="Times New Roman"/>
          <w:sz w:val="20"/>
        </w:rPr>
      </w:pPr>
      <w:r>
        <w:rPr>
          <w:rFonts w:ascii="Times New Roman" w:hAnsi="Times New Roman"/>
          <w:sz w:val="20"/>
        </w:rPr>
        <w:t xml:space="preserve">Each Subsidiary Guarantee will be a continuing guarantee and will: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remain in full force and effect until either (a) payment in full of all the applicable Debt Securities (or such Debt Securities are otherwise satisfied and discharged in accordance with the provisions of the applicable Indenture) or (b) released as described in the following paragraph;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be binding upon each Subsidiary Guarantor;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inure to the benefit of and be enforceable by the applicable Trustee, the Holders and their successors, transferees and assigns. </w:t>
            </w:r>
          </w:p>
        </w:tc>
      </w:tr>
    </w:tbl>
    <w:p>
      <w:pPr>
        <w:pStyle w:val="TextBody"/>
        <w:spacing w:before="180" w:after="0"/>
        <w:rPr>
          <w:rFonts w:ascii="Times New Roman" w:hAnsi="Times New Roman"/>
          <w:sz w:val="20"/>
        </w:rPr>
      </w:pPr>
      <w:r>
        <w:rPr>
          <w:rFonts w:ascii="Times New Roman" w:hAnsi="Times New Roman"/>
          <w:sz w:val="20"/>
        </w:rPr>
        <w:t xml:space="preserve">In the event that (a) a Subsidiary Guarantor ceases to be a Subsidiary in compliance with the provisions of the applicable Indenture, (b) either legal defeasance or covenant defeasance occurs with respect to the series or (c) all or substantially all of the assets or all of the Capital Stock of such Subsidiary Guarantor is sold, including by way of sale, merger, consolidation or otherwise, such Subsidiary Guarantor will be released and discharged of its obligations under its Subsidiary Guarantee without any further action required on the part of the Trustee or any Holder, and no other Person acquiring or owning the assets or Capital Stock of such Subsidiary Guarantor will be required to enter into a Subsidiary Guarantee (Section 1304). In addition, the prospectus supplement may specify additional circumstances under which a Subsidiary Guarantor can be released from its Subsidiary Guarantee. </w:t>
      </w:r>
    </w:p>
    <w:p>
      <w:pPr>
        <w:pStyle w:val="TextBody"/>
        <w:spacing w:before="270" w:after="0"/>
        <w:rPr>
          <w:rFonts w:ascii="Times New Roman" w:hAnsi="Times New Roman"/>
          <w:b/>
          <w:sz w:val="20"/>
        </w:rPr>
      </w:pPr>
      <w:r>
        <w:rPr>
          <w:rFonts w:ascii="Times New Roman" w:hAnsi="Times New Roman"/>
          <w:b/>
          <w:sz w:val="20"/>
        </w:rPr>
        <w:t xml:space="preserve">Form, Exchange and Transfer </w:t>
      </w:r>
    </w:p>
    <w:p>
      <w:pPr>
        <w:pStyle w:val="TextBody"/>
        <w:spacing w:before="90" w:after="0"/>
        <w:rPr>
          <w:rFonts w:ascii="Times New Roman" w:hAnsi="Times New Roman"/>
          <w:sz w:val="20"/>
        </w:rPr>
      </w:pPr>
      <w:r>
        <w:rPr>
          <w:rFonts w:ascii="Times New Roman" w:hAnsi="Times New Roman"/>
          <w:sz w:val="20"/>
        </w:rPr>
        <w:t xml:space="preserve">The Debt Securities of each series will be issuable only in fully registered form, without coupons, and, unless otherwise specified in the applicable prospectus supplement, only in denominations of $1,000 and integral multiples thereof (Section 302). </w:t>
      </w:r>
    </w:p>
    <w:p>
      <w:pPr>
        <w:pStyle w:val="TextBody"/>
        <w:spacing w:before="180" w:after="0"/>
        <w:rPr>
          <w:rFonts w:ascii="Times New Roman" w:hAnsi="Times New Roman"/>
          <w:sz w:val="20"/>
        </w:rPr>
      </w:pPr>
      <w:r>
        <w:rPr>
          <w:rFonts w:ascii="Times New Roman" w:hAnsi="Times New Roman"/>
          <w:sz w:val="20"/>
        </w:rPr>
        <w:t xml:space="preserve">At the option of the Holder, subject to the terms of the applicable Indenture and the limitations applicable to Global Securities, Debt Securities of each series will be exchangeable for other Debt Securities of the same series of any authorized denomination and of a like tenor and aggregate principal amount (Section 305). </w:t>
      </w:r>
    </w:p>
    <w:p>
      <w:pPr>
        <w:pStyle w:val="TextBody"/>
        <w:spacing w:before="180" w:after="0"/>
        <w:rPr>
          <w:rFonts w:ascii="Times New Roman" w:hAnsi="Times New Roman"/>
          <w:sz w:val="20"/>
        </w:rPr>
      </w:pPr>
      <w:r>
        <w:rPr>
          <w:rFonts w:ascii="Times New Roman" w:hAnsi="Times New Roman"/>
          <w:sz w:val="20"/>
        </w:rPr>
        <w:t xml:space="preserve">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other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other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(Section 305).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 </w:t>
      </w:r>
    </w:p>
    <w:p>
      <w:pPr>
        <w:pStyle w:val="TextBody"/>
        <w:spacing w:before="180" w:after="0"/>
        <w:rPr>
          <w:rFonts w:ascii="Times New Roman" w:hAnsi="Times New Roman"/>
          <w:sz w:val="20"/>
        </w:rPr>
      </w:pPr>
      <w:r>
        <w:rPr>
          <w:rFonts w:ascii="Times New Roman" w:hAnsi="Times New Roman"/>
          <w:sz w:val="20"/>
        </w:rPr>
        <w:t xml:space="preserve">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 (Section 305). </w:t>
      </w:r>
    </w:p>
    <w:p>
      <w:pPr>
        <w:pStyle w:val="TextBody"/>
        <w:spacing w:before="270" w:after="0"/>
        <w:rPr>
          <w:rFonts w:ascii="Times New Roman" w:hAnsi="Times New Roman"/>
          <w:b/>
          <w:sz w:val="20"/>
        </w:rPr>
      </w:pPr>
      <w:r>
        <w:rPr>
          <w:rFonts w:ascii="Times New Roman" w:hAnsi="Times New Roman"/>
          <w:b/>
          <w:sz w:val="20"/>
        </w:rPr>
        <w:t xml:space="preserve">Global Securities </w:t>
      </w:r>
    </w:p>
    <w:p>
      <w:pPr>
        <w:pStyle w:val="TextBody"/>
        <w:spacing w:before="90" w:after="0"/>
        <w:rPr>
          <w:rFonts w:ascii="Times New Roman" w:hAnsi="Times New Roman"/>
          <w:sz w:val="20"/>
        </w:rPr>
      </w:pPr>
      <w:r>
        <w:rPr>
          <w:rFonts w:ascii="Times New Roman" w:hAnsi="Times New Roman"/>
          <w:sz w:val="20"/>
        </w:rPr>
        <w:t xml:space="preserve">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Depositary has notified us that it is unwilling or unable to continue as Depositary for such Global Security or has ceased to be qualified to act as such as required by the applicable Indenture, and in either case we fail to appoint a successor Depositary within 90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Event of Default with respect to the Debt Securities represented by such Global Security has occurred and is continuing and the Trustee has received a written request from the Depositary to issue certificated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subject to the rules of the Depositary, we have elected to terminate the book-entry system through the Depositary;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circumstances exist, in addition to or in lieu of those described above, as may be described in the applicable prospectus supplement (Section 305). </w:t>
            </w:r>
          </w:p>
        </w:tc>
      </w:tr>
    </w:tbl>
    <w:p>
      <w:pPr>
        <w:pStyle w:val="TextBody"/>
        <w:spacing w:before="180" w:after="0"/>
        <w:rPr>
          <w:rFonts w:ascii="Times New Roman" w:hAnsi="Times New Roman"/>
          <w:sz w:val="20"/>
        </w:rPr>
      </w:pPr>
      <w:r>
        <w:rPr>
          <w:rFonts w:ascii="Times New Roman" w:hAnsi="Times New Roman"/>
          <w:sz w:val="20"/>
        </w:rPr>
        <w:t xml:space="preserve">All certificated Debt Securities issued in exchange for a Global Security or any portion thereof will be registered in such names as the Depositary may direct (Section 305). </w:t>
      </w:r>
    </w:p>
    <w:p>
      <w:pPr>
        <w:pStyle w:val="TextBody"/>
        <w:spacing w:before="180" w:after="0"/>
        <w:rPr>
          <w:rFonts w:ascii="Times New Roman" w:hAnsi="Times New Roman"/>
          <w:sz w:val="20"/>
        </w:rPr>
      </w:pPr>
      <w:r>
        <w:rPr>
          <w:rFonts w:ascii="Times New Roman" w:hAnsi="Times New Roman"/>
          <w:sz w:val="20"/>
        </w:rPr>
        <w:t xml:space="preserve">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(Section 308).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it represents for any purpose under the Debt Securities or the applicable Indenture. All payments on a Global Security will be made to the Depositary or its nominee, as the case may be, as the Holder of the security. The laws of some jurisdictions may require that some purchasers of Debt Securities take physical delivery of such Debt Securities in certificated form. These laws may impair the ability to transfer beneficial interests in a Global Security. </w:t>
      </w:r>
    </w:p>
    <w:p>
      <w:pPr>
        <w:pStyle w:val="TextBody"/>
        <w:spacing w:before="180" w:after="0"/>
        <w:rPr>
          <w:rFonts w:ascii="Times New Roman" w:hAnsi="Times New Roman"/>
          <w:sz w:val="20"/>
        </w:rPr>
      </w:pPr>
      <w:r>
        <w:rPr>
          <w:rFonts w:ascii="Times New Roman" w:hAnsi="Times New Roman"/>
          <w:sz w:val="20"/>
        </w:rPr>
        <w:t xml:space="preserve">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Subsidiary Guarantors, the Trustees, or the agents of us, the Subsidiary Guarantors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 </w:t>
      </w:r>
    </w:p>
    <w:p>
      <w:pPr>
        <w:pStyle w:val="TextBody"/>
        <w:spacing w:before="270" w:after="0"/>
        <w:rPr>
          <w:rFonts w:ascii="Times New Roman" w:hAnsi="Times New Roman"/>
          <w:b/>
          <w:sz w:val="20"/>
        </w:rPr>
      </w:pPr>
      <w:r>
        <w:rPr>
          <w:rFonts w:ascii="Times New Roman" w:hAnsi="Times New Roman"/>
          <w:b/>
          <w:sz w:val="20"/>
        </w:rPr>
        <w:t xml:space="preserve">Payment and Paying Agents </w:t>
      </w:r>
    </w:p>
    <w:p>
      <w:pPr>
        <w:pStyle w:val="TextBody"/>
        <w:spacing w:before="90" w:after="0"/>
        <w:rPr>
          <w:rFonts w:ascii="Times New Roman" w:hAnsi="Times New Roman"/>
          <w:sz w:val="20"/>
        </w:rPr>
      </w:pPr>
      <w:r>
        <w:rPr>
          <w:rFonts w:ascii="Times New Roman" w:hAnsi="Times New Roman"/>
          <w:sz w:val="20"/>
        </w:rPr>
        <w:t xml:space="preserve">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(Section 307).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New York, New York will be designated as sole Paying Agent for payments with respect to Senior Debt Securities of each series, and the corporate trust office of the Trustee under the Subordinated Indenture in New York,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 </w:t>
      </w:r>
    </w:p>
    <w:p>
      <w:pPr>
        <w:pStyle w:val="TextBody"/>
        <w:spacing w:before="180" w:after="0"/>
        <w:rPr>
          <w:rFonts w:ascii="Times New Roman" w:hAnsi="Times New Roman"/>
          <w:sz w:val="20"/>
        </w:rPr>
      </w:pPr>
      <w:r>
        <w:rPr>
          <w:rFonts w:ascii="Times New Roman" w:hAnsi="Times New Roman"/>
          <w:sz w:val="20"/>
        </w:rPr>
        <w:t xml:space="preserve">All money paid by us to a Paying Agent for the payment of the principal of or any premium or interest on any Debt Security which remains unclaimed at the end of two years after such principal, premium or interest has become due and payable will be repaid to us, and the Holder of such Debt Security thereafter may look only to us for payment (Section 1003). </w:t>
      </w:r>
    </w:p>
    <w:p>
      <w:pPr>
        <w:pStyle w:val="TextBody"/>
        <w:spacing w:before="270" w:after="0"/>
        <w:rPr>
          <w:rFonts w:ascii="Times New Roman" w:hAnsi="Times New Roman"/>
          <w:b/>
          <w:sz w:val="20"/>
        </w:rPr>
      </w:pPr>
      <w:r>
        <w:rPr>
          <w:rFonts w:ascii="Times New Roman" w:hAnsi="Times New Roman"/>
          <w:b/>
          <w:sz w:val="20"/>
        </w:rPr>
        <w:t xml:space="preserve">Consolidation, Merger and Sale of Assets </w:t>
      </w:r>
    </w:p>
    <w:p>
      <w:pPr>
        <w:pStyle w:val="TextBody"/>
        <w:spacing w:before="90" w:after="0"/>
        <w:rPr>
          <w:rFonts w:ascii="Times New Roman" w:hAnsi="Times New Roman"/>
          <w:sz w:val="20"/>
        </w:rPr>
      </w:pPr>
      <w:r>
        <w:rPr>
          <w:rFonts w:ascii="Times New Roman" w:hAnsi="Times New Roman"/>
          <w:sz w:val="20"/>
        </w:rPr>
        <w:t xml:space="preserve">Unless otherwise specified in the prospectus supplement, we may not consolidate with or merge into, or transfer, lease or otherwise dispose of all or substantially all of our assets to, any Person (a successor Person), and may not permit any Person to consolidate with or merge into us,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successor Person (if any) is a corporation, partnership, trust or other entity organized and validly existing under the laws of any domestic jurisdiction and assumes our obligations on the Debt Securities and under the Indentures;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before and after giving pro forma effect to the transaction, no Event of Default, and no event which, after notice or lapse of time or both, would become an Event of Default, has occurred and is continuing;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several other conditions, including any additional conditions with respect to any particular Debt Securities specified in the applicable prospectus supplement, are met (Section 801). </w:t>
            </w:r>
          </w:p>
        </w:tc>
      </w:tr>
    </w:tbl>
    <w:p>
      <w:pPr>
        <w:pStyle w:val="TextBody"/>
        <w:spacing w:before="180" w:after="0"/>
        <w:rPr>
          <w:rFonts w:ascii="Times New Roman" w:hAnsi="Times New Roman"/>
          <w:sz w:val="20"/>
        </w:rPr>
      </w:pPr>
      <w:r>
        <w:rPr>
          <w:rFonts w:ascii="Times New Roman" w:hAnsi="Times New Roman"/>
          <w:sz w:val="20"/>
        </w:rPr>
        <w:t xml:space="preserve">The successor Person (if not us) will be substituted for us under the applicable Indenture with the same effect as if it had been an original party to such Indenture, and, except in the case of a lease, we will be relieved from any further obligations under such Indenture and the Debt Securities (Section 803). </w:t>
      </w:r>
    </w:p>
    <w:p>
      <w:pPr>
        <w:pStyle w:val="TextBody"/>
        <w:spacing w:before="270" w:after="0"/>
        <w:rPr>
          <w:rFonts w:ascii="Times New Roman" w:hAnsi="Times New Roman"/>
          <w:b/>
          <w:sz w:val="20"/>
        </w:rPr>
      </w:pPr>
      <w:r>
        <w:rPr>
          <w:rFonts w:ascii="Times New Roman" w:hAnsi="Times New Roman"/>
          <w:b/>
          <w:sz w:val="20"/>
        </w:rPr>
        <w:t xml:space="preserve">Events of Default </w:t>
      </w:r>
    </w:p>
    <w:p>
      <w:pPr>
        <w:pStyle w:val="TextBody"/>
        <w:spacing w:before="90" w:after="0"/>
        <w:rPr>
          <w:rFonts w:ascii="Times New Roman" w:hAnsi="Times New Roman"/>
          <w:sz w:val="20"/>
        </w:rPr>
      </w:pPr>
      <w:r>
        <w:rPr>
          <w:rFonts w:ascii="Times New Roman" w:hAnsi="Times New Roman"/>
          <w:sz w:val="20"/>
        </w:rPr>
        <w:t xml:space="preserve">Unless otherwise specified in the prospectus supplement, each of the following will constitute an Event of Default under the applicable Indenture with respect to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principal of or any premium on any Debt Security of that series when due, whether or not, in the case of Subordinated Debt Securities, such payment is prohibited by the subordination provisions of the Subordinated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any interest on any Debt Securities of that series when due, continued for 30 days, whether or not, in the case of Subordinated Debt Securities, such payment is prohibited by the subordination provisions of the Subordinated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deposit any sinking fund payment, when due, in respect of any Debt Security of that series, whether or not, in the case of Subordinated Debt Securities, such deposit is prohibited by the subordination provisions of the Subordinated Indenture;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or comply with the provisions described under Description of Debt SecuritiesConsolidation, Merger and Sale of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of our other covenants in such Indenture (other than a covenant included in such Indenture solely for the benefit of a series other than that series), continued for 60 days after written notice has been given by the applicable Trustee, or the Holders of at least 25% in principal amount of the Outstanding Debt Securities of that series, as provided in such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Debt of ours, any Significant Subsidiary or, if a Subsidiary Guarantor has guaranteed the series, such Subsidiary Guarantor, is not paid within any applicable grace period after final maturity or is accelerated by its holders because of a default and the total amount of such Debt unpaid or accelerated exceeds $20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judgment or decree for the payment of money in excess of $20 million is entered against us, any Significant Subsidiary or, if a Subsidiary Guarantor has guaranteed the series, such Subsidiary Guarantor, remains outstanding for a period of 60 consecutive days following entry of such judgment and is not discharged, waived or stayed;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affecting us, any Significant Subsidiary or, if a Subsidiary Guarantor has guaranteed the series, such Subsidiary Guarantor;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any Subsidiary Guarantor has guaranteed such series, the Subsidiary Guarantee of any such Subsidiary Guarantor is held by a final non-appealable order or judgment of a court of competent jurisdiction to be unenforceable or invalid or ceases for any reason to be in full force and effect (other than in accordance with the terms of the applicable Indenture) or any Subsidiary Guarantor or any Person acting on behalf of any Subsidiary Guarantor denies or disaffirms such Subsidiary Guarantors obligations under its Subsidiary Guarantee (other than by reason of a release of such Subsidiary Guarantor from its Subsidiary Guarantee in accordance with the terms of the applicable Indenture) (Section 501). </w:t>
            </w:r>
          </w:p>
        </w:tc>
      </w:tr>
    </w:tbl>
    <w:p>
      <w:pPr>
        <w:pStyle w:val="TextBody"/>
        <w:spacing w:before="180" w:after="0"/>
        <w:rPr>
          <w:rFonts w:ascii="Times New Roman" w:hAnsi="Times New Roman"/>
          <w:sz w:val="20"/>
        </w:rPr>
      </w:pPr>
      <w:r>
        <w:rPr>
          <w:rFonts w:ascii="Times New Roman" w:hAnsi="Times New Roman"/>
          <w:sz w:val="20"/>
        </w:rPr>
        <w:t xml:space="preserve">If an Event of Default (other than an Event of Default with respect to EZCORP described in clause (8) 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Debt Security, such portion of the principal amount of such Debt Security as may be specified in the terms of such Debt Security) to be due and payable immediately, together with any accrued and unpaid interest thereon. If an Event of Default with respect to EZCORP described in clause (8)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together with any accrued and unpaid interest thereon. After any such acceleration, but before a judgment or decree based on acceleration, the Holders of a majority in principal amount of the Outstanding Debt Securities of that series may, under certain circumstances, rescind and annul such acceleration and its consequences if all Events of Default, other than the non-payment of accelerated principal (or other specified amount), have been cured or waived as provided in the applicable Indenture (Section 502). For information as to waiver of defaults, see Description of Debt SecuritiesModification and Waiver below. </w:t>
      </w:r>
    </w:p>
    <w:p>
      <w:pPr>
        <w:pStyle w:val="TextBody"/>
        <w:spacing w:before="180" w:after="0"/>
        <w:rPr>
          <w:rFonts w:ascii="Times New Roman" w:hAnsi="Times New Roman"/>
          <w:sz w:val="20"/>
        </w:rPr>
      </w:pPr>
      <w:r>
        <w:rPr>
          <w:rFonts w:ascii="Times New Roman" w:hAnsi="Times New Roman"/>
          <w:sz w:val="20"/>
        </w:rPr>
        <w:t xml:space="preserve">Subject to the provisions of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security or indemnity (Section 603). Subject to such provisions for the indemnification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No Holder of a Debt Security of any series will have any right to institute any proceeding with respect to the applicable Indenture, or for the appointment of a receiver or a trustee, or for any other remedy thereunder,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Holder has previously given to the Trustee under the applicable Indenture written notice of a continuing Event of Default with respect to the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Holders of at least 25% in principal amount of the Outstanding Debt Securities of that series have made written request, and such Holder or Holders have offered reasonable indemnity, to the Trustee to institute such proceeding as trustee;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Trustee has failed to institute such proceeding, and has not received from the Holders of a majority in principal amount of the Outstanding Debt Securities of that series a direction inconsistent with such request, within 60 days after such notice, request and offer (Section 507). </w:t>
            </w:r>
          </w:p>
        </w:tc>
      </w:tr>
    </w:tbl>
    <w:p>
      <w:pPr>
        <w:pStyle w:val="TextBody"/>
        <w:spacing w:before="180" w:after="0"/>
        <w:rPr>
          <w:rFonts w:ascii="Times New Roman" w:hAnsi="Times New Roman"/>
          <w:sz w:val="20"/>
        </w:rPr>
      </w:pPr>
      <w:r>
        <w:rPr>
          <w:rFonts w:ascii="Times New Roman" w:hAnsi="Times New Roman"/>
          <w:sz w:val="20"/>
        </w:rPr>
        <w:t xml:space="preserve">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 (Section 508). </w:t>
      </w:r>
    </w:p>
    <w:p>
      <w:pPr>
        <w:pStyle w:val="TextBody"/>
        <w:spacing w:before="180" w:after="0"/>
        <w:rPr>
          <w:rFonts w:ascii="Times New Roman" w:hAnsi="Times New Roman"/>
          <w:sz w:val="20"/>
        </w:rPr>
      </w:pPr>
      <w:r>
        <w:rPr>
          <w:rFonts w:ascii="Times New Roman" w:hAnsi="Times New Roman"/>
          <w:sz w:val="20"/>
        </w:rPr>
        <w:t xml:space="preserve">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 (Section 1004). </w:t>
      </w:r>
    </w:p>
    <w:p>
      <w:pPr>
        <w:pStyle w:val="TextBody"/>
        <w:spacing w:before="270" w:after="0"/>
        <w:rPr>
          <w:rFonts w:ascii="Times New Roman" w:hAnsi="Times New Roman"/>
          <w:b/>
          <w:sz w:val="20"/>
        </w:rPr>
      </w:pPr>
      <w:r>
        <w:rPr>
          <w:rFonts w:ascii="Times New Roman" w:hAnsi="Times New Roman"/>
          <w:b/>
          <w:sz w:val="20"/>
        </w:rPr>
        <w:t xml:space="preserve">Modification and Waiver </w:t>
      </w:r>
    </w:p>
    <w:p>
      <w:pPr>
        <w:pStyle w:val="TextBody"/>
        <w:spacing w:before="90" w:after="0"/>
        <w:rPr>
          <w:rFonts w:ascii="Times New Roman" w:hAnsi="Times New Roman"/>
          <w:sz w:val="20"/>
        </w:rPr>
      </w:pPr>
      <w:r>
        <w:rPr>
          <w:rFonts w:ascii="Times New Roman" w:hAnsi="Times New Roman"/>
          <w:sz w:val="20"/>
        </w:rPr>
        <w:t xml:space="preserve">We may modify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the succession under the Indenture of another Person to us or any Subsidiary Guarantor and to provide for its assumption of our or such Subsidiary Guarantors obligations to Holders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add any additional covenants of us or the Subsidiary Guarantors for the benefit of the Holders of Debt Securities or that do not adversely affect the rights under the Indenture of the Holders of Debt Securities in any material respect;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or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and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Subsidiary Guarantors;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Debt (Section 901). </w:t>
            </w:r>
          </w:p>
        </w:tc>
      </w:tr>
    </w:tbl>
    <w:p>
      <w:pPr>
        <w:pStyle w:val="TextBody"/>
        <w:spacing w:before="180" w:after="0"/>
        <w:rPr>
          <w:rFonts w:ascii="Times New Roman" w:hAnsi="Times New Roman"/>
          <w:sz w:val="20"/>
        </w:rPr>
      </w:pPr>
      <w:r>
        <w:rPr>
          <w:rFonts w:ascii="Times New Roman" w:hAnsi="Times New Roman"/>
          <w:sz w:val="20"/>
        </w:rPr>
        <w:t xml:space="preserve">Other modifications and amendments of an Indenture may be made by us, any Subsidiary Guarantors and the applicable Trustee only with the consent of the Holders of a majority in principal amount of the Outstanding Debt Securities of each series affected by such modification or amendment; provided, however, that no such modification or amendment may, without the consent of the Holder of each Outstanding Debt Security affected thereby: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 the Stated Maturity of the principal of, or any installment of principal of or interest on, any Debt Security;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or any premium or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amount of principal of an Original Issue Discount Security or any other Debt Security payable upon acceleration of the Maturity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 the place or currency of payment of principal of, or any premium or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impair the right to institute suit for the enforcement of any payment due on or any conversion right with respect to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modify the subordination provisions in the case of Subordinated Debt Securities, or modify any conversion provisions, in either case in a manner adverse to the Holders of the applicable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provided in the applicable Indenture, release the Subsidiary Guarantee of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percentage in principal amount of Outstanding Debt Securities of any series, the consent of whose Holders is required for modification or amendment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percentage in principal amount of Outstanding Debt Securities of any series necessary for waiver of compliance with certain provisions of the Indenture or for waiver of certain defaults;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modify such provisions with respect to modification, amendment or waiver;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following the making of an offer to purchase Debt Securities from any Holder that has been made pursuant to a covenant in such Indenture, modify such covenant in a manner adverse to such Holder (Section 902). </w:t>
            </w:r>
          </w:p>
        </w:tc>
      </w:tr>
    </w:tbl>
    <w:p>
      <w:pPr>
        <w:pStyle w:val="TextBody"/>
        <w:spacing w:before="180" w:after="0"/>
        <w:rPr>
          <w:rFonts w:ascii="Times New Roman" w:hAnsi="Times New Roman"/>
          <w:sz w:val="20"/>
        </w:rPr>
      </w:pPr>
      <w:r>
        <w:rPr>
          <w:rFonts w:ascii="Times New Roman" w:hAnsi="Times New Roman"/>
          <w:sz w:val="20"/>
        </w:rPr>
        <w:t xml:space="preserve">The Holders of a majority in principal amount of the Outstanding Debt Securities of any series may waive compliance by us with certain restrictive provisions of the applicable Indenture (Section 1009). The Holders of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 (Section 513). </w:t>
      </w:r>
    </w:p>
    <w:p>
      <w:pPr>
        <w:pStyle w:val="TextBody"/>
        <w:spacing w:before="180" w:after="0"/>
        <w:rPr>
          <w:rFonts w:ascii="Times New Roman" w:hAnsi="Times New Roman"/>
          <w:sz w:val="20"/>
        </w:rPr>
      </w:pPr>
      <w:r>
        <w:rPr>
          <w:rFonts w:ascii="Times New Roman" w:hAnsi="Times New Roman"/>
          <w:sz w:val="20"/>
        </w:rPr>
        <w:t xml:space="preserve">Each of the Indentures provides that in determining whether the Holders of the requisite principal amount of the Outstanding Debt Securities have given or taken any direction, notice, consent, waiver or other action under such Indenture as of any date: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principal amount of an Original Issue Discount Security that will be deemed to be Outstanding will be the amount of the principal that would be due and payable as of such date upon acceleration of maturity to such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Debt Securities, including those owned by us or any of our Affiliates, will not be deemed to be Outstanding (Section 101).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 (Section 104). </w:t>
      </w:r>
    </w:p>
    <w:p>
      <w:pPr>
        <w:pStyle w:val="TextBody"/>
        <w:spacing w:before="270" w:after="0"/>
        <w:rPr>
          <w:rFonts w:ascii="Times New Roman" w:hAnsi="Times New Roman"/>
          <w:b/>
          <w:sz w:val="20"/>
        </w:rPr>
      </w:pPr>
      <w:r>
        <w:rPr>
          <w:rFonts w:ascii="Times New Roman" w:hAnsi="Times New Roman"/>
          <w:b/>
          <w:sz w:val="20"/>
        </w:rPr>
        <w:t xml:space="preserve">Satisfaction and Discharge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paid or caused to be paid all other sums payable by us under the Indenture with respect to the Debt Securities of that series;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delivered an Officers Certificate and an Opinion of Counsel to the Trustee stating that all conditions precedent to satisfaction and discharge of the Indenture with respect to the Debt Securities of that series has been satisfied (Article Four). </w:t>
            </w:r>
          </w:p>
        </w:tc>
      </w:tr>
    </w:tbl>
    <w:p>
      <w:pPr>
        <w:pStyle w:val="TextBody"/>
        <w:spacing w:before="270" w:after="0"/>
        <w:rPr>
          <w:rFonts w:ascii="Times New Roman" w:hAnsi="Times New Roman"/>
          <w:b/>
          <w:sz w:val="20"/>
        </w:rPr>
      </w:pPr>
      <w:r>
        <w:rPr>
          <w:rFonts w:ascii="Times New Roman" w:hAnsi="Times New Roman"/>
          <w:b/>
          <w:sz w:val="20"/>
        </w:rPr>
        <w:t xml:space="preserve">Legal Defeasance and Covenant Defeasance </w:t>
      </w:r>
    </w:p>
    <w:p>
      <w:pPr>
        <w:pStyle w:val="TextBody"/>
        <w:spacing w:before="90" w:after="0"/>
        <w:rPr>
          <w:rFonts w:ascii="Times New Roman" w:hAnsi="Times New Roman"/>
          <w:sz w:val="20"/>
        </w:rPr>
      </w:pPr>
      <w:r>
        <w:rPr>
          <w:rFonts w:ascii="Times New Roman" w:hAnsi="Times New Roman"/>
          <w:sz w:val="20"/>
        </w:rPr>
        <w:t xml:space="preserve">If and to the extent indicated in the applicable prospectus supplement, we may elect, at our option at any time, to have the provisions of Section 1502, relating to defeasance and discharge of indebtedness, which we call legal defeasance, or Section 1503, relating to defeasance of certain restrictive covenants, applied to the Debt Securities of any series, or to any specified part of a series, which we call covenant defeasance (Section 1501). </w:t>
      </w:r>
    </w:p>
    <w:p>
      <w:pPr>
        <w:pStyle w:val="TextBody"/>
        <w:spacing w:before="180" w:after="0"/>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Indentures provide that, upon our exercise of our option (if any) to have Section 1502 applied to any Debt Securities, we and, if applicable, each Subsidiary Guarantor 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(in the opinion of a nationally recognized firm of independent public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accounts) to pay the principal of and any premium and interest on such Debt Securities on the respective Stated Maturities in accordance with the terms of the applicable Indenture and such Debt Securities. Such defeasance or discharge may occur only if, among other things: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Event of Default or event that with the passing of time or the giving of notice, or both, shall constitute an Event of Default shall have occurred and be continuing at the time of such deposit or, with respect to any Event of Default described in clause (8) under Events of Default, at any time until 121 days after such deposit;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deposit and legal defeasance will not result in a breach or violation of, or constitute a default under, any agreement or instrument (other than the applicable Indenture) to which we are a party or by which we are bound;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delivered to the Trustee an Opinion of Counsel to the effect that such deposit shall not cause the Trustee or the trust so created to be subject to the Investment Company Act of 1940 (Sections 1502 and 1504). </w:t>
            </w:r>
          </w:p>
        </w:tc>
      </w:tr>
    </w:tbl>
    <w:p>
      <w:pPr>
        <w:pStyle w:val="TextBody"/>
        <w:spacing w:before="180" w:after="0"/>
        <w:rPr>
          <w:rFonts w:ascii="Times New Roman" w:hAnsi="Times New Roman"/>
          <w:sz w:val="20"/>
        </w:rPr>
      </w:pPr>
      <w:r>
        <w:rPr>
          <w:rFonts w:ascii="Times New Roman" w:hAnsi="Times New Roman"/>
          <w:i/>
          <w:sz w:val="20"/>
        </w:rPr>
        <w:t>Covenant Defeasance</w:t>
      </w:r>
      <w:r>
        <w:rPr>
          <w:rFonts w:ascii="Times New Roman" w:hAnsi="Times New Roman"/>
          <w:sz w:val="20"/>
        </w:rPr>
        <w:t xml:space="preserve">. The Indentures provide that, upon our exercise of our option (if any) to have Section 1503 applied to any Debt Securities, we may omit to comply with certain restrictive covenants (but not to conversion, if applicable), including those that may be described in the applicable prospectus supplement, and the occurrence of certain Events of Default, which are described above in clause (5) (with respect to such restrictive covenants), clauses (6), (7) and (9) under Events of Default and any other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U.S. Government Obligations, or both, which, through the payment of principal and interest in respect thereof in accordance with their terms, will provide money in an amount sufficient (in the opinion of a nationally recognized firm of independent public accountants)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in the preceding paragraph are satisfied. If we exercise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1503 and 1504).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If we exercise either our legal defeasance or one covenant defeasance option, any Subsidiary Guarantee will terminate (Section 1304). </w:t>
      </w:r>
    </w:p>
    <w:p>
      <w:pPr>
        <w:pStyle w:val="TextBody"/>
        <w:spacing w:before="270" w:after="0"/>
        <w:rPr>
          <w:rFonts w:ascii="Times New Roman" w:hAnsi="Times New Roman"/>
          <w:b/>
          <w:sz w:val="20"/>
        </w:rPr>
      </w:pPr>
      <w:r>
        <w:rPr>
          <w:rFonts w:ascii="Times New Roman" w:hAnsi="Times New Roman"/>
          <w:b/>
          <w:sz w:val="20"/>
        </w:rPr>
        <w:t xml:space="preserve">Notices </w:t>
      </w:r>
    </w:p>
    <w:p>
      <w:pPr>
        <w:pStyle w:val="TextBody"/>
        <w:spacing w:before="90" w:after="0"/>
        <w:rPr>
          <w:rFonts w:ascii="Times New Roman" w:hAnsi="Times New Roman"/>
          <w:sz w:val="20"/>
        </w:rPr>
      </w:pPr>
      <w:r>
        <w:rPr>
          <w:rFonts w:ascii="Times New Roman" w:hAnsi="Times New Roman"/>
          <w:sz w:val="20"/>
        </w:rPr>
        <w:t xml:space="preserve">Notices to Holders of Debt Securities will be given by mail to the addresses of such Holders as they may appear in the Security Register (Sections 101 and 106). </w:t>
      </w:r>
    </w:p>
    <w:p>
      <w:pPr>
        <w:pStyle w:val="TextBody"/>
        <w:spacing w:before="270" w:after="0"/>
        <w:rPr>
          <w:rFonts w:ascii="Times New Roman" w:hAnsi="Times New Roman"/>
          <w:b/>
          <w:sz w:val="20"/>
        </w:rPr>
      </w:pPr>
      <w:r>
        <w:rPr>
          <w:rFonts w:ascii="Times New Roman" w:hAnsi="Times New Roman"/>
          <w:b/>
          <w:sz w:val="20"/>
        </w:rPr>
        <w:t xml:space="preserve">Title </w:t>
      </w:r>
    </w:p>
    <w:p>
      <w:pPr>
        <w:pStyle w:val="TextBody"/>
        <w:spacing w:before="90" w:after="0"/>
        <w:rPr>
          <w:rFonts w:ascii="Times New Roman" w:hAnsi="Times New Roman"/>
          <w:sz w:val="20"/>
        </w:rPr>
      </w:pPr>
      <w:r>
        <w:rPr>
          <w:rFonts w:ascii="Times New Roman" w:hAnsi="Times New Roman"/>
          <w:sz w:val="20"/>
        </w:rPr>
        <w:t xml:space="preserve">We, the Subsidiary Guarantors, the Trustees and any agent of us, the Subsidiary Guarantors or a Trustee may treat the Person in whose name a Debt Security is registered as the absolute owner of the Debt Security (whether or not such Debt Security may be overdue) for the purpose of making payment and for all other purposes (Section 308).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The Indentures and the Debt Securities will be governed by, and construed in accordance with, the law of the State of New York (Section 112).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The prospectus supplement relating to a particular series of debt securities will identify the Trustee with respect to such series. We or any Subsidiary Guarantor may maintain banking and other commercial relationships with the Trustee and its affiliates in the ordinary course of business, and the Trustee under either Indenture may own debt securities issued under that Indenture. </w:t>
      </w:r>
    </w:p>
    <w:p>
      <w:pPr>
        <w:pStyle w:val="TextBody"/>
        <w:spacing w:before="180" w:after="0"/>
        <w:rPr>
          <w:rFonts w:ascii="Times New Roman" w:hAnsi="Times New Roman"/>
          <w:sz w:val="20"/>
        </w:rPr>
      </w:pPr>
      <w:r>
        <w:rPr>
          <w:rFonts w:ascii="Times New Roman" w:hAnsi="Times New Roman"/>
          <w:i/>
          <w:sz w:val="20"/>
        </w:rPr>
        <w:t>Resignation or Removal of Trustee</w:t>
      </w:r>
      <w:r>
        <w:rPr>
          <w:rFonts w:ascii="Times New Roman" w:hAnsi="Times New Roman"/>
          <w:sz w:val="20"/>
        </w:rPr>
        <w:t xml:space="preserve">. If the Trustee under either Indenture has or acquires a conflicting interest within the meaning of the Trust Indenture Act of 1939, the Trustee must either eliminate its conflicting interest or resign, to the extent and in the manner provided by, and subject to the provisions of, the Trust Indenture Act and the Indenture (Section 608). Any resignation will require the appointment of a successor Trustee under the Indenture in accordance with the terms and conditions of such Indenture (Sections 610 and 611). </w:t>
      </w:r>
    </w:p>
    <w:p>
      <w:pPr>
        <w:pStyle w:val="TextBody"/>
        <w:spacing w:before="180" w:after="0"/>
        <w:rPr>
          <w:rFonts w:ascii="Times New Roman" w:hAnsi="Times New Roman"/>
          <w:sz w:val="20"/>
        </w:rPr>
      </w:pPr>
      <w:r>
        <w:rPr>
          <w:rFonts w:ascii="Times New Roman" w:hAnsi="Times New Roman"/>
          <w:sz w:val="20"/>
        </w:rPr>
        <w:t xml:space="preserve">A Trustee may resign or be removed by us with respect to one or more series of Debt Securities and a successor Trustee may be appointed to act with respect to any such series. The holders of a majority in principal amount of the Outstanding Debt Securities of any series may remove the Trustee with respect to the Debt Securities of such series (Section 610). </w:t>
      </w:r>
    </w:p>
    <w:p>
      <w:pPr>
        <w:pStyle w:val="TextBody"/>
        <w:spacing w:before="180" w:after="0"/>
        <w:rPr>
          <w:rFonts w:ascii="Times New Roman" w:hAnsi="Times New Roman"/>
          <w:sz w:val="20"/>
        </w:rPr>
      </w:pPr>
      <w:r>
        <w:rPr>
          <w:rFonts w:ascii="Times New Roman" w:hAnsi="Times New Roman"/>
          <w:i/>
          <w:sz w:val="20"/>
        </w:rPr>
        <w:t>Limitations on Trustee if It Is Our Creditor</w:t>
      </w:r>
      <w:r>
        <w:rPr>
          <w:rFonts w:ascii="Times New Roman" w:hAnsi="Times New Roman"/>
          <w:sz w:val="20"/>
        </w:rPr>
        <w:t xml:space="preserve">. Each Indenture contains certain limitations on the right of the Trustee, in the event that it becomes our creditor, to obtain payment of claims in certain cases, or to realize on certain property received in respect of any such claim as security or otherwise (Section 613). </w:t>
      </w:r>
    </w:p>
    <w:p>
      <w:pPr>
        <w:pStyle w:val="TextBody"/>
        <w:spacing w:before="180" w:after="0"/>
        <w:rPr>
          <w:rFonts w:ascii="Times New Roman" w:hAnsi="Times New Roman"/>
          <w:sz w:val="20"/>
        </w:rPr>
      </w:pPr>
      <w:r>
        <w:rPr>
          <w:rFonts w:ascii="Times New Roman" w:hAnsi="Times New Roman"/>
          <w:i/>
          <w:sz w:val="20"/>
        </w:rPr>
        <w:t>Certificates and Opinions to Be Furnished to Trustee</w:t>
      </w:r>
      <w:r>
        <w:rPr>
          <w:rFonts w:ascii="Times New Roman" w:hAnsi="Times New Roman"/>
          <w:sz w:val="20"/>
        </w:rPr>
        <w:t xml:space="preserve">. Each Indenture provides that, in addition to other certificates or opinions that may be specifically required by other provisions of the Indenture, every application by us for action by the Trustee must be accompanied by an Officers Certificate and an Opinion of Counsel stating that, in the opinion of the signers, all conditions precedent to such action have been complied with by us (Section 102).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x267319_11"/>
      <w:bookmarkEnd w:id="13"/>
      <w:r>
        <w:rPr>
          <w:rFonts w:ascii="Times New Roman" w:hAnsi="Times New Roman"/>
          <w:b/>
          <w:sz w:val="20"/>
        </w:rPr>
        <w:t xml:space="preserve">DESCRIPTION OF CAPITAL STOCK </w:t>
      </w:r>
    </w:p>
    <w:p>
      <w:pPr>
        <w:pStyle w:val="TextBody"/>
        <w:spacing w:before="27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following is a description of the principal characteristics of our Class A Non-Voting Common Stock based on the terms and provisions of our Amended Certificate of Incorporation and Amended Bylaws and the provisions of the Delaware General Corporation Act. </w:t>
      </w:r>
    </w:p>
    <w:p>
      <w:pPr>
        <w:pStyle w:val="TextBody"/>
        <w:spacing w:before="180" w:after="0"/>
        <w:rPr>
          <w:rFonts w:ascii="Times New Roman" w:hAnsi="Times New Roman"/>
          <w:sz w:val="20"/>
        </w:rPr>
      </w:pPr>
      <w:r>
        <w:rPr>
          <w:rFonts w:ascii="Times New Roman" w:hAnsi="Times New Roman"/>
          <w:i/>
          <w:sz w:val="20"/>
        </w:rPr>
        <w:t>Authorized and Outstanding Capital Stock</w:t>
      </w:r>
      <w:r>
        <w:rPr>
          <w:rFonts w:ascii="Times New Roman" w:hAnsi="Times New Roman"/>
          <w:sz w:val="20"/>
        </w:rPr>
        <w:t xml:space="preserve">We are authorized to issue 54,000,000 shares of Class A Non-Voting Common Stock, par value $0.01 per share, and 3,000,000 shares of Class B Voting Common Stock, par value $0.01 per share. As of December 31, 2011, there were 47,403,433 shares of Class A Non-Voting Common Stock and 2,970,171 shares of Class B Voting Common Stock issued and outstanding. </w:t>
      </w:r>
    </w:p>
    <w:p>
      <w:pPr>
        <w:pStyle w:val="TextBody"/>
        <w:spacing w:before="180" w:after="0"/>
        <w:rPr>
          <w:rFonts w:ascii="Times New Roman" w:hAnsi="Times New Roman"/>
          <w:sz w:val="20"/>
        </w:rPr>
      </w:pPr>
      <w:r>
        <w:rPr>
          <w:rFonts w:ascii="Times New Roman" w:hAnsi="Times New Roman"/>
          <w:sz w:val="20"/>
        </w:rPr>
        <w:t xml:space="preserve">Our Class A Non-Voting Common Stock is traded on The NASDAQ Global Select Market under the symbol EZPW. Shares of the Class B Voting Common Stock are not publicly traded, and all outstanding shares of Class B Voting Common Stock are held by a single stockholder, MS Pawn Limited Partnership, an entity controlled by Phillip E. Cohen. Each share of Class B Voting Common Stock is convertible, at the option of the holder, into a share of Class A Non-Voting Common Stock. </w:t>
      </w:r>
    </w:p>
    <w:p>
      <w:pPr>
        <w:pStyle w:val="TextBody"/>
        <w:spacing w:before="180" w:after="0"/>
        <w:rPr>
          <w:rFonts w:ascii="Times New Roman" w:hAnsi="Times New Roman"/>
          <w:sz w:val="20"/>
        </w:rPr>
      </w:pPr>
      <w:r>
        <w:rPr>
          <w:rFonts w:ascii="Times New Roman" w:hAnsi="Times New Roman"/>
          <w:i/>
          <w:sz w:val="20"/>
        </w:rPr>
        <w:t>Preemptive Rights</w:t>
      </w:r>
      <w:r>
        <w:rPr>
          <w:rFonts w:ascii="Times New Roman" w:hAnsi="Times New Roman"/>
          <w:sz w:val="20"/>
        </w:rPr>
        <w:t xml:space="preserve">Holders of Class A Non-Voting Common Stock have no preemptive rights to maintain their percentage of ownership in future offerings or sales of shares of Class A Non-Voting Common Stock. </w:t>
      </w:r>
    </w:p>
    <w:p>
      <w:pPr>
        <w:pStyle w:val="TextBody"/>
        <w:spacing w:before="180" w:after="0"/>
        <w:rPr>
          <w:rFonts w:ascii="Times New Roman" w:hAnsi="Times New Roman"/>
          <w:sz w:val="20"/>
        </w:rPr>
      </w:pPr>
      <w:r>
        <w:rPr>
          <w:rFonts w:ascii="Times New Roman" w:hAnsi="Times New Roman"/>
          <w:i/>
          <w:sz w:val="20"/>
        </w:rPr>
        <w:t>Voting Rights</w:t>
      </w:r>
      <w:r>
        <w:rPr>
          <w:rFonts w:ascii="Times New Roman" w:hAnsi="Times New Roman"/>
          <w:sz w:val="20"/>
        </w:rPr>
        <w:t xml:space="preserve">Under the terms of our Certificate of Incorporation, the shares of Class A Non-Voting Common Stock have no voting rights. All of the voting rights are assigned to the Class B Voting Common Stock. Consequently, as a holder of Class A Non-Voting Common Stock, you will not have any right to elect directors or to vote on any other matter that requires a vote of the Companys stockholders. Upon conversion of all of the outstanding Class B Voting Common Stock into Class A Non-Voting Common Stock, the holders of Class A Non-Voting Common Stock will be entitled to vote upon all matters submitted to a vote of the Companys stockholders and will be entitled to one vote per share of Class A Non-Voting Common Stock held. </w:t>
      </w:r>
    </w:p>
    <w:p>
      <w:pPr>
        <w:pStyle w:val="TextBody"/>
        <w:spacing w:before="180" w:after="0"/>
        <w:rPr>
          <w:rFonts w:ascii="Times New Roman" w:hAnsi="Times New Roman"/>
          <w:sz w:val="20"/>
        </w:rPr>
      </w:pPr>
      <w:r>
        <w:rPr>
          <w:rFonts w:ascii="Times New Roman" w:hAnsi="Times New Roman"/>
          <w:i/>
          <w:sz w:val="20"/>
        </w:rPr>
        <w:t>Stockholder Meetings</w:t>
      </w:r>
      <w:r>
        <w:rPr>
          <w:rFonts w:ascii="Times New Roman" w:hAnsi="Times New Roman"/>
          <w:sz w:val="20"/>
        </w:rPr>
        <w:t xml:space="preserve">Even though the Class A Non-Voting Common Stock has no voting rights, the Company holds an annual meeting of stockholders. All holders of Class A Non-Voting Common Stock receive notice of the annual meetings of stockholders, where they are given the opportunity to discuss with management the Companys performance and plans. </w:t>
      </w:r>
    </w:p>
    <w:p>
      <w:pPr>
        <w:pStyle w:val="TextBody"/>
        <w:spacing w:before="180" w:after="0"/>
        <w:rPr>
          <w:rFonts w:ascii="Times New Roman" w:hAnsi="Times New Roman"/>
          <w:sz w:val="20"/>
        </w:rPr>
      </w:pPr>
      <w:r>
        <w:rPr>
          <w:rFonts w:ascii="Times New Roman" w:hAnsi="Times New Roman"/>
          <w:i/>
          <w:sz w:val="20"/>
        </w:rPr>
        <w:t>Fully Paid</w:t>
      </w:r>
      <w:r>
        <w:rPr>
          <w:rFonts w:ascii="Times New Roman" w:hAnsi="Times New Roman"/>
          <w:sz w:val="20"/>
        </w:rPr>
        <w:t xml:space="preserve">All outstanding shares of Class A Non-Voting Common Stock are fully paid and non-assessable. Any additional Class A Non-Voting Common Stock we offer under this prospectus and issue will also be fully paid and non-assessable. </w:t>
      </w:r>
    </w:p>
    <w:p>
      <w:pPr>
        <w:pStyle w:val="TextBody"/>
        <w:spacing w:before="180" w:after="0"/>
        <w:rPr>
          <w:rFonts w:ascii="Times New Roman" w:hAnsi="Times New Roman"/>
          <w:sz w:val="20"/>
        </w:rPr>
      </w:pPr>
      <w:r>
        <w:rPr>
          <w:rFonts w:ascii="Times New Roman" w:hAnsi="Times New Roman"/>
          <w:i/>
          <w:sz w:val="20"/>
        </w:rPr>
        <w:t>Dividends</w:t>
      </w:r>
      <w:r>
        <w:rPr>
          <w:rFonts w:ascii="Times New Roman" w:hAnsi="Times New Roman"/>
          <w:sz w:val="20"/>
        </w:rPr>
        <w:t xml:space="preserve">Under our Amended Certificate of Incorporation, all shares of our common stock, whether Class A Non-Voting Common Stock or Class B Voting Common Stock, share dividends pro rata, if, as and when declared by the Board of Directors out of funds legally available therefor. Our Board of Directors has not declared or paid any cash dividends on our common stock since our fiscal year ended September 30, 2000, and we do not anticipate paying any cash dividends in the immediate future. Any future determination to pay cash dividends will be at the discretion of our Board of Directors. </w:t>
      </w:r>
    </w:p>
    <w:p>
      <w:pPr>
        <w:pStyle w:val="TextBody"/>
        <w:spacing w:before="180" w:after="0"/>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Upon liquidation, dissolution or winding up of our affairs, the holders of the Class A Non-Voting Common Stock and the holders of the Class B Voting Common Stock will be entitled to participate equally and ratably, in proportion to the number of shares held, in our net assets available for distribution to holders of common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Limitation on Directors Liability </w:t>
      </w:r>
    </w:p>
    <w:p>
      <w:pPr>
        <w:pStyle w:val="TextBody"/>
        <w:spacing w:before="90" w:after="0"/>
        <w:rPr>
          <w:rFonts w:ascii="Times New Roman" w:hAnsi="Times New Roman"/>
          <w:sz w:val="20"/>
        </w:rPr>
      </w:pPr>
      <w:r>
        <w:rPr>
          <w:rFonts w:ascii="Times New Roman" w:hAnsi="Times New Roman"/>
          <w:sz w:val="20"/>
        </w:rPr>
        <w:t xml:space="preserve">Our Amended Certificate of Incorporation provides, as authorized by Section 102(b)(7) of the Delaware General Corporation Law, that a director will not be personally liable to us or our stockholders for monetary damages for breach of fiduciary duty as a director, except for liability: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any breach of the directors duty of loyalty to us or our stockholders;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acts or omissions not in good faith or that involve intentional misconduct or a knowing violation of law;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unlawful payments of dividends or unlawful stock repurchases or redemptions as provided in Section 174 of the Delaware General Corporation Law;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any transaction from which the director derived an improper personal benefit. </w:t>
            </w:r>
          </w:p>
        </w:tc>
      </w:tr>
    </w:tbl>
    <w:p>
      <w:pPr>
        <w:pStyle w:val="TextBody"/>
        <w:spacing w:before="180" w:after="0"/>
        <w:rPr>
          <w:rFonts w:ascii="Times New Roman" w:hAnsi="Times New Roman"/>
          <w:sz w:val="20"/>
        </w:rPr>
      </w:pPr>
      <w:r>
        <w:rPr>
          <w:rFonts w:ascii="Times New Roman" w:hAnsi="Times New Roman"/>
          <w:sz w:val="20"/>
        </w:rPr>
        <w:t xml:space="preserve">The inclusion of this provision in our Amended Certificate of Incorporation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us and our stockholders. </w:t>
      </w:r>
    </w:p>
    <w:p>
      <w:pPr>
        <w:pStyle w:val="TextBody"/>
        <w:spacing w:before="270" w:after="0"/>
        <w:rPr>
          <w:rFonts w:ascii="Times New Roman" w:hAnsi="Times New Roman"/>
          <w:b/>
          <w:sz w:val="20"/>
        </w:rPr>
      </w:pPr>
      <w:r>
        <w:rPr>
          <w:rFonts w:ascii="Times New Roman" w:hAnsi="Times New Roman"/>
          <w:b/>
          <w:sz w:val="20"/>
        </w:rPr>
        <w:t xml:space="preserve">Transfer Agent and Registrar </w:t>
      </w:r>
    </w:p>
    <w:p>
      <w:pPr>
        <w:pStyle w:val="TextBody"/>
        <w:spacing w:before="90" w:after="0"/>
        <w:rPr>
          <w:rFonts w:ascii="Times New Roman" w:hAnsi="Times New Roman"/>
          <w:sz w:val="20"/>
        </w:rPr>
      </w:pPr>
      <w:r>
        <w:rPr>
          <w:rFonts w:ascii="Times New Roman" w:hAnsi="Times New Roman"/>
          <w:sz w:val="20"/>
        </w:rPr>
        <w:t xml:space="preserve">American Stock Transfer &amp; Trust Company serves as the registrar and transfer agent for the Class A Non-Voting Common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x267319_12"/>
      <w:bookmarkEnd w:id="14"/>
      <w:r>
        <w:rPr>
          <w:rFonts w:ascii="Times New Roman" w:hAnsi="Times New Roman"/>
          <w:b/>
          <w:sz w:val="20"/>
        </w:rPr>
        <w:t xml:space="preserve">DESCRIPTION OF WARRANTS </w:t>
      </w:r>
    </w:p>
    <w:p>
      <w:pPr>
        <w:pStyle w:val="TextBody"/>
        <w:spacing w:before="27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We may issue warrants for the purchase of our debt securities or Class A Non-Voting Common Stock. 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 A copy of the warrant agreement will be filed with the SEC in connection with the offering of warrants. </w:t>
      </w:r>
    </w:p>
    <w:p>
      <w:pPr>
        <w:pStyle w:val="TextBody"/>
        <w:spacing w:before="270" w:after="0"/>
        <w:rPr>
          <w:rFonts w:ascii="Times New Roman" w:hAnsi="Times New Roman"/>
          <w:b/>
          <w:sz w:val="20"/>
        </w:rPr>
      </w:pPr>
      <w:r>
        <w:rPr>
          <w:rFonts w:ascii="Times New Roman" w:hAnsi="Times New Roman"/>
          <w:b/>
          <w:sz w:val="20"/>
        </w:rPr>
        <w:t xml:space="preserve">Debt Warrants </w:t>
      </w:r>
    </w:p>
    <w:p>
      <w:pPr>
        <w:pStyle w:val="TextBody"/>
        <w:spacing w:before="90" w:after="0"/>
        <w:rPr>
          <w:rFonts w:ascii="Times New Roman" w:hAnsi="Times New Roman"/>
          <w:sz w:val="20"/>
        </w:rPr>
      </w:pPr>
      <w:r>
        <w:rPr>
          <w:rFonts w:ascii="Times New Roman" w:hAnsi="Times New Roman"/>
          <w:sz w:val="20"/>
        </w:rPr>
        <w:t xml:space="preserve">The prospectus supplement relating to a particular issue of warrants to purchase debt securities will describe the terms of those warrants, including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warrants;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aggregate number of the warrants;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designation and terms of the debt securities that may be purchased upon exercise of the warrants;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applicable, the designation and terms of the debt securities that the warrants are issued with and the number of warrants issued with each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applicable, the date from and after which the warrants and any debt securities issued with them will be separately transferable;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principal amount of debt securities that may be purchased upon exercise of a warrant and the price at which the debt securities may be purchased upon exercise;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warrants represented by the warrant certificates or the debt securities that may be issued upon exercise of the warrants will be issued in registered or bearer form;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relating to book-entry procedures,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anti-dilution provisions of the warrants,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redemption or call provisions, if any, applicable to the warrants;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we think is important about the warrants. </w:t>
            </w:r>
          </w:p>
        </w:tc>
      </w:tr>
    </w:tbl>
    <w:p>
      <w:pPr>
        <w:pStyle w:val="TextBody"/>
        <w:spacing w:before="270" w:after="0"/>
        <w:rPr>
          <w:rFonts w:ascii="Times New Roman" w:hAnsi="Times New Roman"/>
          <w:b/>
          <w:sz w:val="20"/>
        </w:rPr>
      </w:pPr>
      <w:r>
        <w:rPr>
          <w:rFonts w:ascii="Times New Roman" w:hAnsi="Times New Roman"/>
          <w:b/>
          <w:sz w:val="20"/>
        </w:rPr>
        <w:t xml:space="preserve">Class A Non-Voting Common Stock Warrants </w:t>
      </w:r>
    </w:p>
    <w:p>
      <w:pPr>
        <w:pStyle w:val="TextBody"/>
        <w:spacing w:before="90" w:after="0"/>
        <w:rPr>
          <w:rFonts w:ascii="Times New Roman" w:hAnsi="Times New Roman"/>
          <w:sz w:val="20"/>
        </w:rPr>
      </w:pPr>
      <w:r>
        <w:rPr>
          <w:rFonts w:ascii="Times New Roman" w:hAnsi="Times New Roman"/>
          <w:sz w:val="20"/>
        </w:rPr>
        <w:t xml:space="preserve">The prospectus supplement relating to a particular issue of warrants to purchase our Class A Non-Voting Common Stock will describe the terms of the Class A Non-Voting Common Stock warrants, including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warrants;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aggregate number of the warrants;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designation and terms of the Class A Non-Voting Common Stock that may be purchased upon exercise of the warrants;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applicable, the designation and terms of the securities that the warrants are issued with and the number of warrants issued with each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number of shares of Class A Non-Voting Common Stock that may be purchased upon exercise of a warrant and the price at which the shares may be purchased upon exercise;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right to exercise the warrants commence and expire;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anti-dilution provisions of the warrants,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redemption or call provisions, if any, applicable to the warrants;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we think is important about the warrants. </w:t>
            </w:r>
          </w:p>
        </w:tc>
      </w:tr>
    </w:tbl>
    <w:p>
      <w:pPr>
        <w:pStyle w:val="TextBody"/>
        <w:spacing w:before="270" w:after="0"/>
        <w:rPr>
          <w:rFonts w:ascii="Times New Roman" w:hAnsi="Times New Roman"/>
          <w:b/>
          <w:sz w:val="20"/>
        </w:rPr>
      </w:pPr>
      <w:r>
        <w:rPr>
          <w:rFonts w:ascii="Times New Roman" w:hAnsi="Times New Roman"/>
          <w:b/>
          <w:sz w:val="20"/>
        </w:rPr>
        <w:t xml:space="preserve">Exercise of Warrants </w:t>
      </w:r>
    </w:p>
    <w:p>
      <w:pPr>
        <w:pStyle w:val="TextBody"/>
        <w:spacing w:before="90" w:after="0"/>
        <w:rPr>
          <w:rFonts w:ascii="Times New Roman" w:hAnsi="Times New Roman"/>
          <w:sz w:val="20"/>
        </w:rPr>
      </w:pPr>
      <w:r>
        <w:rPr>
          <w:rFonts w:ascii="Times New Roman" w:hAnsi="Times New Roman"/>
          <w:sz w:val="20"/>
        </w:rPr>
        <w:t xml:space="preserve">Each warrant will entitle the holder of the warrant to purchase at the exercise price set forth in the applicable prospectus supplement the principal amount of debt securities or shares of Class A Non-Voting Common Stock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 </w:t>
      </w:r>
    </w:p>
    <w:p>
      <w:pPr>
        <w:pStyle w:val="TextBody"/>
        <w:spacing w:before="180" w:after="0"/>
        <w:rPr>
          <w:rFonts w:ascii="Times New Roman" w:hAnsi="Times New Roman"/>
          <w:sz w:val="20"/>
        </w:rPr>
      </w:pPr>
      <w:r>
        <w:rPr>
          <w:rFonts w:ascii="Times New Roman" w:hAnsi="Times New Roman"/>
          <w:sz w:val="20"/>
        </w:rPr>
        <w:t xml:space="preserve">Until a warrant holder exercises such holders warrants to purchase our debt securities or Class A Non-Voting Common Stock, the holder will not have any rights as a holder of our debt securities or Class A Non-Voting Common Stock, as the case may be, by virtue of the holders ownership of warrants.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x267319_13"/>
      <w:bookmarkEnd w:id="15"/>
      <w:r>
        <w:rPr>
          <w:rFonts w:ascii="Times New Roman" w:hAnsi="Times New Roman"/>
          <w:b/>
          <w:sz w:val="20"/>
        </w:rPr>
        <w:t xml:space="preserve">DESCRIPTION OF STOCK PURCHASE CONTRACTS AND STOCK PURCHASE UNITS </w:t>
      </w:r>
    </w:p>
    <w:p>
      <w:pPr>
        <w:pStyle w:val="TextBody"/>
        <w:spacing w:before="180" w:after="0"/>
        <w:rPr>
          <w:rFonts w:ascii="Times New Roman" w:hAnsi="Times New Roman"/>
          <w:sz w:val="20"/>
        </w:rPr>
      </w:pPr>
      <w:r>
        <w:rPr>
          <w:rFonts w:ascii="Times New Roman" w:hAnsi="Times New Roman"/>
          <w:sz w:val="20"/>
        </w:rPr>
        <w:t xml:space="preserve">We may issue stock purchase contracts, including contracts obligating holders to purchase from us and contracts obligating us to sell to the holders, a specified number of shares of Class A Non-Voting Common Stock or other securities at a future date or dates, which we refer to in this prospectus as stock purchase contracts. The price per share of the securities and the number of shares of the securities may be fixed at the time the stock purchase contracts are issued or may be determined by reference to a specific formula set forth in the stock purchase contracts. The stock purchase contracts may be issued separately or as part of units consisting of a stock purchase contract and debt securities, warrants or other securities or debt obligations of third parties, including U.S. treasury securities, securing the holders obligations to purchase the securities under the stock purchase contracts, which we refer to in this prospectus as stock purchase units. The stock purchase contracts may require holders to secure their obligations under the stock purchase contracts in a specified manner. The stock purchase contracts also may require us to make periodic payments to the holders of the stock purchase units or vice versa, and those payments may be unsecured or refunded on some basis. </w:t>
      </w:r>
    </w:p>
    <w:p>
      <w:pPr>
        <w:pStyle w:val="TextBody"/>
        <w:spacing w:before="180" w:after="0"/>
        <w:rPr>
          <w:rFonts w:ascii="Times New Roman" w:hAnsi="Times New Roman"/>
          <w:sz w:val="20"/>
        </w:rPr>
      </w:pPr>
      <w:r>
        <w:rPr>
          <w:rFonts w:ascii="Times New Roman" w:hAnsi="Times New Roman"/>
          <w:sz w:val="20"/>
        </w:rPr>
        <w:t xml:space="preserve">The stock purchase contracts, and, if applicable, collateral or depositary arrangements, relating to the stock purchase contracts or stock purchase units, will be filed with the SEC in connection with the offering of stock purchase contracts or stock purchase units. The prospectus supplement relating to a particular issue of stock purchase contracts or stock purchase units will describe the terms of those stock purchase contracts or stock purchase units, including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applicable, a discussion of material U.S. federal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we think important about the stock purchase contracts or the stock purchase units.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x267319_14"/>
      <w:bookmarkEnd w:id="16"/>
      <w:r>
        <w:rPr>
          <w:rFonts w:ascii="Times New Roman" w:hAnsi="Times New Roman"/>
          <w:b/>
          <w:sz w:val="20"/>
        </w:rPr>
        <w:t xml:space="preserve">PLAN OF DISTRIBUTION </w:t>
      </w:r>
    </w:p>
    <w:p>
      <w:pPr>
        <w:pStyle w:val="TextBody"/>
        <w:spacing w:before="180" w:after="0"/>
        <w:rPr>
          <w:rFonts w:ascii="Times New Roman" w:hAnsi="Times New Roman"/>
          <w:sz w:val="20"/>
        </w:rPr>
      </w:pPr>
      <w:r>
        <w:rPr>
          <w:rFonts w:ascii="Times New Roman" w:hAnsi="Times New Roman"/>
          <w:sz w:val="20"/>
        </w:rPr>
        <w:t xml:space="preserve">We may sell or distribute the securities offered by this prospectus in one or more of the following ways: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underwriters or dealers;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agents;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directly to purchasers;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at the market offerings to or through a market maker or into an existing trading market, or a securities exchange or otherwise;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 transaction not involving market makers or established trading markets, including direct sales or privately negotiated transactions;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spacing w:before="180" w:after="0"/>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at market prices prevailing at the time of sale, at prices related to the prevailing market prices or at negotiated prices. </w:t>
      </w:r>
    </w:p>
    <w:p>
      <w:pPr>
        <w:pStyle w:val="TextBody"/>
        <w:spacing w:before="180" w:after="0"/>
        <w:rPr>
          <w:rFonts w:ascii="Times New Roman" w:hAnsi="Times New Roman"/>
          <w:sz w:val="20"/>
        </w:rPr>
      </w:pPr>
      <w:r>
        <w:rPr>
          <w:rFonts w:ascii="Times New Roman" w:hAnsi="Times New Roman"/>
          <w:sz w:val="20"/>
        </w:rPr>
        <w:t xml:space="preserve">In addition, we may sell some or all of the securities included in this prospectus through: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block trade in which a broker-dealer will attempt to sell as agent, but may position or resell a portion of the block, as principal, in order to facilitate the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ordinary brokerage transactions and transactions in which a broker solicits purchasers;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privately negotiated transactions. </w:t>
            </w:r>
          </w:p>
        </w:tc>
      </w:tr>
    </w:tbl>
    <w:p>
      <w:pPr>
        <w:pStyle w:val="TextBody"/>
        <w:spacing w:before="180" w:after="0"/>
        <w:rPr>
          <w:rFonts w:ascii="Times New Roman" w:hAnsi="Times New Roman"/>
          <w:sz w:val="20"/>
        </w:rPr>
      </w:pPr>
      <w:r>
        <w:rPr>
          <w:rFonts w:ascii="Times New Roman" w:hAnsi="Times New Roman"/>
          <w:sz w:val="20"/>
        </w:rPr>
        <w:t xml:space="preserve">In addition, we may enter into option or other types of transactions that require us to deliver common shares to a broker-dealer, who will then resell or transfer the common shares under this prospectus. We may enter into hedging transactions with respect to our securities. For example, we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enter into transactions involving short sales of the common shares by broker-dealers;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sell common shares short and redeliver the shares to close out short positions;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enter into option or other types of transactions that require us to deliver common shares to a broker-dealer, who will then resell or transfer the common shares under this prospectus;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loan or pledge the common shares to a broker-dealer, who may sell the loaned shares or, in the event of default, sell the pledged shares. </w:t>
            </w:r>
          </w:p>
        </w:tc>
      </w:tr>
    </w:tbl>
    <w:p>
      <w:pPr>
        <w:pStyle w:val="TextBody"/>
        <w:spacing w:before="180" w:after="0"/>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There is currently no market for any of the securities included in this prospectus, other than the shares of Class A Non-Voting Common Stock listed on The NASDAQ Global Select Market. If the securities are traded after their initial issuance, they may trade at a discount from their initial offering price, depending on prevailing interest rates, the market for similar securities and other factors. While it is possible that an underwriter could inform us that it intends to make a market in the securities, such underwriter would not be obligated to do so, and any such market making could be discontinued at any time without notice. Therefore, we cannot assure you as to whether an active trading market will develop for these other securities. We have no current plans for listing any such other securities on any securities exchange. Any such listing with respect to any particular of such other securities will be described in the applicable prospectus supplement. </w:t>
      </w:r>
    </w:p>
    <w:p>
      <w:pPr>
        <w:pStyle w:val="TextBody"/>
        <w:spacing w:before="180" w:after="0"/>
        <w:rPr>
          <w:rFonts w:ascii="Times New Roman" w:hAnsi="Times New Roman"/>
          <w:sz w:val="20"/>
        </w:rPr>
      </w:pPr>
      <w:r>
        <w:rPr>
          <w:rFonts w:ascii="Times New Roman" w:hAnsi="Times New Roman"/>
          <w:sz w:val="20"/>
        </w:rPr>
        <w:t xml:space="preserve">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 </w:t>
      </w:r>
    </w:p>
    <w:p>
      <w:pPr>
        <w:pStyle w:val="TextBody"/>
        <w:spacing w:before="180" w:after="0"/>
        <w:rPr>
          <w:rFonts w:ascii="Times New Roman" w:hAnsi="Times New Roman"/>
          <w:sz w:val="20"/>
        </w:rPr>
      </w:pPr>
      <w:r>
        <w:rPr>
          <w:rFonts w:ascii="Times New Roman" w:hAnsi="Times New Roman"/>
          <w:sz w:val="20"/>
        </w:rPr>
        <w:t xml:space="preserve">At the time that any particular offering of securities is made, to the extent required by the Securities Act, a prospectus supplement will be distributed setting forth the terms of the offering, including the aggregate number of securities being offered, the purchase price of the securities, the initial offering price of the securities, the names of any underwriters, dealers or agents, any discounts, commissions and other items constituting compensation from us and any discounts, commissions or concessions allowed or reallowed or paid to dealers. </w:t>
      </w:r>
    </w:p>
    <w:p>
      <w:pPr>
        <w:pStyle w:val="TextBody"/>
        <w:spacing w:before="180" w:after="0"/>
        <w:rPr>
          <w:rFonts w:ascii="Times New Roman" w:hAnsi="Times New Roman"/>
          <w:sz w:val="20"/>
        </w:rPr>
      </w:pPr>
      <w:r>
        <w:rPr>
          <w:rFonts w:ascii="Times New Roman" w:hAnsi="Times New Roman"/>
          <w:sz w:val="20"/>
        </w:rPr>
        <w:t xml:space="preserve">If underwriters are used in the sale, the underwriters will acquire the securities for their own account for resale to the public, either on a firm commitment basis or a best efforts basis. The underwriters may resell the securities from time-to-time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The underwriters may change from time-to-time any initial public offering price and any discounts, commissions or concessions allowed or reallowed or paid to dealers. </w:t>
      </w:r>
    </w:p>
    <w:p>
      <w:pPr>
        <w:pStyle w:val="TextBody"/>
        <w:spacing w:before="180" w:after="0"/>
        <w:rPr>
          <w:rFonts w:ascii="Times New Roman" w:hAnsi="Times New Roman"/>
          <w:sz w:val="20"/>
        </w:rPr>
      </w:pPr>
      <w:r>
        <w:rPr>
          <w:rFonts w:ascii="Times New Roman" w:hAnsi="Times New Roman"/>
          <w:sz w:val="20"/>
        </w:rPr>
        <w:t xml:space="preserve">We may also sell the securities through agents designated from time-to-time.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 </w:t>
      </w:r>
    </w:p>
    <w:p>
      <w:pPr>
        <w:pStyle w:val="TextBody"/>
        <w:spacing w:before="180" w:after="0"/>
        <w:rPr>
          <w:rFonts w:ascii="Times New Roman" w:hAnsi="Times New Roman"/>
          <w:sz w:val="20"/>
        </w:rPr>
      </w:pPr>
      <w:r>
        <w:rPr>
          <w:rFonts w:ascii="Times New Roman" w:hAnsi="Times New Roman"/>
          <w:sz w:val="20"/>
        </w:rPr>
        <w:t xml:space="preserve">If dealers are used in the sale of securities, we will sell the securities to them as principals. The dealers may then resell those securities to the public at varying prices determined by the dealers at the time of resale. We will include in the prospectus supplement the names of the dealers and the terms of the transaction. </w:t>
      </w:r>
    </w:p>
    <w:p>
      <w:pPr>
        <w:pStyle w:val="TextBody"/>
        <w:spacing w:before="180" w:after="0"/>
        <w:rPr>
          <w:rFonts w:ascii="Times New Roman" w:hAnsi="Times New Roman"/>
          <w:sz w:val="20"/>
        </w:rPr>
      </w:pPr>
      <w:r>
        <w:rPr>
          <w:rFonts w:ascii="Times New Roman" w:hAnsi="Times New Roman"/>
          <w:sz w:val="20"/>
        </w:rPr>
        <w:t xml:space="preserve">Securities may also be sold directly by us. In this case, no underwriters or agents would be involved. </w:t>
      </w:r>
    </w:p>
    <w:p>
      <w:pPr>
        <w:pStyle w:val="TextBody"/>
        <w:spacing w:before="180" w:after="0"/>
        <w:rPr>
          <w:rFonts w:ascii="Times New Roman" w:hAnsi="Times New Roman"/>
          <w:sz w:val="20"/>
        </w:rPr>
      </w:pPr>
      <w:r>
        <w:rPr>
          <w:rFonts w:ascii="Times New Roman" w:hAnsi="Times New Roman"/>
          <w:sz w:val="20"/>
        </w:rPr>
        <w:t xml:space="preserve">If a prospectus supplement so indicates, underwriters, brokers or dealers, in compliance with applicable law, may engage in transactions that stabilize, maintain or otherwise affect the market price of the securities at levels above those that might otherwise prevail in the open market. </w:t>
      </w:r>
    </w:p>
    <w:p>
      <w:pPr>
        <w:pStyle w:val="TextBody"/>
        <w:spacing w:before="180" w:after="0"/>
        <w:rPr>
          <w:rFonts w:ascii="Times New Roman" w:hAnsi="Times New Roman"/>
          <w:sz w:val="20"/>
        </w:rPr>
      </w:pPr>
      <w:r>
        <w:rPr>
          <w:rFonts w:ascii="Times New Roman" w:hAnsi="Times New Roman"/>
          <w:sz w:val="20"/>
        </w:rPr>
        <w:t xml:space="preserve">We will bear costs relating to all of the securities being registered under this Registration Statement of which this prospectus forms a part. </w:t>
      </w:r>
    </w:p>
    <w:p>
      <w:pPr>
        <w:pStyle w:val="TextBody"/>
        <w:spacing w:before="180" w:after="0"/>
        <w:rPr>
          <w:rFonts w:ascii="Times New Roman" w:hAnsi="Times New Roman"/>
          <w:sz w:val="20"/>
        </w:rPr>
      </w:pPr>
      <w:r>
        <w:rPr>
          <w:rFonts w:ascii="Times New Roman" w:hAnsi="Times New Roman"/>
          <w:sz w:val="20"/>
        </w:rPr>
        <w:t xml:space="preserve">Any broker-dealers or other persons acting on our behalf that participate with us in the distribution of the shares may be deemed to be underwriters and any commissions received or profit realized by them on the resale of the shares may be deemed to be underwriting discounts and commissions under the Securities Act. As of the date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this prospectus, we are not a party to any agreement, arrangement or understanding between any broker or dealer and us with respect to the offer or sale of the securities pursuant to this prospectus. </w:t>
      </w:r>
    </w:p>
    <w:p>
      <w:pPr>
        <w:pStyle w:val="TextBody"/>
        <w:spacing w:before="180" w:after="0"/>
        <w:rPr>
          <w:rFonts w:ascii="Times New Roman" w:hAnsi="Times New Roman"/>
          <w:sz w:val="20"/>
        </w:rPr>
      </w:pPr>
      <w:r>
        <w:rPr>
          <w:rFonts w:ascii="Times New Roman" w:hAnsi="Times New Roman"/>
          <w:sz w:val="20"/>
        </w:rPr>
        <w:t xml:space="preserve">Pursuant to a requirement by the Financial Industry Regulatory Authority (the FINRA), the maximum commission or discount to be received by any FINRA member or independent broker/dealer may not be greater than 8% of the gross proceeds received by us for the sale of any securities being registered pursuant to SEC Rule 415 under the Securities Act. </w:t>
      </w:r>
    </w:p>
    <w:p>
      <w:pPr>
        <w:pStyle w:val="TextBody"/>
        <w:spacing w:before="180" w:after="0"/>
        <w:rPr>
          <w:rFonts w:ascii="Times New Roman" w:hAnsi="Times New Roman"/>
          <w:sz w:val="20"/>
        </w:rPr>
      </w:pPr>
      <w:r>
        <w:rPr>
          <w:rFonts w:ascii="Times New Roman" w:hAnsi="Times New Roman"/>
          <w:sz w:val="20"/>
        </w:rPr>
        <w:t xml:space="preserve">If more than 5% of the net proceeds of any offering of securities made under this prospectus will be received by a FINRA member participating in the offering or its affiliates or associated persons of such FINRA member, the offering will be conducted in accordance with FINRA Conduct Rule 5110(h).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x267319_15"/>
      <w:bookmarkEnd w:id="17"/>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Except as set forth in the applicable prospectus supplement, Vinson &amp; Elkins L.L.P., Austin, Texas, will pass upon the validity of our debt securities, Class A Non-Voting Common Stock, warrants, stock purchase contracts, stock purchase units and guarantees of debt securities. </w:t>
      </w:r>
    </w:p>
    <w:p>
      <w:pPr>
        <w:pStyle w:val="TextBody"/>
        <w:spacing w:before="360" w:after="0"/>
        <w:jc w:val="center"/>
        <w:rPr>
          <w:rFonts w:ascii="Times New Roman" w:hAnsi="Times New Roman"/>
          <w:b/>
          <w:sz w:val="20"/>
        </w:rPr>
      </w:pPr>
      <w:bookmarkStart w:id="18" w:name="tx267319_16"/>
      <w:bookmarkEnd w:id="18"/>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consolidated financial statements of EZCORP, Inc. as of September 30, 2011 and 2010, and for each of the three years in the period ended September 30, 2011, and the effectiveness of our internal control over financial reporting as of September 30, 2011, have been audited by BDO USA, LLP, independent registered public accounting firm, as set forth in their reports included in our Annual Report on Form 10-K for the year ended September 30, 2011 and incorporated herein by reference. Such consolidated financial statements are incorporated herein by reference in reliance upon such reports given on the authority of such firm as experts in accounting and auditing.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9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spacing w:before="180" w:after="0"/>
        <w:rPr>
          <w:rFonts w:ascii="Times New Roman" w:hAnsi="Times New Roman"/>
          <w:b/>
          <w:sz w:val="20"/>
        </w:rPr>
      </w:pPr>
      <w:r>
        <w:rPr>
          <w:rFonts w:ascii="Times New Roman" w:hAnsi="Times New Roman"/>
          <w:b/>
          <w:sz w:val="20"/>
        </w:rPr>
        <w:t xml:space="preserve">Item 14Other Expenses of Issuance and Distribution </w:t>
      </w:r>
    </w:p>
    <w:p>
      <w:pPr>
        <w:pStyle w:val="TextBody"/>
        <w:spacing w:before="90" w:after="0"/>
        <w:rPr>
          <w:rFonts w:ascii="Times New Roman" w:hAnsi="Times New Roman"/>
          <w:sz w:val="20"/>
        </w:rPr>
      </w:pPr>
      <w:r>
        <w:rPr>
          <w:rFonts w:ascii="Times New Roman" w:hAnsi="Times New Roman"/>
          <w:sz w:val="20"/>
        </w:rPr>
        <w:t xml:space="preserve">The following are the estimated expenses of the issuance and distribution of the securities being registered, other than selling or underwriting discounts and commissions, all of which are payable by EZCORP, Inc. (the Company).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6032"/>
        <w:gridCol w:w="536"/>
        <w:gridCol w:w="125"/>
        <w:gridCol w:w="125"/>
        <w:gridCol w:w="121"/>
      </w:tblGrid>
      <w:tr>
        <w:trPr/>
        <w:tc>
          <w:tcPr>
            <w:tcW w:w="6032"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6032" w:type="dxa"/>
            <w:tcBorders/>
            <w:shd w:fill="CCEEFF" w:val="clear"/>
          </w:tcPr>
          <w:p>
            <w:pPr>
              <w:pStyle w:val="TableContents"/>
              <w:spacing w:before="0" w:after="283"/>
              <w:rPr>
                <w:rFonts w:ascii="Times New Roman" w:hAnsi="Times New Roman"/>
                <w:sz w:val="20"/>
              </w:rPr>
            </w:pPr>
            <w:r>
              <w:rPr>
                <w:rFonts w:ascii="Times New Roman" w:hAnsi="Times New Roman"/>
                <w:sz w:val="20"/>
              </w:rPr>
              <w:t>Registration fee</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rPr/>
            </w:pPr>
            <w:r>
              <w:rPr/>
              <w:t>  </w:t>
            </w:r>
          </w:p>
        </w:tc>
      </w:tr>
      <w:tr>
        <w:trPr/>
        <w:tc>
          <w:tcPr>
            <w:tcW w:w="6032" w:type="dxa"/>
            <w:tcBorders/>
            <w:shd w:fill="auto" w:val="clear"/>
          </w:tcPr>
          <w:p>
            <w:pPr>
              <w:pStyle w:val="TableContents"/>
              <w:spacing w:before="0" w:after="283"/>
              <w:rPr>
                <w:rFonts w:ascii="Times New Roman" w:hAnsi="Times New Roman"/>
                <w:sz w:val="20"/>
              </w:rPr>
            </w:pPr>
            <w:r>
              <w:rPr>
                <w:rFonts w:ascii="Times New Roman" w:hAnsi="Times New Roman"/>
                <w:sz w:val="20"/>
              </w:rPr>
              <w:t>Accountants fees and expenses</w:t>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vAlign w:val="bottom"/>
          </w:tcPr>
          <w:p>
            <w:pPr>
              <w:pStyle w:val="TableContents"/>
              <w:spacing w:before="0" w:after="283"/>
              <w:rPr/>
            </w:pPr>
            <w:r>
              <w:rPr/>
              <w:t>  </w:t>
            </w:r>
          </w:p>
        </w:tc>
      </w:tr>
      <w:tr>
        <w:trPr/>
        <w:tc>
          <w:tcPr>
            <w:tcW w:w="6032" w:type="dxa"/>
            <w:tcBorders/>
            <w:shd w:fill="CCEEFF" w:val="clear"/>
          </w:tcPr>
          <w:p>
            <w:pPr>
              <w:pStyle w:val="TableContents"/>
              <w:spacing w:before="0" w:after="283"/>
              <w:rPr>
                <w:rFonts w:ascii="Times New Roman" w:hAnsi="Times New Roman"/>
                <w:sz w:val="20"/>
              </w:rPr>
            </w:pPr>
            <w:r>
              <w:rPr>
                <w:rFonts w:ascii="Times New Roman" w:hAnsi="Times New Roman"/>
                <w:sz w:val="20"/>
              </w:rPr>
              <w:t>Printing expenses</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rPr/>
            </w:pPr>
            <w:r>
              <w:rPr/>
              <w:t>  </w:t>
            </w:r>
          </w:p>
        </w:tc>
      </w:tr>
      <w:tr>
        <w:trPr/>
        <w:tc>
          <w:tcPr>
            <w:tcW w:w="6032" w:type="dxa"/>
            <w:tcBorders/>
            <w:shd w:fill="auto" w:val="clear"/>
          </w:tcPr>
          <w:p>
            <w:pPr>
              <w:pStyle w:val="TableContents"/>
              <w:spacing w:before="0" w:after="283"/>
              <w:rPr>
                <w:rFonts w:ascii="Times New Roman" w:hAnsi="Times New Roman"/>
                <w:sz w:val="20"/>
              </w:rPr>
            </w:pPr>
            <w:r>
              <w:rPr>
                <w:rFonts w:ascii="Times New Roman" w:hAnsi="Times New Roman"/>
                <w:sz w:val="20"/>
              </w:rPr>
              <w:t>Legal fees and expenses</w:t>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vAlign w:val="bottom"/>
          </w:tcPr>
          <w:p>
            <w:pPr>
              <w:pStyle w:val="TableContents"/>
              <w:spacing w:before="0" w:after="283"/>
              <w:rPr/>
            </w:pPr>
            <w:r>
              <w:rPr/>
              <w:t>  </w:t>
            </w:r>
          </w:p>
        </w:tc>
      </w:tr>
      <w:tr>
        <w:trPr/>
        <w:tc>
          <w:tcPr>
            <w:tcW w:w="6032" w:type="dxa"/>
            <w:tcBorders/>
            <w:shd w:fill="CCEEFF" w:val="clear"/>
          </w:tcPr>
          <w:p>
            <w:pPr>
              <w:pStyle w:val="TableContents"/>
              <w:spacing w:before="0" w:after="283"/>
              <w:rPr>
                <w:rFonts w:ascii="Times New Roman" w:hAnsi="Times New Roman"/>
                <w:sz w:val="20"/>
              </w:rPr>
            </w:pPr>
            <w:r>
              <w:rPr>
                <w:rFonts w:ascii="Times New Roman" w:hAnsi="Times New Roman"/>
                <w:sz w:val="20"/>
              </w:rPr>
              <w:t>Trustee fees and expenses</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rPr/>
            </w:pPr>
            <w:r>
              <w:rPr/>
              <w:t>  </w:t>
            </w:r>
          </w:p>
        </w:tc>
      </w:tr>
      <w:tr>
        <w:trPr/>
        <w:tc>
          <w:tcPr>
            <w:tcW w:w="6032" w:type="dxa"/>
            <w:tcBorders/>
            <w:shd w:fill="auto" w:val="clear"/>
          </w:tcPr>
          <w:p>
            <w:pPr>
              <w:pStyle w:val="TableContents"/>
              <w:spacing w:before="0" w:after="283"/>
              <w:rPr>
                <w:rFonts w:ascii="Times New Roman" w:hAnsi="Times New Roman"/>
                <w:sz w:val="20"/>
              </w:rPr>
            </w:pPr>
            <w:r>
              <w:rPr>
                <w:rFonts w:ascii="Times New Roman" w:hAnsi="Times New Roman"/>
                <w:sz w:val="20"/>
              </w:rPr>
              <w:t>Miscellaneous</w:t>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vAlign w:val="bottom"/>
          </w:tcPr>
          <w:p>
            <w:pPr>
              <w:pStyle w:val="TableContents"/>
              <w:spacing w:before="0" w:after="283"/>
              <w:rPr/>
            </w:pPr>
            <w:r>
              <w:rPr/>
              <w:t>  </w:t>
            </w:r>
          </w:p>
        </w:tc>
      </w:tr>
      <w:tr>
        <w:trPr/>
        <w:tc>
          <w:tcPr>
            <w:tcW w:w="6032" w:type="dxa"/>
            <w:tcBorders/>
            <w:shd w:fill="auto" w:val="clear"/>
            <w:vAlign w:val="bottom"/>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21" w:type="dxa"/>
            <w:tcBorders/>
            <w:shd w:fill="auto" w:val="clear"/>
            <w:vAlign w:val="center"/>
          </w:tcPr>
          <w:p>
            <w:pPr>
              <w:pStyle w:val="TableContents"/>
              <w:spacing w:before="0" w:after="283"/>
              <w:rPr/>
            </w:pPr>
            <w:r>
              <w:rPr/>
              <w:t> </w:t>
            </w:r>
          </w:p>
        </w:tc>
      </w:tr>
      <w:tr>
        <w:trPr/>
        <w:tc>
          <w:tcPr>
            <w:tcW w:w="6032"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rPr/>
            </w:pPr>
            <w:r>
              <w:rPr/>
              <w:t>  </w:t>
            </w:r>
          </w:p>
        </w:tc>
      </w:tr>
      <w:tr>
        <w:trPr/>
        <w:tc>
          <w:tcPr>
            <w:tcW w:w="6032" w:type="dxa"/>
            <w:tcBorders/>
            <w:shd w:fill="auto" w:val="clear"/>
            <w:vAlign w:val="bottom"/>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121"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Deferred in reliance upon Rules 456(b) and 457(r) under the Securities Act of 1933 and not estimable at this time.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estimate of the aggregate expenses in connection with the sale and distribution of the securities being offered will be included in the applicable prospectus supplement. </w:t>
            </w:r>
          </w:p>
        </w:tc>
      </w:tr>
    </w:tbl>
    <w:p>
      <w:pPr>
        <w:pStyle w:val="TextBody"/>
        <w:spacing w:before="270" w:after="0"/>
        <w:rPr>
          <w:rFonts w:ascii="Times New Roman" w:hAnsi="Times New Roman"/>
          <w:b/>
          <w:sz w:val="20"/>
        </w:rPr>
      </w:pPr>
      <w:r>
        <w:rPr>
          <w:rFonts w:ascii="Times New Roman" w:hAnsi="Times New Roman"/>
          <w:b/>
          <w:sz w:val="20"/>
        </w:rPr>
        <w:t xml:space="preserve">Item 15Indemnification of Directors and Officers </w:t>
      </w:r>
    </w:p>
    <w:p>
      <w:pPr>
        <w:pStyle w:val="TextBody"/>
        <w:spacing w:before="90" w:after="0"/>
        <w:rPr>
          <w:rFonts w:ascii="Times New Roman" w:hAnsi="Times New Roman"/>
          <w:b/>
          <w:sz w:val="20"/>
        </w:rPr>
      </w:pPr>
      <w:r>
        <w:rPr>
          <w:rFonts w:ascii="Times New Roman" w:hAnsi="Times New Roman"/>
          <w:b/>
          <w:sz w:val="20"/>
        </w:rPr>
        <w:t xml:space="preserve">EZCORP, Inc. </w:t>
      </w:r>
    </w:p>
    <w:p>
      <w:pPr>
        <w:pStyle w:val="TextBody"/>
        <w:spacing w:before="90" w:after="0"/>
        <w:rPr>
          <w:rFonts w:ascii="Times New Roman" w:hAnsi="Times New Roman"/>
          <w:b/>
          <w:i/>
          <w:sz w:val="20"/>
        </w:rPr>
      </w:pPr>
      <w:r>
        <w:rPr>
          <w:rFonts w:ascii="Times New Roman" w:hAnsi="Times New Roman"/>
          <w:b/>
          <w:i/>
          <w:sz w:val="20"/>
        </w:rPr>
        <w:t>Amended Certificate of Incorporation</w:t>
      </w:r>
    </w:p>
    <w:p>
      <w:pPr>
        <w:pStyle w:val="TextBody"/>
        <w:spacing w:before="90" w:after="0"/>
        <w:rPr>
          <w:rFonts w:ascii="Times New Roman" w:hAnsi="Times New Roman"/>
          <w:sz w:val="20"/>
        </w:rPr>
      </w:pPr>
      <w:r>
        <w:rPr>
          <w:rFonts w:ascii="Times New Roman" w:hAnsi="Times New Roman"/>
          <w:sz w:val="20"/>
        </w:rPr>
        <w:t xml:space="preserve">Article Eighth of the Companys Amended Certificate of Incorporation provides that the Company shall indemnify its present or former directors and officers, and may indemnify any employee or agent of the Company, to the fullest extent permitted under the Delaware General Corporation Law (the DGCL). </w:t>
      </w:r>
    </w:p>
    <w:p>
      <w:pPr>
        <w:pStyle w:val="TextBody"/>
        <w:spacing w:before="270" w:after="0"/>
        <w:rPr>
          <w:rFonts w:ascii="Times New Roman" w:hAnsi="Times New Roman"/>
          <w:b/>
          <w:i/>
          <w:sz w:val="20"/>
        </w:rPr>
      </w:pPr>
      <w:r>
        <w:rPr>
          <w:rFonts w:ascii="Times New Roman" w:hAnsi="Times New Roman"/>
          <w:b/>
          <w:i/>
          <w:sz w:val="20"/>
        </w:rPr>
        <w:t xml:space="preserve">Delaware General Corporation Law </w:t>
      </w:r>
    </w:p>
    <w:p>
      <w:pPr>
        <w:pStyle w:val="TextBody"/>
        <w:spacing w:before="90" w:after="0"/>
        <w:rPr>
          <w:rFonts w:ascii="Times New Roman" w:hAnsi="Times New Roman"/>
          <w:sz w:val="20"/>
        </w:rPr>
      </w:pPr>
      <w:r>
        <w:rPr>
          <w:rFonts w:ascii="Times New Roman" w:hAnsi="Times New Roman"/>
          <w:sz w:val="20"/>
        </w:rPr>
        <w:t xml:space="preserve">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he acted in good faith and in a manner the person reasonably believed to be in or not opposed to the best interests of the corporation and, with respect to any criminal action or proceeding, had no reasonable cause to believe the persons conduct was unlawful. </w:t>
      </w:r>
    </w:p>
    <w:p>
      <w:pPr>
        <w:pStyle w:val="TextBody"/>
        <w:spacing w:before="180" w:after="0"/>
        <w:rPr>
          <w:rFonts w:ascii="Times New Roman" w:hAnsi="Times New Roman"/>
          <w:sz w:val="20"/>
        </w:rPr>
      </w:pPr>
      <w:r>
        <w:rPr>
          <w:rFonts w:ascii="Times New Roman" w:hAnsi="Times New Roman"/>
          <w:sz w:val="20"/>
        </w:rPr>
        <w:t xml:space="preserve">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the action or suit if the person acted in good faith and in a manner the person reasonably believed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the action or suit was brought shall determine upon application that, despite the adjudication of liability but in view of all the circumstances of the case, the person is fairly and reasonably entitled to indemnity for the expenses which the Delaware Court of Chancery or such other court shall deem proper. </w:t>
      </w:r>
    </w:p>
    <w:p>
      <w:pPr>
        <w:pStyle w:val="TextBody"/>
        <w:spacing w:before="180" w:after="0"/>
        <w:rPr>
          <w:rFonts w:ascii="Times New Roman" w:hAnsi="Times New Roman"/>
          <w:sz w:val="20"/>
        </w:rPr>
      </w:pPr>
      <w:r>
        <w:rPr>
          <w:rFonts w:ascii="Times New Roman" w:hAnsi="Times New Roman"/>
          <w:sz w:val="20"/>
        </w:rPr>
        <w:t xml:space="preserve">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the person shall be indemnified against expenses (including attorneys fees) actually and reasonably incurred by the person in connection therewith. </w:t>
      </w:r>
    </w:p>
    <w:p>
      <w:pPr>
        <w:pStyle w:val="TextBody"/>
        <w:spacing w:before="180" w:after="0"/>
        <w:rPr>
          <w:rFonts w:ascii="Times New Roman" w:hAnsi="Times New Roman"/>
          <w:sz w:val="20"/>
        </w:rPr>
      </w:pPr>
      <w:r>
        <w:rPr>
          <w:rFonts w:ascii="Times New Roman" w:hAnsi="Times New Roman"/>
          <w:sz w:val="20"/>
        </w:rPr>
        <w:t xml:space="preserve">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Section 145(a) and (b). The determination shall be made, with respect to a person who is a director or officer of the corporation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 </w:t>
      </w:r>
    </w:p>
    <w:p>
      <w:pPr>
        <w:pStyle w:val="TextBody"/>
        <w:spacing w:before="180" w:after="0"/>
        <w:rPr>
          <w:rFonts w:ascii="Times New Roman" w:hAnsi="Times New Roman"/>
          <w:sz w:val="20"/>
        </w:rPr>
      </w:pPr>
      <w:r>
        <w:rPr>
          <w:rFonts w:ascii="Times New Roman" w:hAnsi="Times New Roman"/>
          <w:sz w:val="20"/>
        </w:rPr>
        <w:t xml:space="preserve">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the director or officer to repay such amount if it shall ultimately be determined that the person is not entitled to be indemnified by the corporation as authorized in Section 145. The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those terms and conditions, if any, as the corporation deems appropriate. </w:t>
      </w:r>
    </w:p>
    <w:p>
      <w:pPr>
        <w:pStyle w:val="TextBody"/>
        <w:spacing w:before="180" w:after="0"/>
        <w:rPr>
          <w:rFonts w:ascii="Times New Roman" w:hAnsi="Times New Roman"/>
          <w:sz w:val="20"/>
        </w:rPr>
      </w:pPr>
      <w:r>
        <w:rPr>
          <w:rFonts w:ascii="Times New Roman" w:hAnsi="Times New Roman"/>
          <w:sz w:val="20"/>
        </w:rPr>
        <w:t xml:space="preserve">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w:t>
      </w:r>
    </w:p>
    <w:p>
      <w:pPr>
        <w:pStyle w:val="TextBody"/>
        <w:spacing w:before="180" w:after="0"/>
        <w:rPr>
          <w:rFonts w:ascii="Times New Roman" w:hAnsi="Times New Roman"/>
          <w:sz w:val="20"/>
        </w:rPr>
      </w:pPr>
      <w:r>
        <w:rPr>
          <w:rFonts w:ascii="Times New Roman" w:hAnsi="Times New Roman"/>
          <w:sz w:val="20"/>
        </w:rPr>
        <w:t xml:space="preserve">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the persons status as such, whether or not the corporation would have the power to indemnify the person against such liability under Section 145. The Company maintains directors and officers liability insurance. </w:t>
      </w:r>
    </w:p>
    <w:p>
      <w:pPr>
        <w:pStyle w:val="TextBody"/>
        <w:spacing w:before="180" w:after="0"/>
        <w:rPr>
          <w:rFonts w:ascii="Times New Roman" w:hAnsi="Times New Roman"/>
          <w:sz w:val="20"/>
        </w:rPr>
      </w:pPr>
      <w:r>
        <w:rPr>
          <w:rFonts w:ascii="Times New Roman" w:hAnsi="Times New Roman"/>
          <w:sz w:val="20"/>
        </w:rPr>
        <w:t xml:space="preserve">Section 145(j) of the DGCL provides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SUBSIDIARY GUARANTORS </w:t>
      </w:r>
    </w:p>
    <w:p>
      <w:pPr>
        <w:pStyle w:val="TextBody"/>
        <w:spacing w:before="90" w:after="0"/>
        <w:rPr>
          <w:rFonts w:ascii="Times New Roman" w:hAnsi="Times New Roman"/>
          <w:b/>
          <w:i/>
          <w:sz w:val="20"/>
        </w:rPr>
      </w:pPr>
      <w:r>
        <w:rPr>
          <w:rFonts w:ascii="Times New Roman" w:hAnsi="Times New Roman"/>
          <w:b/>
          <w:i/>
          <w:sz w:val="20"/>
        </w:rPr>
        <w:t xml:space="preserve">Delaware Corporations </w:t>
      </w:r>
    </w:p>
    <w:p>
      <w:pPr>
        <w:pStyle w:val="TextBody"/>
        <w:spacing w:before="90" w:after="0"/>
        <w:rPr>
          <w:rFonts w:ascii="Times New Roman" w:hAnsi="Times New Roman"/>
          <w:sz w:val="20"/>
        </w:rPr>
      </w:pPr>
      <w:r>
        <w:rPr>
          <w:rFonts w:ascii="Times New Roman" w:hAnsi="Times New Roman"/>
          <w:sz w:val="20"/>
        </w:rPr>
        <w:t xml:space="preserve">Pursuant to its respective certificate of incorporation or bylaws or otherwise, each Subsidiary Guarantor that is a Delaware corporation shall indemnify its present or former directors and officers, and may indemnify any employee, to the fullest extent permitted under the DGCL. For a description of the applicable provisions of Section 145 of the DGCL, see EZCORP, Inc.Delaware General Corporation Law in this Item 15 above. </w:t>
      </w:r>
    </w:p>
    <w:p>
      <w:pPr>
        <w:pStyle w:val="TextBody"/>
        <w:spacing w:before="270" w:after="0"/>
        <w:rPr>
          <w:rFonts w:ascii="Times New Roman" w:hAnsi="Times New Roman"/>
          <w:b/>
          <w:i/>
          <w:sz w:val="20"/>
        </w:rPr>
      </w:pPr>
      <w:r>
        <w:rPr>
          <w:rFonts w:ascii="Times New Roman" w:hAnsi="Times New Roman"/>
          <w:b/>
          <w:i/>
          <w:sz w:val="20"/>
        </w:rPr>
        <w:t xml:space="preserve">Other Corporations </w:t>
      </w:r>
    </w:p>
    <w:p>
      <w:pPr>
        <w:pStyle w:val="TextBody"/>
        <w:spacing w:before="90" w:after="0"/>
        <w:rPr>
          <w:rFonts w:ascii="Times New Roman" w:hAnsi="Times New Roman"/>
          <w:sz w:val="20"/>
        </w:rPr>
      </w:pPr>
      <w:r>
        <w:rPr>
          <w:rFonts w:ascii="Times New Roman" w:hAnsi="Times New Roman"/>
          <w:sz w:val="20"/>
        </w:rPr>
        <w:t xml:space="preserve">The organizational documents of each Subsidiary Guarantor that is a Florida, Colorado or Texas corporation provides that the corporation shall indemnify its officers and directors to the fullest extent permitted or authorized by applicable law. The respective indemnification provisions of the Florida Business Corporation Act, the Colorado Business Corporation Act and the Texas Business Corporation Act are substantially similar to the provisions of Section 145 of the DGCL discussed under EZCORP, Inc.Delaware General Corporation Law of this Item 15 above. </w:t>
      </w:r>
    </w:p>
    <w:p>
      <w:pPr>
        <w:pStyle w:val="TextBody"/>
        <w:spacing w:before="270" w:after="0"/>
        <w:rPr>
          <w:rFonts w:ascii="Times New Roman" w:hAnsi="Times New Roman"/>
          <w:b/>
          <w:i/>
          <w:sz w:val="20"/>
        </w:rPr>
      </w:pPr>
      <w:r>
        <w:rPr>
          <w:rFonts w:ascii="Times New Roman" w:hAnsi="Times New Roman"/>
          <w:b/>
          <w:i/>
          <w:sz w:val="20"/>
        </w:rPr>
        <w:t xml:space="preserve">Limited Liability Companies </w:t>
      </w:r>
    </w:p>
    <w:p>
      <w:pPr>
        <w:pStyle w:val="TextBody"/>
        <w:spacing w:before="90" w:after="0"/>
        <w:rPr>
          <w:rFonts w:ascii="Times New Roman" w:hAnsi="Times New Roman"/>
          <w:sz w:val="20"/>
        </w:rPr>
      </w:pPr>
      <w:r>
        <w:rPr>
          <w:rFonts w:ascii="Times New Roman" w:hAnsi="Times New Roman"/>
          <w:sz w:val="20"/>
        </w:rPr>
        <w:t xml:space="preserve">Subsidiary Guarantors that are limited liability companies have been formed under the Delaware Limited Liability Company Act or the Florida Limited Liability Company Act. Both of those statutes provide that, subject to such standards and restrictions as are set forth in its limited liability company agreement, a limited liability company may, and shall have the power to, indemnify and hold harmless any member, manager or other person from and against any and all claims and demands whatsoever (subject, in the case of the Florida Limited Liability Company Act, to certain character of conduct exceptions). </w:t>
      </w:r>
    </w:p>
    <w:p>
      <w:pPr>
        <w:pStyle w:val="TextBody"/>
        <w:spacing w:before="180" w:after="0"/>
        <w:rPr>
          <w:rFonts w:ascii="Times New Roman" w:hAnsi="Times New Roman"/>
          <w:sz w:val="20"/>
        </w:rPr>
      </w:pPr>
      <w:r>
        <w:rPr>
          <w:rFonts w:ascii="Times New Roman" w:hAnsi="Times New Roman"/>
          <w:sz w:val="20"/>
        </w:rPr>
        <w:t xml:space="preserve">Pursuant to its respective regulations, each Subsidiary Guarantor that is a limited liability company may indemnify its manager, officers, employees or agents against any and all liability and reasonable expense that may be incurred by them in connection with threatened, pending or completed proceedings. </w:t>
      </w:r>
    </w:p>
    <w:p>
      <w:pPr>
        <w:pStyle w:val="TextBody"/>
        <w:spacing w:before="270" w:after="0"/>
        <w:rPr>
          <w:rFonts w:ascii="Times New Roman" w:hAnsi="Times New Roman"/>
          <w:b/>
          <w:i/>
          <w:sz w:val="20"/>
        </w:rPr>
      </w:pPr>
      <w:r>
        <w:rPr>
          <w:rFonts w:ascii="Times New Roman" w:hAnsi="Times New Roman"/>
          <w:b/>
          <w:i/>
          <w:sz w:val="20"/>
        </w:rPr>
        <w:t xml:space="preserve">Texas Limited Partnerships </w:t>
      </w:r>
    </w:p>
    <w:p>
      <w:pPr>
        <w:pStyle w:val="TextBody"/>
        <w:spacing w:before="90" w:after="0"/>
        <w:rPr>
          <w:rFonts w:ascii="Times New Roman" w:hAnsi="Times New Roman"/>
          <w:sz w:val="20"/>
        </w:rPr>
      </w:pPr>
      <w:r>
        <w:rPr>
          <w:rFonts w:ascii="Times New Roman" w:hAnsi="Times New Roman"/>
          <w:sz w:val="20"/>
        </w:rPr>
        <w:t xml:space="preserve">Pursuant to its respective agreement of limited partnership, each Subsidiary Guarantor that is a Texas limited partnership shall indemnify, to the fullest extent permitted by law, its general partner and the officers, managers, members and shareholders of the general partner from and against all costs and expenses, including attorneys fees, judgments, fines, settlements and/or liabilities incurred in connection with any action, suit or proceeding to which such person may be made a party or become otherwise involved or with which such person may be threatened, in each case by reason of, or in connection with, the persons being or having been associated with or otherwise acting for the partnership, or by reason of any action or alleged action, omission or alleged omission by such person in any such capacity, so long as the person is not ultimately adjudged to have engaged in gross negligence, willful misconduct or breach of a material provision of the agreement of limited partnership. </w:t>
      </w:r>
    </w:p>
    <w:p>
      <w:pPr>
        <w:pStyle w:val="TextBody"/>
        <w:spacing w:before="180" w:after="0"/>
        <w:rPr>
          <w:rFonts w:ascii="Times New Roman" w:hAnsi="Times New Roman"/>
          <w:sz w:val="20"/>
        </w:rPr>
      </w:pPr>
      <w:r>
        <w:rPr>
          <w:rFonts w:ascii="Times New Roman" w:hAnsi="Times New Roman"/>
          <w:sz w:val="20"/>
        </w:rPr>
        <w:t xml:space="preserve">The Texas Business Organizations Code (the TBOC) provides that a Texas limited partnership may indemnify a person who was, is or is threatened to be made a respondent in a proceeding because the person is or was a general partner (which, for this purpose, includes a person who is a representative of the entity serving as general partner) if it is determined that (i) the person (1) acted in good faith, (2) reasonably believed (A) in the case of conduct in the persons official capacity as a general partner of the limited partnership, that the persons conduct was in the limited partnerships best interests, and (B) in all other cases, that the persons conduct was not opposed to the limited partnerships best interests, and (3) in the case of a criminal proceeding, had no reasonable cause to believe that the persons conduct was unlawful; (ii) with respect to expenses, the amount of expenses (other than a judgment) is reasonable; and (iii) indemnification should be paid. Any such determination must be made (1) by a majority vote of the governing persons who at the time of the vote are disinterested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independent (or a committee thereof), (2) by special legal counsel selected by the governing authority (or committee thereof), (3) by the partners in a vote that excludes the interests held by each governing person who is not disinterested and independent, or (4) by a unanimous vote of the partners. </w:t>
      </w:r>
    </w:p>
    <w:p>
      <w:pPr>
        <w:pStyle w:val="TextBody"/>
        <w:spacing w:before="180" w:after="0"/>
        <w:rPr>
          <w:rFonts w:ascii="Times New Roman" w:hAnsi="Times New Roman"/>
          <w:sz w:val="20"/>
        </w:rPr>
      </w:pPr>
      <w:r>
        <w:rPr>
          <w:rFonts w:ascii="Times New Roman" w:hAnsi="Times New Roman"/>
          <w:sz w:val="20"/>
        </w:rPr>
        <w:t xml:space="preserve">If a person otherwise entitled to indemnity is found liable on the basis that the person improperly received personal benefit or is found liable to the limited partnership, any indemnification is limited to reasonable expenses actually incurred by the person in connection with the proceeding and (2) may not be made in relation to a proceeding in which the person has been found liable for wilful or intentional misconduct in the performance of the persons duty to the limited partnership, breach of the persons duty of loyalty or an act or omission not committed in good faith that constitutes a breach of a duty. </w:t>
      </w:r>
    </w:p>
    <w:p>
      <w:pPr>
        <w:pStyle w:val="TextBody"/>
        <w:spacing w:before="180" w:after="0"/>
        <w:rPr>
          <w:rFonts w:ascii="Times New Roman" w:hAnsi="Times New Roman"/>
          <w:sz w:val="20"/>
        </w:rPr>
      </w:pPr>
      <w:r>
        <w:rPr>
          <w:rFonts w:ascii="Times New Roman" w:hAnsi="Times New Roman"/>
          <w:sz w:val="20"/>
        </w:rPr>
        <w:t xml:space="preserve">The TBOC provides that a Texas limited partnership shall indemnify a general partner against reasonable expenses actually incurred by the general partner in connection with a proceeding in which the general partner is a respondent because the general partner is or was a general partner if the general partner has been wholly successful, on the merits or otherwise, in the defense of the proceeding. </w:t>
      </w:r>
    </w:p>
    <w:p>
      <w:pPr>
        <w:pStyle w:val="TextBody"/>
        <w:spacing w:before="180" w:after="0"/>
        <w:rPr>
          <w:rFonts w:ascii="Times New Roman" w:hAnsi="Times New Roman"/>
          <w:sz w:val="20"/>
        </w:rPr>
      </w:pPr>
      <w:r>
        <w:rPr>
          <w:rFonts w:ascii="Times New Roman" w:hAnsi="Times New Roman"/>
          <w:sz w:val="20"/>
        </w:rPr>
        <w:t xml:space="preserve">The TBOC provides that, on application of a general partner, a court may order the limited partnership to indemnify a general partner to the extent the court determines that the general partner is fairly and reasonably entitled to indemnification in view of all the relevant circumstances. The court shall limit indemnification to reasonable expenses if the general partner is found liable to the limited partnership or if the general partner is found liable on the basis that personal benefit was improperly received by the general partner. </w:t>
      </w:r>
    </w:p>
    <w:p>
      <w:pPr>
        <w:pStyle w:val="TextBody"/>
        <w:spacing w:before="180" w:after="0"/>
        <w:rPr>
          <w:rFonts w:ascii="Times New Roman" w:hAnsi="Times New Roman"/>
          <w:sz w:val="20"/>
        </w:rPr>
      </w:pPr>
      <w:r>
        <w:rPr>
          <w:rFonts w:ascii="Times New Roman" w:hAnsi="Times New Roman"/>
          <w:sz w:val="20"/>
        </w:rPr>
        <w:t xml:space="preserve">The TBOC provides that a Texas limited partnership may indemnify and advance expenses to a person who is not a governing person, including an officer, employee, or agent, as provided by: (1) the limited partnerships governing documents, (2) general or specific action of the limited partnerships governing authority, (3) resolution of the limited partnerships partners, (4) contract, or (5) common law. A limited partnership shall indemnify an officer to the same extent that indemnification is required for a governing person. A person who is not a governing person of a limited partnership may seek indemnification or advancement of expenses from a limited partnership to the same extent that a governing person may seek indemnification or advancement of expenses.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Item 16Exhibits </w:t>
      </w:r>
    </w:p>
    <w:p>
      <w:pPr>
        <w:pStyle w:val="TextBody"/>
        <w:spacing w:before="90" w:after="0"/>
        <w:rPr>
          <w:rFonts w:ascii="Times New Roman" w:hAnsi="Times New Roman"/>
          <w:sz w:val="20"/>
        </w:rPr>
      </w:pPr>
      <w:r>
        <w:rPr>
          <w:rFonts w:ascii="Times New Roman" w:hAnsi="Times New Roman"/>
          <w:sz w:val="20"/>
        </w:rPr>
        <w:t xml:space="preserve">The following exhibits are filed as a part of this Registration Statement: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3"/>
        <w:gridCol w:w="662"/>
        <w:gridCol w:w="8820"/>
      </w:tblGrid>
      <w:tr>
        <w:trPr/>
        <w:tc>
          <w:tcPr>
            <w:tcW w:w="723"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bottom"/>
          </w:tcPr>
          <w:p>
            <w:pPr>
              <w:pStyle w:val="TableContents"/>
              <w:spacing w:before="0" w:after="283"/>
              <w:rPr>
                <w:sz w:val="4"/>
                <w:szCs w:val="4"/>
              </w:rPr>
            </w:pPr>
            <w:r>
              <w:rPr>
                <w:sz w:val="4"/>
                <w:szCs w:val="4"/>
              </w:rPr>
            </w:r>
          </w:p>
        </w:tc>
        <w:tc>
          <w:tcPr>
            <w:tcW w:w="8820" w:type="dxa"/>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pBdr>
                <w:bottom w:val="single" w:sz="2" w:space="1" w:color="000000"/>
              </w:pBdr>
              <w:spacing w:before="0" w:after="15"/>
              <w:jc w:val="center"/>
              <w:rPr>
                <w:rFonts w:ascii="Times New Roman" w:hAnsi="Times New Roman"/>
                <w:b/>
                <w:sz w:val="14"/>
              </w:rPr>
            </w:pPr>
            <w:r>
              <w:rPr>
                <w:rFonts w:ascii="Times New Roman" w:hAnsi="Times New Roman"/>
                <w:b/>
                <w:sz w:val="14"/>
              </w:rPr>
              <w:t>Number</w:t>
            </w:r>
          </w:p>
        </w:tc>
        <w:tc>
          <w:tcPr>
            <w:tcW w:w="662" w:type="dxa"/>
            <w:tcBorders/>
            <w:shd w:fill="auto" w:val="clear"/>
            <w:vAlign w:val="bottom"/>
          </w:tcPr>
          <w:p>
            <w:pPr>
              <w:pStyle w:val="TableContents"/>
              <w:spacing w:before="0" w:after="283"/>
              <w:rPr/>
            </w:pPr>
            <w:r>
              <w:rPr/>
              <w:t> </w:t>
            </w:r>
          </w:p>
        </w:tc>
        <w:tc>
          <w:tcPr>
            <w:tcW w:w="882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Description</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1.1**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Underwriting Agreement</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Amended Certificate of Incorporation (incorporated by reference to Exhibit 3.1 to the Companys Registration Statement on Form S-4 filed on September 26, 2008, Commission File No. 33-153703)</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4.2</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Amended Bylaws (incorporated by reference to Exhibit 3.2 to the Companys Annual Report on Form 10-K for the year ended September 30, 2008, Commission File No. 0-19424)</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4.3</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Specimen of Class A Non-Voting Common Stock certificate (incorporated by reference to Exhibit 4.1 to the Companys Registration Statement on Form S-1 effective August 23, 1991, Commission File No. 33-41317)</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4.4*</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Indenture for Senior Debt Securities</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4.5*</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Indenture for Subordinated Debt Securities</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4.6**</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Senior Debt Securities</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4.7**</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Subordinated Debt Securities</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4.8**</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Warrant Agreement</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4.9**</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Warrant Certificate</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4.10**</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Stock Purchase Contract</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4.11**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Stock Purchase Unit</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4.16</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Credit Agreement, dated May 10, 2011, among EZCORP, Inc. (as Borrower), certain domestic subsidiaries of the Borrower from time to time party thereto (as Guarantors), the Lenders party thereto, and Wells Fargo Bank, National Association (as Administrative Agent) and BBVA Compass Bank (as Syndication Agent) (incorporated by reference to Exhibit 10.1 to the Companys Current Report on Form 8-K dated May 11, 2011 and filed May 12, 2011, Commission File No. 0-19424)</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5.1*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12.1*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Computation of Ratio of Earnings to Fixed Charges</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23.1*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independent registered public accounting firm</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23.2*</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Vinson &amp; Elkins L.L.P. (included in Exhibit 5.1)</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24.1*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Power of attorney (set forth on signature page)</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25.1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T-1 Statement of Eligibility under Trust Indenture Act of 1939 respecting the Senior Indenture</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25.2</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T-1 Statement of Eligibility under Trust Indenture Act of 1939 respecting the Subordinated Indenture</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filed either by amendment or as an exhibit to a document incorporated by reference in this Registration Statement.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filed later in accordance with Section 310(a) of the Trust Indenture Act of 1939, as amended.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Item 17Undertakings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Each undersigned registrant hereby undertakes: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include any prospectus required by Section 10(a)(3) of the Securities Act of 1933 (the Securities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9"/>
        <w:gridCol w:w="8882"/>
      </w:tblGrid>
      <w:tr>
        <w:trPr/>
        <w:tc>
          <w:tcPr>
            <w:tcW w:w="81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(iii)</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spacing w:before="90" w:after="0"/>
        <w:rPr>
          <w:rFonts w:ascii="Times New Roman" w:hAnsi="Times New Roman"/>
          <w:sz w:val="20"/>
        </w:rPr>
      </w:pPr>
      <w:r>
        <w:rPr>
          <w:rFonts w:ascii="Times New Roman" w:hAnsi="Times New Roman"/>
          <w:sz w:val="20"/>
        </w:rPr>
        <w:t xml:space="preserve">provided, however, that paragraphs (i), (ii) and (iii)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That, for purposes of determining liability under the Securities Act of 1933 to any purchaser: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8"/>
        <w:gridCol w:w="8881"/>
      </w:tblGrid>
      <w:tr>
        <w:trPr/>
        <w:tc>
          <w:tcPr>
            <w:tcW w:w="81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8"/>
        <w:gridCol w:w="8881"/>
      </w:tblGrid>
      <w:tr>
        <w:trPr/>
        <w:tc>
          <w:tcPr>
            <w:tcW w:w="81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323"/>
        <w:gridCol w:w="8882"/>
      </w:tblGrid>
      <w:tr>
        <w:trPr/>
        <w:tc>
          <w:tcPr>
            <w:tcW w:w="1323" w:type="dxa"/>
            <w:tcBorders/>
            <w:shd w:fill="auto" w:val="clear"/>
            <w:vAlign w:val="center"/>
          </w:tcPr>
          <w:p>
            <w:pPr>
              <w:pStyle w:val="TableContents"/>
              <w:spacing w:before="0" w:after="283"/>
              <w:rPr/>
            </w:pPr>
            <w:r>
              <w:rPr/>
              <w:t> </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3"/>
        <w:gridCol w:w="509"/>
        <w:gridCol w:w="8883"/>
      </w:tblGrid>
      <w:tr>
        <w:trPr/>
        <w:tc>
          <w:tcPr>
            <w:tcW w:w="813"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88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(iii)</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(iv)</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That, to the extent that the securities are offered to existing security holders pursuant to warrants or rights and any securities not taken by security 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file an application for the purpose of determining the eligibility of the trustee of each of the indentures to act under subsection (a) of Section 310 of the Trust Indenture Act (Act) in accordance with the rules and regulations prescribed by the Commission under Section 305(b)(2) of the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registrants pursuant to the provisions described under Item 15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 registrants is against public policy as expressed in the Securities Act and will be governed by the final adjudication of such issue.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of 1933, the undersigned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February 3, 2012.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14"/>
        <w:gridCol w:w="60"/>
        <w:gridCol w:w="315"/>
        <w:gridCol w:w="60"/>
        <w:gridCol w:w="3333"/>
      </w:tblGrid>
      <w:tr>
        <w:trPr/>
        <w:tc>
          <w:tcPr>
            <w:tcW w:w="3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33"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EZCORP, INC.</w:t>
            </w:r>
          </w:p>
        </w:tc>
      </w:tr>
      <w:tr>
        <w:trPr>
          <w:trHeight w:val="240" w:hRule="atLeast"/>
        </w:trPr>
        <w:tc>
          <w:tcPr>
            <w:tcW w:w="314" w:type="dxa"/>
            <w:tcBorders/>
            <w:shd w:fill="auto" w:val="clear"/>
            <w:vAlign w:val="center"/>
          </w:tcPr>
          <w:p>
            <w:pPr>
              <w:pStyle w:val="TableContents"/>
              <w:spacing w:before="0" w:after="283"/>
              <w:rPr>
                <w:sz w:val="4"/>
                <w:szCs w:val="4"/>
              </w:rPr>
            </w:pPr>
            <w:r>
              <w:rPr>
                <w:sz w:val="4"/>
                <w:szCs w:val="4"/>
              </w:rPr>
            </w:r>
          </w:p>
        </w:tc>
        <w:tc>
          <w:tcPr>
            <w:tcW w:w="3768" w:type="dxa"/>
            <w:gridSpan w:val="4"/>
            <w:tcBorders/>
            <w:shd w:fill="auto" w:val="clear"/>
            <w:vAlign w:val="center"/>
          </w:tcPr>
          <w:p>
            <w:pPr>
              <w:pStyle w:val="TableContents"/>
              <w:spacing w:before="0" w:after="283"/>
              <w:rPr>
                <w:sz w:val="4"/>
                <w:szCs w:val="4"/>
              </w:rPr>
            </w:pPr>
            <w:r>
              <w:rPr>
                <w:sz w:val="4"/>
                <w:szCs w:val="4"/>
              </w:rPr>
            </w:r>
          </w:p>
        </w:tc>
      </w:tr>
      <w:tr>
        <w:trPr/>
        <w:tc>
          <w:tcPr>
            <w:tcW w:w="31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708" w:type="dxa"/>
            <w:gridSpan w:val="3"/>
            <w:tcBorders>
              <w:bottom w:val="single" w:sz="2" w:space="0" w:color="000000"/>
            </w:tcBorders>
            <w:shd w:fill="auto" w:val="clear"/>
            <w:tcMar>
              <w:bottom w:w="28" w:type="dxa"/>
            </w:tcMar>
          </w:tcPr>
          <w:p>
            <w:pPr>
              <w:pStyle w:val="TableContents"/>
              <w:spacing w:before="0" w:after="0"/>
              <w:jc w:val="center"/>
              <w:rPr>
                <w:rFonts w:ascii="Times New Roman" w:hAnsi="Times New Roman"/>
                <w:sz w:val="20"/>
              </w:rPr>
            </w:pPr>
            <w:r>
              <w:rPr>
                <w:rFonts w:ascii="Times New Roman" w:hAnsi="Times New Roman"/>
                <w:sz w:val="20"/>
              </w:rPr>
              <w:t>/s/    P</w:t>
            </w:r>
            <w:r>
              <w:rPr>
                <w:rFonts w:ascii="Times New Roman" w:hAnsi="Times New Roman"/>
                <w:sz w:val="14"/>
              </w:rPr>
              <w:t>AUL</w:t>
            </w:r>
            <w:r>
              <w:rPr>
                <w:rFonts w:ascii="Times New Roman" w:hAnsi="Times New Roman"/>
                <w:sz w:val="20"/>
              </w:rPr>
              <w:t xml:space="preserve"> E. R</w:t>
            </w:r>
            <w:r>
              <w:rPr>
                <w:rFonts w:ascii="Times New Roman" w:hAnsi="Times New Roman"/>
                <w:sz w:val="14"/>
              </w:rPr>
              <w:t>OTHAMEL        </w:t>
            </w:r>
          </w:p>
          <w:p>
            <w:pPr>
              <w:pStyle w:val="TableContents"/>
              <w:spacing w:before="0" w:after="15"/>
              <w:jc w:val="left"/>
              <w:rPr/>
            </w:pPr>
            <w:r>
              <w:rPr/>
              <w:t> </w:t>
            </w:r>
          </w:p>
        </w:tc>
      </w:tr>
      <w:tr>
        <w:trPr/>
        <w:tc>
          <w:tcPr>
            <w:tcW w:w="31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08"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Paul E. Rothamel,</w:t>
            </w:r>
          </w:p>
        </w:tc>
      </w:tr>
      <w:tr>
        <w:trPr/>
        <w:tc>
          <w:tcPr>
            <w:tcW w:w="31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08"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President and Chief Executive Officer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The following Subsidiary Guarantors:</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CCV Americas, LLC</w:t>
            </w:r>
          </w:p>
        </w:tc>
      </w:tr>
      <w:tr>
        <w:trPr/>
        <w:tc>
          <w:tcPr>
            <w:tcW w:w="31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USA, Inc.,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CCV Pennsylvania,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CCV Virginia,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Change Capital,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Change Capital Investments, LLC</w:t>
            </w:r>
          </w:p>
        </w:tc>
      </w:tr>
      <w:tr>
        <w:trPr/>
        <w:tc>
          <w:tcPr>
            <w:tcW w:w="31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Change Capital, Inc.,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Change Capital Ventures, LLC</w:t>
            </w:r>
          </w:p>
        </w:tc>
      </w:tr>
      <w:tr>
        <w:trPr/>
        <w:tc>
          <w:tcPr>
            <w:tcW w:w="31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Change Capital, Inc.,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EZCORP International,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EZCORP International Holdings, LLC</w:t>
            </w:r>
          </w:p>
        </w:tc>
      </w:tr>
      <w:tr>
        <w:trPr/>
        <w:tc>
          <w:tcPr>
            <w:tcW w:w="31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International, Inc.,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EZCORP Online,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EZCORP USA,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Alabama,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Canada,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Colorado,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Hawaii,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Holdings,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Idaho,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Kansas,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Management,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Missouri,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Nebraska,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South Dakota,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Utah,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EZMONEY Wisconsin,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Alabama,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Arkansas,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Colorado,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Florida,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Georgia,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Holdings, Inc.</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2000" w:type="pct"/>
        <w:jc w:val="right"/>
        <w:tblInd w:w="0" w:type="dxa"/>
        <w:tblCellMar>
          <w:top w:w="0" w:type="dxa"/>
          <w:left w:w="0" w:type="dxa"/>
          <w:bottom w:w="0" w:type="dxa"/>
          <w:right w:w="0" w:type="dxa"/>
        </w:tblCellMar>
      </w:tblPr>
      <w:tblGrid>
        <w:gridCol w:w="145"/>
        <w:gridCol w:w="60"/>
        <w:gridCol w:w="319"/>
        <w:gridCol w:w="60"/>
        <w:gridCol w:w="3498"/>
      </w:tblGrid>
      <w:tr>
        <w:trPr/>
        <w:tc>
          <w:tcPr>
            <w:tcW w:w="1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98"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Illinois,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Indiana,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Iowa,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Louisiana,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Nevada,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Oklahoma,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Tennessee,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Utah,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Wisconsin,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Mister Money Holdings,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Pawn Management,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Payday Loan Management,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Texas EZMONEY, L.P.</w:t>
            </w:r>
          </w:p>
        </w:tc>
      </w:tr>
      <w:tr>
        <w:trPr/>
        <w:tc>
          <w:tcPr>
            <w:tcW w:w="1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Payday Loan Management, Inc., its general partner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Texas EZPAWN Management,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Texas EZPAWN, L.P.</w:t>
            </w:r>
          </w:p>
        </w:tc>
      </w:tr>
      <w:tr>
        <w:trPr/>
        <w:tc>
          <w:tcPr>
            <w:tcW w:w="1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 EZPAWN Management, Inc., its general partner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Texas PRA Management, L.P.</w:t>
            </w:r>
          </w:p>
        </w:tc>
      </w:tr>
      <w:tr>
        <w:trPr/>
        <w:tc>
          <w:tcPr>
            <w:tcW w:w="1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EZMONEY Management, Inc., its general partner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Value Financial Services, Inc.</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VFS Mexico Operations, LLC</w:t>
            </w:r>
          </w:p>
        </w:tc>
      </w:tr>
      <w:tr>
        <w:trPr/>
        <w:tc>
          <w:tcPr>
            <w:tcW w:w="1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Value Financial Services, Inc.,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VFS Mexico Services, LLC</w:t>
            </w:r>
          </w:p>
        </w:tc>
      </w:tr>
      <w:tr>
        <w:trPr/>
        <w:tc>
          <w:tcPr>
            <w:tcW w:w="1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Value Financial Services, Inc., its sole member and manager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In each case by:</w:t>
            </w:r>
          </w:p>
        </w:tc>
      </w:tr>
      <w:tr>
        <w:trPr>
          <w:trHeight w:val="240" w:hRule="atLeast"/>
        </w:trPr>
        <w:tc>
          <w:tcPr>
            <w:tcW w:w="145" w:type="dxa"/>
            <w:tcBorders/>
            <w:shd w:fill="auto" w:val="clear"/>
            <w:vAlign w:val="center"/>
          </w:tcPr>
          <w:p>
            <w:pPr>
              <w:pStyle w:val="TableContents"/>
              <w:spacing w:before="0" w:after="283"/>
              <w:rPr>
                <w:sz w:val="4"/>
                <w:szCs w:val="4"/>
              </w:rPr>
            </w:pPr>
            <w:r>
              <w:rPr>
                <w:sz w:val="4"/>
                <w:szCs w:val="4"/>
              </w:rPr>
            </w:r>
          </w:p>
        </w:tc>
        <w:tc>
          <w:tcPr>
            <w:tcW w:w="3937" w:type="dxa"/>
            <w:gridSpan w:val="4"/>
            <w:tcBorders/>
            <w:shd w:fill="auto" w:val="clear"/>
            <w:vAlign w:val="center"/>
          </w:tcPr>
          <w:p>
            <w:pPr>
              <w:pStyle w:val="TableContents"/>
              <w:spacing w:before="0" w:after="283"/>
              <w:rPr>
                <w:sz w:val="4"/>
                <w:szCs w:val="4"/>
              </w:rPr>
            </w:pPr>
            <w:r>
              <w:rPr>
                <w:sz w:val="4"/>
                <w:szCs w:val="4"/>
              </w:rPr>
            </w:r>
          </w:p>
        </w:tc>
      </w:tr>
      <w:tr>
        <w:trPr/>
        <w:tc>
          <w:tcPr>
            <w:tcW w:w="145" w:type="dxa"/>
            <w:tcBorders/>
            <w:shd w:fill="auto" w:val="clear"/>
          </w:tcPr>
          <w:p>
            <w:pPr>
              <w:pStyle w:val="TableContents"/>
              <w:spacing w:before="0" w:after="283"/>
              <w:rPr>
                <w:sz w:val="4"/>
                <w:szCs w:val="4"/>
              </w:rPr>
            </w:pPr>
            <w:r>
              <w:rPr>
                <w:sz w:val="4"/>
                <w:szCs w:val="4"/>
              </w:rPr>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877" w:type="dxa"/>
            <w:gridSpan w:val="3"/>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tc>
      </w:tr>
      <w:tr>
        <w:trPr/>
        <w:tc>
          <w:tcPr>
            <w:tcW w:w="1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77"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Thomas H. Welch, Jr.,</w:t>
            </w:r>
          </w:p>
        </w:tc>
      </w:tr>
      <w:tr>
        <w:trPr/>
        <w:tc>
          <w:tcPr>
            <w:tcW w:w="1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77"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Senior Vice President</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151"/>
        <w:gridCol w:w="60"/>
        <w:gridCol w:w="324"/>
        <w:gridCol w:w="60"/>
        <w:gridCol w:w="3487"/>
      </w:tblGrid>
      <w:tr>
        <w:trPr/>
        <w:tc>
          <w:tcPr>
            <w:tcW w:w="1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87"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Mexico Holdings, LLC</w:t>
            </w:r>
          </w:p>
        </w:tc>
      </w:tr>
      <w:tr>
        <w:trPr/>
        <w:tc>
          <w:tcPr>
            <w:tcW w:w="15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Global, B.V.,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Mexico Ltd., LLC</w:t>
            </w:r>
          </w:p>
        </w:tc>
      </w:tr>
      <w:tr>
        <w:trPr/>
        <w:tc>
          <w:tcPr>
            <w:tcW w:w="15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Global, B.V., its sole member and manager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In each case by:</w:t>
            </w:r>
          </w:p>
        </w:tc>
      </w:tr>
      <w:tr>
        <w:trPr>
          <w:trHeight w:val="240" w:hRule="atLeast"/>
        </w:trPr>
        <w:tc>
          <w:tcPr>
            <w:tcW w:w="151" w:type="dxa"/>
            <w:tcBorders/>
            <w:shd w:fill="auto" w:val="clear"/>
            <w:vAlign w:val="center"/>
          </w:tcPr>
          <w:p>
            <w:pPr>
              <w:pStyle w:val="TableContents"/>
              <w:spacing w:before="0" w:after="283"/>
              <w:rPr>
                <w:sz w:val="4"/>
                <w:szCs w:val="4"/>
              </w:rPr>
            </w:pPr>
            <w:r>
              <w:rPr>
                <w:sz w:val="4"/>
                <w:szCs w:val="4"/>
              </w:rPr>
            </w:r>
          </w:p>
        </w:tc>
        <w:tc>
          <w:tcPr>
            <w:tcW w:w="3931" w:type="dxa"/>
            <w:gridSpan w:val="4"/>
            <w:tcBorders/>
            <w:shd w:fill="auto" w:val="clear"/>
            <w:vAlign w:val="center"/>
          </w:tcPr>
          <w:p>
            <w:pPr>
              <w:pStyle w:val="TableContents"/>
              <w:spacing w:before="0" w:after="283"/>
              <w:rPr>
                <w:sz w:val="4"/>
                <w:szCs w:val="4"/>
              </w:rPr>
            </w:pPr>
            <w:r>
              <w:rPr>
                <w:sz w:val="4"/>
                <w:szCs w:val="4"/>
              </w:rPr>
            </w:r>
          </w:p>
        </w:tc>
      </w:tr>
      <w:tr>
        <w:trPr/>
        <w:tc>
          <w:tcPr>
            <w:tcW w:w="151" w:type="dxa"/>
            <w:tcBorders/>
            <w:shd w:fill="auto" w:val="clear"/>
          </w:tcPr>
          <w:p>
            <w:pPr>
              <w:pStyle w:val="TableContents"/>
              <w:spacing w:before="0" w:after="283"/>
              <w:rPr>
                <w:sz w:val="4"/>
                <w:szCs w:val="4"/>
              </w:rPr>
            </w:pPr>
            <w:r>
              <w:rPr>
                <w:sz w:val="4"/>
                <w:szCs w:val="4"/>
              </w:rPr>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871" w:type="dxa"/>
            <w:gridSpan w:val="3"/>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tc>
      </w:tr>
      <w:tr>
        <w:trPr/>
        <w:tc>
          <w:tcPr>
            <w:tcW w:w="15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71"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Thomas H. Welch, Jr.,</w:t>
            </w:r>
          </w:p>
        </w:tc>
      </w:tr>
      <w:tr>
        <w:trPr/>
        <w:tc>
          <w:tcPr>
            <w:tcW w:w="15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71"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Director and Authorized Representative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Power of Attorney </w:t>
      </w:r>
    </w:p>
    <w:p>
      <w:pPr>
        <w:pStyle w:val="TextBody"/>
        <w:spacing w:before="180" w:after="0"/>
        <w:rPr>
          <w:rFonts w:ascii="Times New Roman" w:hAnsi="Times New Roman"/>
          <w:sz w:val="20"/>
        </w:rPr>
      </w:pPr>
      <w:r>
        <w:rPr>
          <w:rFonts w:ascii="Times New Roman" w:hAnsi="Times New Roman"/>
          <w:sz w:val="20"/>
        </w:rPr>
        <w:t xml:space="preserve">Each person whose signature appears below hereby authorizes and appoints Thomas H. Welch, Jr. as his true and lawful attorney-in-fact and agent, with full power of substitution and resubstitution, for him and in his name, place and stead, in any and all capacities, to sign on his behalf individually and in the capacity stated below any and all amendments (including post-effective amendments) to this Registration Statement and any Registration Statement (including any amendment thereto) for this offering that is to be effective upon filing pursuant to Rule 462(b) under the Securities Act of 1933,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would do in person, hereby ratifying and confirming all that said attorney-in-fact and agent or his substitute or substitutes, may lawfully do or cause to be done by virtue hereof.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EZCORP,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0"/>
        <w:gridCol w:w="204"/>
        <w:gridCol w:w="3470"/>
        <w:gridCol w:w="204"/>
        <w:gridCol w:w="1837"/>
      </w:tblGrid>
      <w:tr>
        <w:trPr/>
        <w:tc>
          <w:tcPr>
            <w:tcW w:w="449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4"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TERLING</w:t>
            </w:r>
            <w:r>
              <w:rPr>
                <w:rFonts w:ascii="Times New Roman" w:hAnsi="Times New Roman"/>
                <w:sz w:val="20"/>
              </w:rPr>
              <w:t xml:space="preserve"> B. B</w:t>
            </w:r>
            <w:r>
              <w:rPr>
                <w:rFonts w:ascii="Times New Roman" w:hAnsi="Times New Roman"/>
                <w:sz w:val="14"/>
              </w:rPr>
              <w:t>RINKLEY        </w:t>
            </w:r>
          </w:p>
          <w:p>
            <w:pPr>
              <w:pStyle w:val="TableContents"/>
              <w:spacing w:before="0" w:after="15"/>
              <w:jc w:val="center"/>
              <w:rPr>
                <w:rFonts w:ascii="Times New Roman" w:hAnsi="Times New Roman"/>
                <w:b/>
                <w:sz w:val="14"/>
              </w:rPr>
            </w:pPr>
            <w:r>
              <w:rPr>
                <w:rFonts w:ascii="Times New Roman" w:hAnsi="Times New Roman"/>
                <w:b/>
                <w:sz w:val="14"/>
              </w:rPr>
              <w:t>Sterling B. Brinkley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w:t>
            </w:r>
          </w:p>
        </w:tc>
        <w:tc>
          <w:tcPr>
            <w:tcW w:w="204"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P</w:t>
            </w:r>
            <w:r>
              <w:rPr>
                <w:rFonts w:ascii="Times New Roman" w:hAnsi="Times New Roman"/>
                <w:sz w:val="14"/>
              </w:rPr>
              <w:t>AUL</w:t>
            </w:r>
            <w:r>
              <w:rPr>
                <w:rFonts w:ascii="Times New Roman" w:hAnsi="Times New Roman"/>
                <w:sz w:val="20"/>
              </w:rPr>
              <w:t xml:space="preserve"> E. R</w:t>
            </w:r>
            <w:r>
              <w:rPr>
                <w:rFonts w:ascii="Times New Roman" w:hAnsi="Times New Roman"/>
                <w:sz w:val="14"/>
              </w:rPr>
              <w:t>OTHAMEL        </w:t>
            </w:r>
          </w:p>
          <w:p>
            <w:pPr>
              <w:pStyle w:val="TableContents"/>
              <w:spacing w:before="0" w:after="15"/>
              <w:jc w:val="center"/>
              <w:rPr>
                <w:rFonts w:ascii="Times New Roman" w:hAnsi="Times New Roman"/>
                <w:b/>
                <w:sz w:val="14"/>
              </w:rPr>
            </w:pPr>
            <w:r>
              <w:rPr>
                <w:rFonts w:ascii="Times New Roman" w:hAnsi="Times New Roman"/>
                <w:b/>
                <w:sz w:val="14"/>
              </w:rPr>
              <w:t>Paul E. Rothamel</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and Chief Executive Officer and Director</w:t>
              <w:br/>
              <w:t>(principal executive officer)</w:t>
            </w:r>
          </w:p>
        </w:tc>
        <w:tc>
          <w:tcPr>
            <w:tcW w:w="204"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A. S</w:t>
            </w:r>
            <w:r>
              <w:rPr>
                <w:rFonts w:ascii="Times New Roman" w:hAnsi="Times New Roman"/>
                <w:sz w:val="14"/>
              </w:rPr>
              <w:t>TAMP        </w:t>
            </w:r>
          </w:p>
          <w:p>
            <w:pPr>
              <w:pStyle w:val="TableContents"/>
              <w:spacing w:before="0" w:after="15"/>
              <w:jc w:val="center"/>
              <w:rPr>
                <w:rFonts w:ascii="Times New Roman" w:hAnsi="Times New Roman"/>
                <w:b/>
                <w:sz w:val="14"/>
              </w:rPr>
            </w:pPr>
            <w:r>
              <w:rPr>
                <w:rFonts w:ascii="Times New Roman" w:hAnsi="Times New Roman"/>
                <w:b/>
                <w:sz w:val="14"/>
              </w:rPr>
              <w:t>Stephen A. Stamp</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 and Chief Financial Officer</w:t>
              <w:br/>
              <w:t>(principal financial officer and principal accounting officer)</w:t>
            </w:r>
          </w:p>
        </w:tc>
        <w:tc>
          <w:tcPr>
            <w:tcW w:w="204"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OSEPH</w:t>
            </w:r>
            <w:r>
              <w:rPr>
                <w:rFonts w:ascii="Times New Roman" w:hAnsi="Times New Roman"/>
                <w:sz w:val="20"/>
              </w:rPr>
              <w:t xml:space="preserve"> J. B</w:t>
            </w:r>
            <w:r>
              <w:rPr>
                <w:rFonts w:ascii="Times New Roman" w:hAnsi="Times New Roman"/>
                <w:sz w:val="14"/>
              </w:rPr>
              <w:t>EAL        </w:t>
            </w:r>
          </w:p>
          <w:p>
            <w:pPr>
              <w:pStyle w:val="TableContents"/>
              <w:spacing w:before="0" w:after="15"/>
              <w:jc w:val="center"/>
              <w:rPr>
                <w:rFonts w:ascii="Times New Roman" w:hAnsi="Times New Roman"/>
                <w:b/>
                <w:sz w:val="14"/>
              </w:rPr>
            </w:pPr>
            <w:r>
              <w:rPr>
                <w:rFonts w:ascii="Times New Roman" w:hAnsi="Times New Roman"/>
                <w:b/>
                <w:sz w:val="14"/>
              </w:rPr>
              <w:t>Joseph J. Beal</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P</w:t>
            </w:r>
            <w:r>
              <w:rPr>
                <w:rFonts w:ascii="Times New Roman" w:hAnsi="Times New Roman"/>
                <w:sz w:val="14"/>
              </w:rPr>
              <w:t>ABLO</w:t>
            </w:r>
            <w:r>
              <w:rPr>
                <w:rFonts w:ascii="Times New Roman" w:hAnsi="Times New Roman"/>
                <w:sz w:val="20"/>
              </w:rPr>
              <w:t xml:space="preserve"> L</w:t>
            </w:r>
            <w:r>
              <w:rPr>
                <w:rFonts w:ascii="Times New Roman" w:hAnsi="Times New Roman"/>
                <w:sz w:val="14"/>
              </w:rPr>
              <w:t>AGOS</w:t>
            </w:r>
            <w:r>
              <w:rPr>
                <w:rFonts w:ascii="Times New Roman" w:hAnsi="Times New Roman"/>
                <w:sz w:val="20"/>
              </w:rPr>
              <w:t xml:space="preserve"> E</w:t>
            </w:r>
            <w:r>
              <w:rPr>
                <w:rFonts w:ascii="Times New Roman" w:hAnsi="Times New Roman"/>
                <w:sz w:val="14"/>
              </w:rPr>
              <w:t>SPINOSA        </w:t>
            </w:r>
          </w:p>
          <w:p>
            <w:pPr>
              <w:pStyle w:val="TableContents"/>
              <w:spacing w:before="0" w:after="15"/>
              <w:jc w:val="center"/>
              <w:rPr>
                <w:rFonts w:ascii="Times New Roman" w:hAnsi="Times New Roman"/>
                <w:b/>
                <w:sz w:val="14"/>
              </w:rPr>
            </w:pPr>
            <w:r>
              <w:rPr>
                <w:rFonts w:ascii="Times New Roman" w:hAnsi="Times New Roman"/>
                <w:b/>
                <w:sz w:val="14"/>
              </w:rPr>
              <w:t>Pablo Lagos Espinosa</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OHN</w:t>
            </w:r>
            <w:r>
              <w:rPr>
                <w:rFonts w:ascii="Times New Roman" w:hAnsi="Times New Roman"/>
                <w:sz w:val="20"/>
              </w:rPr>
              <w:t xml:space="preserve"> F</w:t>
            </w:r>
            <w:r>
              <w:rPr>
                <w:rFonts w:ascii="Times New Roman" w:hAnsi="Times New Roman"/>
                <w:sz w:val="14"/>
              </w:rPr>
              <w:t>ARRELL        </w:t>
            </w:r>
          </w:p>
          <w:p>
            <w:pPr>
              <w:pStyle w:val="TableContents"/>
              <w:spacing w:before="0" w:after="15"/>
              <w:jc w:val="center"/>
              <w:rPr>
                <w:rFonts w:ascii="Times New Roman" w:hAnsi="Times New Roman"/>
                <w:b/>
                <w:sz w:val="14"/>
              </w:rPr>
            </w:pPr>
            <w:r>
              <w:rPr>
                <w:rFonts w:ascii="Times New Roman" w:hAnsi="Times New Roman"/>
                <w:b/>
                <w:sz w:val="14"/>
              </w:rPr>
              <w:t>John Farrell</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W</w:t>
            </w:r>
            <w:r>
              <w:rPr>
                <w:rFonts w:ascii="Times New Roman" w:hAnsi="Times New Roman"/>
                <w:sz w:val="14"/>
              </w:rPr>
              <w:t>ILLIAM</w:t>
            </w:r>
            <w:r>
              <w:rPr>
                <w:rFonts w:ascii="Times New Roman" w:hAnsi="Times New Roman"/>
                <w:sz w:val="20"/>
              </w:rPr>
              <w:t xml:space="preserve"> C. L</w:t>
            </w:r>
            <w:r>
              <w:rPr>
                <w:rFonts w:ascii="Times New Roman" w:hAnsi="Times New Roman"/>
                <w:sz w:val="14"/>
              </w:rPr>
              <w:t>OVE        </w:t>
            </w:r>
          </w:p>
          <w:p>
            <w:pPr>
              <w:pStyle w:val="TableContents"/>
              <w:spacing w:before="0" w:after="15"/>
              <w:jc w:val="center"/>
              <w:rPr>
                <w:rFonts w:ascii="Times New Roman" w:hAnsi="Times New Roman"/>
                <w:b/>
                <w:sz w:val="14"/>
              </w:rPr>
            </w:pPr>
            <w:r>
              <w:rPr>
                <w:rFonts w:ascii="Times New Roman" w:hAnsi="Times New Roman"/>
                <w:b/>
                <w:sz w:val="14"/>
              </w:rPr>
              <w:t>William C. Love</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C. R</w:t>
            </w:r>
            <w:r>
              <w:rPr>
                <w:rFonts w:ascii="Times New Roman" w:hAnsi="Times New Roman"/>
                <w:sz w:val="14"/>
              </w:rPr>
              <w:t>OBERTS        </w:t>
            </w:r>
          </w:p>
          <w:p>
            <w:pPr>
              <w:pStyle w:val="TableContents"/>
              <w:spacing w:before="0" w:after="15"/>
              <w:jc w:val="center"/>
              <w:rPr>
                <w:rFonts w:ascii="Times New Roman" w:hAnsi="Times New Roman"/>
                <w:b/>
                <w:sz w:val="14"/>
              </w:rPr>
            </w:pPr>
            <w:r>
              <w:rPr>
                <w:rFonts w:ascii="Times New Roman" w:hAnsi="Times New Roman"/>
                <w:b/>
                <w:sz w:val="14"/>
              </w:rPr>
              <w:t>Thomas C. Roberts</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EACH OF THE FOLLOWING SUBSIDIARY GUARANTORS: </w:t>
      </w:r>
    </w:p>
    <w:p>
      <w:pPr>
        <w:pStyle w:val="TextBody"/>
        <w:spacing w:before="180" w:after="0"/>
        <w:rPr>
          <w:rFonts w:ascii="Times New Roman" w:hAnsi="Times New Roman"/>
          <w:b/>
          <w:sz w:val="20"/>
        </w:rPr>
      </w:pPr>
      <w:r>
        <w:rPr>
          <w:rFonts w:ascii="Times New Roman" w:hAnsi="Times New Roman"/>
          <w:b/>
          <w:sz w:val="20"/>
        </w:rPr>
        <w:t xml:space="preserve">CCV Americas, LLC </w:t>
      </w:r>
    </w:p>
    <w:p>
      <w:pPr>
        <w:pStyle w:val="TextBody"/>
        <w:spacing w:before="0" w:after="0"/>
        <w:rPr>
          <w:rFonts w:ascii="Times New Roman" w:hAnsi="Times New Roman"/>
          <w:sz w:val="20"/>
        </w:rPr>
      </w:pPr>
      <w:r>
        <w:rPr>
          <w:rFonts w:ascii="Times New Roman" w:hAnsi="Times New Roman"/>
          <w:sz w:val="20"/>
        </w:rPr>
        <w:t xml:space="preserve">By: EZCORP, USA, Inc., its sole member and manager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E</w:t>
            </w:r>
            <w:r>
              <w:rPr>
                <w:rFonts w:ascii="Times New Roman" w:hAnsi="Times New Roman"/>
                <w:sz w:val="14"/>
              </w:rPr>
              <w:t>RIC</w:t>
            </w:r>
            <w:r>
              <w:rPr>
                <w:rFonts w:ascii="Times New Roman" w:hAnsi="Times New Roman"/>
                <w:sz w:val="20"/>
              </w:rPr>
              <w:t xml:space="preserve"> F</w:t>
            </w:r>
            <w:r>
              <w:rPr>
                <w:rFonts w:ascii="Times New Roman" w:hAnsi="Times New Roman"/>
                <w:sz w:val="14"/>
              </w:rPr>
              <w:t>OSSE        </w:t>
            </w:r>
          </w:p>
          <w:p>
            <w:pPr>
              <w:pStyle w:val="TableContents"/>
              <w:spacing w:before="0" w:after="15"/>
              <w:jc w:val="center"/>
              <w:rPr>
                <w:rFonts w:ascii="Times New Roman" w:hAnsi="Times New Roman"/>
                <w:b/>
                <w:sz w:val="14"/>
              </w:rPr>
            </w:pPr>
            <w:r>
              <w:rPr>
                <w:rFonts w:ascii="Times New Roman" w:hAnsi="Times New Roman"/>
                <w:b/>
                <w:sz w:val="14"/>
              </w:rPr>
              <w:t>Eric Fosse</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CCV Pennsylvania,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CCV Virginia,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Change Capital,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3"/>
        <w:gridCol w:w="3471"/>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47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3" w:type="dxa"/>
            <w:tcBorders/>
            <w:shd w:fill="auto" w:val="clear"/>
            <w:vAlign w:val="bottom"/>
          </w:tcPr>
          <w:p>
            <w:pPr>
              <w:pStyle w:val="TableContents"/>
              <w:spacing w:before="0" w:after="283"/>
              <w:rPr/>
            </w:pPr>
            <w:r>
              <w:rPr/>
              <w:t>  </w:t>
            </w:r>
          </w:p>
        </w:tc>
        <w:tc>
          <w:tcPr>
            <w:tcW w:w="347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M</w:t>
            </w:r>
            <w:r>
              <w:rPr>
                <w:rFonts w:ascii="Times New Roman" w:hAnsi="Times New Roman"/>
                <w:sz w:val="14"/>
              </w:rPr>
              <w:t>ARK</w:t>
            </w:r>
            <w:r>
              <w:rPr>
                <w:rFonts w:ascii="Times New Roman" w:hAnsi="Times New Roman"/>
                <w:sz w:val="20"/>
              </w:rPr>
              <w:t xml:space="preserve"> K</w:t>
            </w:r>
            <w:r>
              <w:rPr>
                <w:rFonts w:ascii="Times New Roman" w:hAnsi="Times New Roman"/>
                <w:sz w:val="14"/>
              </w:rPr>
              <w:t>UCHENRITHER        </w:t>
            </w:r>
          </w:p>
          <w:p>
            <w:pPr>
              <w:pStyle w:val="TableContents"/>
              <w:spacing w:before="0" w:after="15"/>
              <w:jc w:val="center"/>
              <w:rPr>
                <w:rFonts w:ascii="Times New Roman" w:hAnsi="Times New Roman"/>
                <w:b/>
                <w:sz w:val="14"/>
              </w:rPr>
            </w:pPr>
            <w:r>
              <w:rPr>
                <w:rFonts w:ascii="Times New Roman" w:hAnsi="Times New Roman"/>
                <w:b/>
                <w:sz w:val="14"/>
              </w:rPr>
              <w:t>Mark Kuchenrither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A. S</w:t>
            </w:r>
            <w:r>
              <w:rPr>
                <w:rFonts w:ascii="Times New Roman" w:hAnsi="Times New Roman"/>
                <w:sz w:val="14"/>
              </w:rPr>
              <w:t>TAMP        </w:t>
            </w:r>
          </w:p>
          <w:p>
            <w:pPr>
              <w:pStyle w:val="TableContents"/>
              <w:spacing w:before="0" w:after="15"/>
              <w:jc w:val="center"/>
              <w:rPr>
                <w:rFonts w:ascii="Times New Roman" w:hAnsi="Times New Roman"/>
                <w:b/>
                <w:sz w:val="14"/>
              </w:rPr>
            </w:pPr>
            <w:r>
              <w:rPr>
                <w:rFonts w:ascii="Times New Roman" w:hAnsi="Times New Roman"/>
                <w:b/>
                <w:sz w:val="14"/>
              </w:rPr>
              <w:t>Stephen A. Stamp</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 and Chief Financial Officer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Change Capital Investments, LLC </w:t>
      </w:r>
    </w:p>
    <w:p>
      <w:pPr>
        <w:pStyle w:val="TextBody"/>
        <w:spacing w:before="0" w:after="0"/>
        <w:rPr>
          <w:rFonts w:ascii="Times New Roman" w:hAnsi="Times New Roman"/>
          <w:sz w:val="20"/>
        </w:rPr>
      </w:pPr>
      <w:r>
        <w:rPr>
          <w:rFonts w:ascii="Times New Roman" w:hAnsi="Times New Roman"/>
          <w:sz w:val="20"/>
        </w:rPr>
        <w:t xml:space="preserve">By: Change Capital, Inc., its sole member and manager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3"/>
        <w:gridCol w:w="3471"/>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47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3" w:type="dxa"/>
            <w:tcBorders/>
            <w:shd w:fill="auto" w:val="clear"/>
            <w:vAlign w:val="bottom"/>
          </w:tcPr>
          <w:p>
            <w:pPr>
              <w:pStyle w:val="TableContents"/>
              <w:spacing w:before="0" w:after="283"/>
              <w:rPr/>
            </w:pPr>
            <w:r>
              <w:rPr/>
              <w:t>  </w:t>
            </w:r>
          </w:p>
        </w:tc>
        <w:tc>
          <w:tcPr>
            <w:tcW w:w="347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M</w:t>
            </w:r>
            <w:r>
              <w:rPr>
                <w:rFonts w:ascii="Times New Roman" w:hAnsi="Times New Roman"/>
                <w:sz w:val="14"/>
              </w:rPr>
              <w:t>ARK</w:t>
            </w:r>
            <w:r>
              <w:rPr>
                <w:rFonts w:ascii="Times New Roman" w:hAnsi="Times New Roman"/>
                <w:sz w:val="20"/>
              </w:rPr>
              <w:t xml:space="preserve"> K</w:t>
            </w:r>
            <w:r>
              <w:rPr>
                <w:rFonts w:ascii="Times New Roman" w:hAnsi="Times New Roman"/>
                <w:sz w:val="14"/>
              </w:rPr>
              <w:t>UCHENRITHER        </w:t>
            </w:r>
          </w:p>
          <w:p>
            <w:pPr>
              <w:pStyle w:val="TableContents"/>
              <w:spacing w:before="0" w:after="15"/>
              <w:jc w:val="center"/>
              <w:rPr>
                <w:rFonts w:ascii="Times New Roman" w:hAnsi="Times New Roman"/>
                <w:b/>
                <w:sz w:val="14"/>
              </w:rPr>
            </w:pPr>
            <w:r>
              <w:rPr>
                <w:rFonts w:ascii="Times New Roman" w:hAnsi="Times New Roman"/>
                <w:b/>
                <w:sz w:val="14"/>
              </w:rPr>
              <w:t>Mark Kuchenrither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A. S</w:t>
            </w:r>
            <w:r>
              <w:rPr>
                <w:rFonts w:ascii="Times New Roman" w:hAnsi="Times New Roman"/>
                <w:sz w:val="14"/>
              </w:rPr>
              <w:t>TAMP        </w:t>
            </w:r>
          </w:p>
          <w:p>
            <w:pPr>
              <w:pStyle w:val="TableContents"/>
              <w:spacing w:before="0" w:after="15"/>
              <w:jc w:val="center"/>
              <w:rPr>
                <w:rFonts w:ascii="Times New Roman" w:hAnsi="Times New Roman"/>
                <w:b/>
                <w:sz w:val="14"/>
              </w:rPr>
            </w:pPr>
            <w:r>
              <w:rPr>
                <w:rFonts w:ascii="Times New Roman" w:hAnsi="Times New Roman"/>
                <w:b/>
                <w:sz w:val="14"/>
              </w:rPr>
              <w:t>Stephen A. Stamp</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 and Chief Financial Officer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Change Capital Ventures, LLC </w:t>
      </w:r>
    </w:p>
    <w:p>
      <w:pPr>
        <w:pStyle w:val="TextBody"/>
        <w:spacing w:before="0" w:after="0"/>
        <w:rPr>
          <w:rFonts w:ascii="Times New Roman" w:hAnsi="Times New Roman"/>
          <w:sz w:val="20"/>
        </w:rPr>
      </w:pPr>
      <w:r>
        <w:rPr>
          <w:rFonts w:ascii="Times New Roman" w:hAnsi="Times New Roman"/>
          <w:sz w:val="20"/>
        </w:rPr>
        <w:t xml:space="preserve">By: Change Capital, Inc., its sole member and manager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3"/>
        <w:gridCol w:w="3471"/>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47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3" w:type="dxa"/>
            <w:tcBorders/>
            <w:shd w:fill="auto" w:val="clear"/>
            <w:vAlign w:val="bottom"/>
          </w:tcPr>
          <w:p>
            <w:pPr>
              <w:pStyle w:val="TableContents"/>
              <w:spacing w:before="0" w:after="283"/>
              <w:rPr/>
            </w:pPr>
            <w:r>
              <w:rPr/>
              <w:t>  </w:t>
            </w:r>
          </w:p>
        </w:tc>
        <w:tc>
          <w:tcPr>
            <w:tcW w:w="347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M</w:t>
            </w:r>
            <w:r>
              <w:rPr>
                <w:rFonts w:ascii="Times New Roman" w:hAnsi="Times New Roman"/>
                <w:sz w:val="14"/>
              </w:rPr>
              <w:t>ARK</w:t>
            </w:r>
            <w:r>
              <w:rPr>
                <w:rFonts w:ascii="Times New Roman" w:hAnsi="Times New Roman"/>
                <w:sz w:val="20"/>
              </w:rPr>
              <w:t xml:space="preserve"> K</w:t>
            </w:r>
            <w:r>
              <w:rPr>
                <w:rFonts w:ascii="Times New Roman" w:hAnsi="Times New Roman"/>
                <w:sz w:val="14"/>
              </w:rPr>
              <w:t>UCHENRITHER        </w:t>
            </w:r>
          </w:p>
          <w:p>
            <w:pPr>
              <w:pStyle w:val="TableContents"/>
              <w:spacing w:before="0" w:after="15"/>
              <w:jc w:val="center"/>
              <w:rPr>
                <w:rFonts w:ascii="Times New Roman" w:hAnsi="Times New Roman"/>
                <w:b/>
                <w:sz w:val="14"/>
              </w:rPr>
            </w:pPr>
            <w:r>
              <w:rPr>
                <w:rFonts w:ascii="Times New Roman" w:hAnsi="Times New Roman"/>
                <w:b/>
                <w:sz w:val="14"/>
              </w:rPr>
              <w:t>Mark Kuchenrither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A. S</w:t>
            </w:r>
            <w:r>
              <w:rPr>
                <w:rFonts w:ascii="Times New Roman" w:hAnsi="Times New Roman"/>
                <w:sz w:val="14"/>
              </w:rPr>
              <w:t>TAMP        </w:t>
            </w:r>
          </w:p>
          <w:p>
            <w:pPr>
              <w:pStyle w:val="TableContents"/>
              <w:spacing w:before="0" w:after="15"/>
              <w:jc w:val="center"/>
              <w:rPr>
                <w:rFonts w:ascii="Times New Roman" w:hAnsi="Times New Roman"/>
                <w:b/>
                <w:sz w:val="14"/>
              </w:rPr>
            </w:pPr>
            <w:r>
              <w:rPr>
                <w:rFonts w:ascii="Times New Roman" w:hAnsi="Times New Roman"/>
                <w:b/>
                <w:sz w:val="14"/>
              </w:rPr>
              <w:t>Stephen A. Stamp</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 and Chief Financial Officer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EZCORP International,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0"/>
        <w:gridCol w:w="204"/>
        <w:gridCol w:w="3470"/>
        <w:gridCol w:w="203"/>
        <w:gridCol w:w="1838"/>
      </w:tblGrid>
      <w:tr>
        <w:trPr/>
        <w:tc>
          <w:tcPr>
            <w:tcW w:w="449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8"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P</w:t>
            </w:r>
            <w:r>
              <w:rPr>
                <w:rFonts w:ascii="Times New Roman" w:hAnsi="Times New Roman"/>
                <w:sz w:val="14"/>
              </w:rPr>
              <w:t>AUL</w:t>
            </w:r>
            <w:r>
              <w:rPr>
                <w:rFonts w:ascii="Times New Roman" w:hAnsi="Times New Roman"/>
                <w:sz w:val="20"/>
              </w:rPr>
              <w:t xml:space="preserve"> E. R</w:t>
            </w:r>
            <w:r>
              <w:rPr>
                <w:rFonts w:ascii="Times New Roman" w:hAnsi="Times New Roman"/>
                <w:sz w:val="14"/>
              </w:rPr>
              <w:t>OTHAMEL        </w:t>
            </w:r>
          </w:p>
          <w:p>
            <w:pPr>
              <w:pStyle w:val="TableContents"/>
              <w:spacing w:before="0" w:after="15"/>
              <w:jc w:val="center"/>
              <w:rPr>
                <w:rFonts w:ascii="Times New Roman" w:hAnsi="Times New Roman"/>
                <w:b/>
                <w:sz w:val="14"/>
              </w:rPr>
            </w:pPr>
            <w:r>
              <w:rPr>
                <w:rFonts w:ascii="Times New Roman" w:hAnsi="Times New Roman"/>
                <w:b/>
                <w:sz w:val="14"/>
              </w:rPr>
              <w:t>Paul E. Rothamel</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A. S</w:t>
            </w:r>
            <w:r>
              <w:rPr>
                <w:rFonts w:ascii="Times New Roman" w:hAnsi="Times New Roman"/>
                <w:sz w:val="14"/>
              </w:rPr>
              <w:t>TAMP        </w:t>
            </w:r>
          </w:p>
          <w:p>
            <w:pPr>
              <w:pStyle w:val="TableContents"/>
              <w:spacing w:before="0" w:after="15"/>
              <w:jc w:val="center"/>
              <w:rPr>
                <w:rFonts w:ascii="Times New Roman" w:hAnsi="Times New Roman"/>
                <w:b/>
                <w:sz w:val="14"/>
              </w:rPr>
            </w:pPr>
            <w:r>
              <w:rPr>
                <w:rFonts w:ascii="Times New Roman" w:hAnsi="Times New Roman"/>
                <w:b/>
                <w:sz w:val="14"/>
              </w:rPr>
              <w:t>Stephen A. Stamp</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 and Chief Financial Officer</w:t>
              <w:br/>
              <w:t>(principal financial and accounting officer)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EZCORP International Holdings, LLC </w:t>
      </w:r>
    </w:p>
    <w:p>
      <w:pPr>
        <w:pStyle w:val="TextBody"/>
        <w:spacing w:before="0" w:after="0"/>
        <w:rPr>
          <w:rFonts w:ascii="Times New Roman" w:hAnsi="Times New Roman"/>
          <w:sz w:val="20"/>
        </w:rPr>
      </w:pPr>
      <w:r>
        <w:rPr>
          <w:rFonts w:ascii="Times New Roman" w:hAnsi="Times New Roman"/>
          <w:sz w:val="20"/>
        </w:rPr>
        <w:t xml:space="preserve">By: EZCORP International, Inc., its sole member and manager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0"/>
        <w:gridCol w:w="204"/>
        <w:gridCol w:w="3470"/>
        <w:gridCol w:w="203"/>
        <w:gridCol w:w="1838"/>
      </w:tblGrid>
      <w:tr>
        <w:trPr/>
        <w:tc>
          <w:tcPr>
            <w:tcW w:w="449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8"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P</w:t>
            </w:r>
            <w:r>
              <w:rPr>
                <w:rFonts w:ascii="Times New Roman" w:hAnsi="Times New Roman"/>
                <w:sz w:val="14"/>
              </w:rPr>
              <w:t>AUL</w:t>
            </w:r>
            <w:r>
              <w:rPr>
                <w:rFonts w:ascii="Times New Roman" w:hAnsi="Times New Roman"/>
                <w:sz w:val="20"/>
              </w:rPr>
              <w:t xml:space="preserve"> E. R</w:t>
            </w:r>
            <w:r>
              <w:rPr>
                <w:rFonts w:ascii="Times New Roman" w:hAnsi="Times New Roman"/>
                <w:sz w:val="14"/>
              </w:rPr>
              <w:t>OTHAMEL        </w:t>
            </w:r>
          </w:p>
          <w:p>
            <w:pPr>
              <w:pStyle w:val="TableContents"/>
              <w:spacing w:before="0" w:after="15"/>
              <w:jc w:val="center"/>
              <w:rPr>
                <w:rFonts w:ascii="Times New Roman" w:hAnsi="Times New Roman"/>
                <w:b/>
                <w:sz w:val="14"/>
              </w:rPr>
            </w:pPr>
            <w:r>
              <w:rPr>
                <w:rFonts w:ascii="Times New Roman" w:hAnsi="Times New Roman"/>
                <w:b/>
                <w:sz w:val="14"/>
              </w:rPr>
              <w:t>Paul E. Rothamel</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A. S</w:t>
            </w:r>
            <w:r>
              <w:rPr>
                <w:rFonts w:ascii="Times New Roman" w:hAnsi="Times New Roman"/>
                <w:sz w:val="14"/>
              </w:rPr>
              <w:t>TAMP        </w:t>
            </w:r>
          </w:p>
          <w:p>
            <w:pPr>
              <w:pStyle w:val="TableContents"/>
              <w:spacing w:before="0" w:after="15"/>
              <w:jc w:val="center"/>
              <w:rPr>
                <w:rFonts w:ascii="Times New Roman" w:hAnsi="Times New Roman"/>
                <w:b/>
                <w:sz w:val="14"/>
              </w:rPr>
            </w:pPr>
            <w:r>
              <w:rPr>
                <w:rFonts w:ascii="Times New Roman" w:hAnsi="Times New Roman"/>
                <w:b/>
                <w:sz w:val="14"/>
              </w:rPr>
              <w:t>Stephen A. Stamp</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 and Chief Financial Officer</w:t>
              <w:br/>
              <w:t>(principal financial and accounting officer)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EZCORP Online,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RENT</w:t>
            </w:r>
            <w:r>
              <w:rPr>
                <w:rFonts w:ascii="Times New Roman" w:hAnsi="Times New Roman"/>
                <w:sz w:val="20"/>
              </w:rPr>
              <w:t xml:space="preserve"> T</w:t>
            </w:r>
            <w:r>
              <w:rPr>
                <w:rFonts w:ascii="Times New Roman" w:hAnsi="Times New Roman"/>
                <w:sz w:val="14"/>
              </w:rPr>
              <w:t>URNER        </w:t>
            </w:r>
          </w:p>
          <w:p>
            <w:pPr>
              <w:pStyle w:val="TableContents"/>
              <w:spacing w:before="0" w:after="15"/>
              <w:jc w:val="center"/>
              <w:rPr>
                <w:rFonts w:ascii="Times New Roman" w:hAnsi="Times New Roman"/>
                <w:b/>
                <w:sz w:val="14"/>
              </w:rPr>
            </w:pPr>
            <w:r>
              <w:rPr>
                <w:rFonts w:ascii="Times New Roman" w:hAnsi="Times New Roman"/>
                <w:b/>
                <w:sz w:val="14"/>
              </w:rPr>
              <w:t>Brent Turner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EZCORP USA,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E</w:t>
            </w:r>
            <w:r>
              <w:rPr>
                <w:rFonts w:ascii="Times New Roman" w:hAnsi="Times New Roman"/>
                <w:sz w:val="14"/>
              </w:rPr>
              <w:t>RIC</w:t>
            </w:r>
            <w:r>
              <w:rPr>
                <w:rFonts w:ascii="Times New Roman" w:hAnsi="Times New Roman"/>
                <w:sz w:val="20"/>
              </w:rPr>
              <w:t xml:space="preserve"> F</w:t>
            </w:r>
            <w:r>
              <w:rPr>
                <w:rFonts w:ascii="Times New Roman" w:hAnsi="Times New Roman"/>
                <w:sz w:val="14"/>
              </w:rPr>
              <w:t>OSSE        </w:t>
            </w:r>
          </w:p>
          <w:p>
            <w:pPr>
              <w:pStyle w:val="TableContents"/>
              <w:spacing w:before="0" w:after="15"/>
              <w:jc w:val="center"/>
              <w:rPr>
                <w:rFonts w:ascii="Times New Roman" w:hAnsi="Times New Roman"/>
                <w:b/>
                <w:sz w:val="14"/>
              </w:rPr>
            </w:pPr>
            <w:r>
              <w:rPr>
                <w:rFonts w:ascii="Times New Roman" w:hAnsi="Times New Roman"/>
                <w:b/>
                <w:sz w:val="14"/>
              </w:rPr>
              <w:t>Eric Fosse</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EZMONEY Alabama,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EZMONEY Canada,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E</w:t>
            </w:r>
            <w:r>
              <w:rPr>
                <w:rFonts w:ascii="Times New Roman" w:hAnsi="Times New Roman"/>
                <w:sz w:val="14"/>
              </w:rPr>
              <w:t>RIC</w:t>
            </w:r>
            <w:r>
              <w:rPr>
                <w:rFonts w:ascii="Times New Roman" w:hAnsi="Times New Roman"/>
                <w:sz w:val="20"/>
              </w:rPr>
              <w:t xml:space="preserve"> F</w:t>
            </w:r>
            <w:r>
              <w:rPr>
                <w:rFonts w:ascii="Times New Roman" w:hAnsi="Times New Roman"/>
                <w:sz w:val="14"/>
              </w:rPr>
              <w:t>OSSE        </w:t>
            </w:r>
          </w:p>
          <w:p>
            <w:pPr>
              <w:pStyle w:val="TableContents"/>
              <w:spacing w:before="0" w:after="15"/>
              <w:jc w:val="center"/>
              <w:rPr>
                <w:rFonts w:ascii="Times New Roman" w:hAnsi="Times New Roman"/>
                <w:b/>
                <w:sz w:val="14"/>
              </w:rPr>
            </w:pPr>
            <w:r>
              <w:rPr>
                <w:rFonts w:ascii="Times New Roman" w:hAnsi="Times New Roman"/>
                <w:b/>
                <w:sz w:val="14"/>
              </w:rPr>
              <w:t>Eric Fosse</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EZMONEY Colorado,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EZMONEY Hawaii,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EZMONEY Holdings,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EZMONEY Idaho,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EZMONEY Kansas,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EZMONEY Management,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EZMONEY Missouri,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EZMONEY Nebraska,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EZMONEY South Dakota,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EZMONEY Utah,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EZMONEY Wisconsin,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EZPAWN Alabama,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EZPAWN Arkansas,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EZPAWN Colorado,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EZPAWN Florida,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EZPAWN Georgia,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EZPAWN Holdings,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EZPAWN Illinois,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EZPAWN Indiana,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EZPAWN Iowa,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EZPAWN Louisiana,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EZPAWN Mexico Holdings, LLC </w:t>
      </w:r>
    </w:p>
    <w:p>
      <w:pPr>
        <w:pStyle w:val="TextBody"/>
        <w:spacing w:before="0" w:after="0"/>
        <w:rPr>
          <w:rFonts w:ascii="Times New Roman" w:hAnsi="Times New Roman"/>
          <w:sz w:val="20"/>
        </w:rPr>
      </w:pPr>
      <w:r>
        <w:rPr>
          <w:rFonts w:ascii="Times New Roman" w:hAnsi="Times New Roman"/>
          <w:sz w:val="20"/>
        </w:rPr>
        <w:t xml:space="preserve">By: EZCORP Global, B.V., its sole member and manager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3"/>
        <w:gridCol w:w="3471"/>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47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3" w:type="dxa"/>
            <w:tcBorders/>
            <w:shd w:fill="auto" w:val="clear"/>
            <w:vAlign w:val="bottom"/>
          </w:tcPr>
          <w:p>
            <w:pPr>
              <w:pStyle w:val="TableContents"/>
              <w:spacing w:before="0" w:after="283"/>
              <w:rPr/>
            </w:pPr>
            <w:r>
              <w:rPr/>
              <w:t>  </w:t>
            </w:r>
          </w:p>
        </w:tc>
        <w:tc>
          <w:tcPr>
            <w:tcW w:w="347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spacing w:before="0" w:after="283"/>
              <w:rPr>
                <w:rFonts w:ascii="Times New Roman" w:hAnsi="Times New Roman"/>
                <w:sz w:val="20"/>
              </w:rPr>
            </w:pPr>
            <w:r>
              <w:rPr>
                <w:rFonts w:ascii="Times New Roman" w:hAnsi="Times New Roman"/>
                <w:sz w:val="20"/>
              </w:rPr>
              <w:t>Vistra (Netherlands) B.V.</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c>
          <w:tcPr>
            <w:tcW w:w="449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J.W.P. J</w:t>
            </w:r>
            <w:r>
              <w:rPr>
                <w:rFonts w:ascii="Times New Roman" w:hAnsi="Times New Roman"/>
                <w:sz w:val="14"/>
              </w:rPr>
              <w:t>ANSEN</w:t>
            </w:r>
            <w:r>
              <w:rPr>
                <w:rFonts w:ascii="Times New Roman" w:hAnsi="Times New Roman"/>
                <w:sz w:val="20"/>
              </w:rPr>
              <w:t>/L.F.S. B</w:t>
            </w:r>
            <w:r>
              <w:rPr>
                <w:rFonts w:ascii="Times New Roman" w:hAnsi="Times New Roman"/>
                <w:sz w:val="14"/>
              </w:rPr>
              <w:t>AGCHUS        </w:t>
            </w:r>
          </w:p>
          <w:p>
            <w:pPr>
              <w:pStyle w:val="TableContents"/>
              <w:spacing w:before="0" w:after="15"/>
              <w:jc w:val="center"/>
              <w:rPr>
                <w:rFonts w:ascii="Times New Roman" w:hAnsi="Times New Roman"/>
                <w:b/>
                <w:sz w:val="14"/>
              </w:rPr>
            </w:pPr>
            <w:r>
              <w:rPr>
                <w:rFonts w:ascii="Times New Roman" w:hAnsi="Times New Roman"/>
                <w:b/>
                <w:sz w:val="14"/>
              </w:rPr>
              <w:t>J.W.P. Jansen/L.F.S. Bagchus</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 xml:space="preserve">/s/    I.M. </w:t>
            </w:r>
            <w:r>
              <w:rPr>
                <w:rFonts w:ascii="Times New Roman" w:hAnsi="Times New Roman"/>
                <w:sz w:val="14"/>
              </w:rPr>
              <w:t>TEN</w:t>
            </w:r>
            <w:r>
              <w:rPr>
                <w:rFonts w:ascii="Times New Roman" w:hAnsi="Times New Roman"/>
                <w:sz w:val="20"/>
              </w:rPr>
              <w:t xml:space="preserve"> H</w:t>
            </w:r>
            <w:r>
              <w:rPr>
                <w:rFonts w:ascii="Times New Roman" w:hAnsi="Times New Roman"/>
                <w:sz w:val="14"/>
              </w:rPr>
              <w:t>OVE        </w:t>
            </w:r>
          </w:p>
          <w:p>
            <w:pPr>
              <w:pStyle w:val="TableContents"/>
              <w:spacing w:before="0" w:after="15"/>
              <w:jc w:val="center"/>
              <w:rPr>
                <w:rFonts w:ascii="Times New Roman" w:hAnsi="Times New Roman"/>
                <w:b/>
                <w:sz w:val="14"/>
              </w:rPr>
            </w:pPr>
            <w:r>
              <w:rPr>
                <w:rFonts w:ascii="Times New Roman" w:hAnsi="Times New Roman"/>
                <w:b/>
                <w:sz w:val="14"/>
              </w:rPr>
              <w:t>I.M. ten Hove</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A. S</w:t>
            </w:r>
            <w:r>
              <w:rPr>
                <w:rFonts w:ascii="Times New Roman" w:hAnsi="Times New Roman"/>
                <w:sz w:val="14"/>
              </w:rPr>
              <w:t>TAMP        </w:t>
            </w:r>
          </w:p>
          <w:p>
            <w:pPr>
              <w:pStyle w:val="TableContents"/>
              <w:spacing w:before="0" w:after="15"/>
              <w:jc w:val="center"/>
              <w:rPr>
                <w:rFonts w:ascii="Times New Roman" w:hAnsi="Times New Roman"/>
                <w:b/>
                <w:sz w:val="14"/>
              </w:rPr>
            </w:pPr>
            <w:r>
              <w:rPr>
                <w:rFonts w:ascii="Times New Roman" w:hAnsi="Times New Roman"/>
                <w:b/>
                <w:sz w:val="14"/>
              </w:rPr>
              <w:t>Stephen A. Stamp</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 and Chief Financial Officer and Director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M</w:t>
            </w:r>
            <w:r>
              <w:rPr>
                <w:rFonts w:ascii="Times New Roman" w:hAnsi="Times New Roman"/>
                <w:sz w:val="14"/>
              </w:rPr>
              <w:t>ARK</w:t>
            </w:r>
            <w:r>
              <w:rPr>
                <w:rFonts w:ascii="Times New Roman" w:hAnsi="Times New Roman"/>
                <w:sz w:val="20"/>
              </w:rPr>
              <w:t xml:space="preserve"> K</w:t>
            </w:r>
            <w:r>
              <w:rPr>
                <w:rFonts w:ascii="Times New Roman" w:hAnsi="Times New Roman"/>
                <w:sz w:val="14"/>
              </w:rPr>
              <w:t>UCHENRITHER        </w:t>
            </w:r>
          </w:p>
          <w:p>
            <w:pPr>
              <w:pStyle w:val="TableContents"/>
              <w:spacing w:before="0" w:after="15"/>
              <w:jc w:val="center"/>
              <w:rPr>
                <w:rFonts w:ascii="Times New Roman" w:hAnsi="Times New Roman"/>
                <w:b/>
                <w:sz w:val="14"/>
              </w:rPr>
            </w:pPr>
            <w:r>
              <w:rPr>
                <w:rFonts w:ascii="Times New Roman" w:hAnsi="Times New Roman"/>
                <w:b/>
                <w:sz w:val="14"/>
              </w:rPr>
              <w:t>Mark Kuchenrither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EZPAWN Mexico Ltd., LLC </w:t>
      </w:r>
    </w:p>
    <w:p>
      <w:pPr>
        <w:pStyle w:val="TextBody"/>
        <w:spacing w:before="0" w:after="0"/>
        <w:rPr>
          <w:rFonts w:ascii="Times New Roman" w:hAnsi="Times New Roman"/>
          <w:sz w:val="20"/>
        </w:rPr>
      </w:pPr>
      <w:r>
        <w:rPr>
          <w:rFonts w:ascii="Times New Roman" w:hAnsi="Times New Roman"/>
          <w:sz w:val="20"/>
        </w:rPr>
        <w:t xml:space="preserve">By: EZCORP Global, B.V., its sole member and manager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3"/>
        <w:gridCol w:w="3471"/>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47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3" w:type="dxa"/>
            <w:tcBorders/>
            <w:shd w:fill="auto" w:val="clear"/>
            <w:vAlign w:val="bottom"/>
          </w:tcPr>
          <w:p>
            <w:pPr>
              <w:pStyle w:val="TableContents"/>
              <w:spacing w:before="0" w:after="283"/>
              <w:rPr/>
            </w:pPr>
            <w:r>
              <w:rPr/>
              <w:t>  </w:t>
            </w:r>
          </w:p>
        </w:tc>
        <w:tc>
          <w:tcPr>
            <w:tcW w:w="347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spacing w:before="0" w:after="283"/>
              <w:rPr>
                <w:rFonts w:ascii="Times New Roman" w:hAnsi="Times New Roman"/>
                <w:sz w:val="20"/>
              </w:rPr>
            </w:pPr>
            <w:r>
              <w:rPr>
                <w:rFonts w:ascii="Times New Roman" w:hAnsi="Times New Roman"/>
                <w:sz w:val="20"/>
              </w:rPr>
              <w:t>Vistra (Netherlands) B.V.</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c>
          <w:tcPr>
            <w:tcW w:w="449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J.W.P. J</w:t>
            </w:r>
            <w:r>
              <w:rPr>
                <w:rFonts w:ascii="Times New Roman" w:hAnsi="Times New Roman"/>
                <w:sz w:val="14"/>
              </w:rPr>
              <w:t>ANSEN</w:t>
            </w:r>
            <w:r>
              <w:rPr>
                <w:rFonts w:ascii="Times New Roman" w:hAnsi="Times New Roman"/>
                <w:sz w:val="20"/>
              </w:rPr>
              <w:t>/L.F.S. B</w:t>
            </w:r>
            <w:r>
              <w:rPr>
                <w:rFonts w:ascii="Times New Roman" w:hAnsi="Times New Roman"/>
                <w:sz w:val="14"/>
              </w:rPr>
              <w:t>AGCHUS        </w:t>
            </w:r>
          </w:p>
          <w:p>
            <w:pPr>
              <w:pStyle w:val="TableContents"/>
              <w:spacing w:before="0" w:after="15"/>
              <w:jc w:val="center"/>
              <w:rPr>
                <w:rFonts w:ascii="Times New Roman" w:hAnsi="Times New Roman"/>
                <w:b/>
                <w:sz w:val="14"/>
              </w:rPr>
            </w:pPr>
            <w:r>
              <w:rPr>
                <w:rFonts w:ascii="Times New Roman" w:hAnsi="Times New Roman"/>
                <w:b/>
                <w:sz w:val="14"/>
              </w:rPr>
              <w:t>J.W.P. Jansen/L.F.S. Bagchus</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 xml:space="preserve">/s/    I.M. </w:t>
            </w:r>
            <w:r>
              <w:rPr>
                <w:rFonts w:ascii="Times New Roman" w:hAnsi="Times New Roman"/>
                <w:sz w:val="14"/>
              </w:rPr>
              <w:t>TEN</w:t>
            </w:r>
            <w:r>
              <w:rPr>
                <w:rFonts w:ascii="Times New Roman" w:hAnsi="Times New Roman"/>
                <w:sz w:val="20"/>
              </w:rPr>
              <w:t xml:space="preserve"> H</w:t>
            </w:r>
            <w:r>
              <w:rPr>
                <w:rFonts w:ascii="Times New Roman" w:hAnsi="Times New Roman"/>
                <w:sz w:val="14"/>
              </w:rPr>
              <w:t>OVE        </w:t>
            </w:r>
          </w:p>
          <w:p>
            <w:pPr>
              <w:pStyle w:val="TableContents"/>
              <w:spacing w:before="0" w:after="15"/>
              <w:jc w:val="center"/>
              <w:rPr>
                <w:rFonts w:ascii="Times New Roman" w:hAnsi="Times New Roman"/>
                <w:b/>
                <w:sz w:val="14"/>
              </w:rPr>
            </w:pPr>
            <w:r>
              <w:rPr>
                <w:rFonts w:ascii="Times New Roman" w:hAnsi="Times New Roman"/>
                <w:b/>
                <w:sz w:val="14"/>
              </w:rPr>
              <w:t>I.M. ten Hove</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A. S</w:t>
            </w:r>
            <w:r>
              <w:rPr>
                <w:rFonts w:ascii="Times New Roman" w:hAnsi="Times New Roman"/>
                <w:sz w:val="14"/>
              </w:rPr>
              <w:t>TAMP        </w:t>
            </w:r>
          </w:p>
          <w:p>
            <w:pPr>
              <w:pStyle w:val="TableContents"/>
              <w:spacing w:before="0" w:after="15"/>
              <w:jc w:val="center"/>
              <w:rPr>
                <w:rFonts w:ascii="Times New Roman" w:hAnsi="Times New Roman"/>
                <w:b/>
                <w:sz w:val="14"/>
              </w:rPr>
            </w:pPr>
            <w:r>
              <w:rPr>
                <w:rFonts w:ascii="Times New Roman" w:hAnsi="Times New Roman"/>
                <w:b/>
                <w:sz w:val="14"/>
              </w:rPr>
              <w:t>Stephen A. Stamp</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 and Chief Financial Officer and Director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M</w:t>
            </w:r>
            <w:r>
              <w:rPr>
                <w:rFonts w:ascii="Times New Roman" w:hAnsi="Times New Roman"/>
                <w:sz w:val="14"/>
              </w:rPr>
              <w:t>ARK</w:t>
            </w:r>
            <w:r>
              <w:rPr>
                <w:rFonts w:ascii="Times New Roman" w:hAnsi="Times New Roman"/>
                <w:sz w:val="20"/>
              </w:rPr>
              <w:t xml:space="preserve"> K</w:t>
            </w:r>
            <w:r>
              <w:rPr>
                <w:rFonts w:ascii="Times New Roman" w:hAnsi="Times New Roman"/>
                <w:sz w:val="14"/>
              </w:rPr>
              <w:t>UCHENRITHER        </w:t>
            </w:r>
          </w:p>
          <w:p>
            <w:pPr>
              <w:pStyle w:val="TableContents"/>
              <w:spacing w:before="0" w:after="15"/>
              <w:jc w:val="center"/>
              <w:rPr>
                <w:rFonts w:ascii="Times New Roman" w:hAnsi="Times New Roman"/>
                <w:b/>
                <w:sz w:val="14"/>
              </w:rPr>
            </w:pPr>
            <w:r>
              <w:rPr>
                <w:rFonts w:ascii="Times New Roman" w:hAnsi="Times New Roman"/>
                <w:b/>
                <w:sz w:val="14"/>
              </w:rPr>
              <w:t>Mark Kuchenrither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EZPAWN Nevada,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EZPAWN Oklahoma,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EZPAWN Tennessee,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EZPAWN Utah,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EZPAWN Wisconsin,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Mister Money Holdings,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Pawn Management,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Payday Loan Management,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Texas EZMONEY, L.P. </w:t>
      </w:r>
    </w:p>
    <w:p>
      <w:pPr>
        <w:pStyle w:val="TextBody"/>
        <w:spacing w:before="0" w:after="0"/>
        <w:rPr>
          <w:rFonts w:ascii="Times New Roman" w:hAnsi="Times New Roman"/>
          <w:sz w:val="20"/>
        </w:rPr>
      </w:pPr>
      <w:r>
        <w:rPr>
          <w:rFonts w:ascii="Times New Roman" w:hAnsi="Times New Roman"/>
          <w:sz w:val="20"/>
        </w:rPr>
        <w:t xml:space="preserve">By: Payday Loan Management, Inc., its general partner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Texas EZPAWN Management,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Texas EZPAWN, L.P. </w:t>
      </w:r>
    </w:p>
    <w:p>
      <w:pPr>
        <w:pStyle w:val="TextBody"/>
        <w:spacing w:before="0" w:after="0"/>
        <w:rPr>
          <w:rFonts w:ascii="Times New Roman" w:hAnsi="Times New Roman"/>
          <w:sz w:val="20"/>
        </w:rPr>
      </w:pPr>
      <w:r>
        <w:rPr>
          <w:rFonts w:ascii="Times New Roman" w:hAnsi="Times New Roman"/>
          <w:sz w:val="20"/>
        </w:rPr>
        <w:t xml:space="preserve">By: Texas EZPAWN Management, Inc., its general partner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Texas PRA Management, L.P. </w:t>
      </w:r>
    </w:p>
    <w:p>
      <w:pPr>
        <w:pStyle w:val="TextBody"/>
        <w:spacing w:before="0" w:after="0"/>
        <w:rPr>
          <w:rFonts w:ascii="Times New Roman" w:hAnsi="Times New Roman"/>
          <w:sz w:val="20"/>
        </w:rPr>
      </w:pPr>
      <w:r>
        <w:rPr>
          <w:rFonts w:ascii="Times New Roman" w:hAnsi="Times New Roman"/>
          <w:sz w:val="20"/>
        </w:rPr>
        <w:t xml:space="preserve">By: EZMONEY Management, Inc., its general partner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W</w:t>
            </w:r>
            <w:r>
              <w:rPr>
                <w:rFonts w:ascii="Times New Roman" w:hAnsi="Times New Roman"/>
                <w:sz w:val="14"/>
              </w:rPr>
              <w:t>HATLEY        </w:t>
            </w:r>
          </w:p>
          <w:p>
            <w:pPr>
              <w:pStyle w:val="TableContents"/>
              <w:spacing w:before="0" w:after="15"/>
              <w:jc w:val="center"/>
              <w:rPr>
                <w:rFonts w:ascii="Times New Roman" w:hAnsi="Times New Roman"/>
                <w:b/>
                <w:sz w:val="14"/>
              </w:rPr>
            </w:pPr>
            <w:r>
              <w:rPr>
                <w:rFonts w:ascii="Times New Roman" w:hAnsi="Times New Roman"/>
                <w:b/>
                <w:sz w:val="14"/>
              </w:rPr>
              <w:t>James Whatley</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Value Financial Services,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VFS Mexico Operations, LLC </w:t>
      </w:r>
    </w:p>
    <w:p>
      <w:pPr>
        <w:pStyle w:val="TextBody"/>
        <w:spacing w:before="0" w:after="0"/>
        <w:rPr>
          <w:rFonts w:ascii="Times New Roman" w:hAnsi="Times New Roman"/>
          <w:sz w:val="20"/>
        </w:rPr>
      </w:pPr>
      <w:r>
        <w:rPr>
          <w:rFonts w:ascii="Times New Roman" w:hAnsi="Times New Roman"/>
          <w:sz w:val="20"/>
        </w:rPr>
        <w:t xml:space="preserve">By: Value Financial Services, Inc., its sole member and manager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270" w:after="0"/>
        <w:rPr>
          <w:rFonts w:ascii="Times New Roman" w:hAnsi="Times New Roman"/>
          <w:b/>
          <w:sz w:val="20"/>
        </w:rPr>
      </w:pPr>
      <w:r>
        <w:rPr>
          <w:rFonts w:ascii="Times New Roman" w:hAnsi="Times New Roman"/>
          <w:b/>
          <w:sz w:val="20"/>
        </w:rPr>
        <w:t xml:space="preserve">VFS Mexico Services, LLC </w:t>
      </w:r>
    </w:p>
    <w:p>
      <w:pPr>
        <w:pStyle w:val="TextBody"/>
        <w:spacing w:before="0" w:after="0"/>
        <w:rPr>
          <w:rFonts w:ascii="Times New Roman" w:hAnsi="Times New Roman"/>
          <w:sz w:val="20"/>
        </w:rPr>
      </w:pPr>
      <w:r>
        <w:rPr>
          <w:rFonts w:ascii="Times New Roman" w:hAnsi="Times New Roman"/>
          <w:sz w:val="20"/>
        </w:rPr>
        <w:t xml:space="preserve">By: Value Financial Services, Inc., its sole member and manager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4"/>
        <w:gridCol w:w="3470"/>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H. W</w:t>
            </w:r>
            <w:r>
              <w:rPr>
                <w:rFonts w:ascii="Times New Roman" w:hAnsi="Times New Roman"/>
                <w:sz w:val="14"/>
              </w:rPr>
              <w:t>ELCH</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jc w:val="center"/>
              <w:rPr>
                <w:rFonts w:ascii="Times New Roman" w:hAnsi="Times New Roman"/>
                <w:b/>
                <w:sz w:val="14"/>
              </w:rPr>
            </w:pPr>
            <w:r>
              <w:rPr>
                <w:rFonts w:ascii="Times New Roman" w:hAnsi="Times New Roman"/>
                <w:b/>
                <w:sz w:val="14"/>
              </w:rPr>
              <w:t>Thomas H. Welch, Jr.</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ARRY</w:t>
            </w:r>
            <w:r>
              <w:rPr>
                <w:rFonts w:ascii="Times New Roman" w:hAnsi="Times New Roman"/>
                <w:sz w:val="20"/>
              </w:rPr>
              <w:t xml:space="preserve"> G</w:t>
            </w:r>
            <w:r>
              <w:rPr>
                <w:rFonts w:ascii="Times New Roman" w:hAnsi="Times New Roman"/>
                <w:sz w:val="14"/>
              </w:rPr>
              <w:t>UEST        </w:t>
            </w:r>
          </w:p>
          <w:p>
            <w:pPr>
              <w:pStyle w:val="TableContents"/>
              <w:spacing w:before="0" w:after="15"/>
              <w:jc w:val="center"/>
              <w:rPr>
                <w:rFonts w:ascii="Times New Roman" w:hAnsi="Times New Roman"/>
                <w:b/>
                <w:sz w:val="14"/>
              </w:rPr>
            </w:pPr>
            <w:r>
              <w:rPr>
                <w:rFonts w:ascii="Times New Roman" w:hAnsi="Times New Roman"/>
                <w:b/>
                <w:sz w:val="14"/>
              </w:rPr>
              <w:t>Barry Guest</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br/>
              <w:t>(principal executive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TEPHEN</w:t>
            </w:r>
            <w:r>
              <w:rPr>
                <w:rFonts w:ascii="Times New Roman" w:hAnsi="Times New Roman"/>
                <w:sz w:val="20"/>
              </w:rPr>
              <w:t xml:space="preserve"> B</w:t>
            </w:r>
            <w:r>
              <w:rPr>
                <w:rFonts w:ascii="Times New Roman" w:hAnsi="Times New Roman"/>
                <w:sz w:val="14"/>
              </w:rPr>
              <w:t>ROWN        </w:t>
            </w:r>
          </w:p>
          <w:p>
            <w:pPr>
              <w:pStyle w:val="TableContents"/>
              <w:spacing w:before="0" w:after="15"/>
              <w:jc w:val="center"/>
              <w:rPr>
                <w:rFonts w:ascii="Times New Roman" w:hAnsi="Times New Roman"/>
                <w:b/>
                <w:sz w:val="14"/>
              </w:rPr>
            </w:pPr>
            <w:r>
              <w:rPr>
                <w:rFonts w:ascii="Times New Roman" w:hAnsi="Times New Roman"/>
                <w:b/>
                <w:sz w:val="14"/>
              </w:rPr>
              <w:t>Stephen Brown</w:t>
            </w:r>
          </w:p>
        </w:tc>
        <w:tc>
          <w:tcPr>
            <w:tcW w:w="204"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Controller</w:t>
              <w:br/>
              <w:t>(principal financial and accounting officer)</w:t>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February 3,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3"/>
        <w:gridCol w:w="662"/>
        <w:gridCol w:w="8820"/>
      </w:tblGrid>
      <w:tr>
        <w:trPr/>
        <w:tc>
          <w:tcPr>
            <w:tcW w:w="723"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bottom"/>
          </w:tcPr>
          <w:p>
            <w:pPr>
              <w:pStyle w:val="TableContents"/>
              <w:spacing w:before="0" w:after="283"/>
              <w:rPr>
                <w:sz w:val="4"/>
                <w:szCs w:val="4"/>
              </w:rPr>
            </w:pPr>
            <w:r>
              <w:rPr>
                <w:sz w:val="4"/>
                <w:szCs w:val="4"/>
              </w:rPr>
            </w:r>
          </w:p>
        </w:tc>
        <w:tc>
          <w:tcPr>
            <w:tcW w:w="8820" w:type="dxa"/>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pBdr>
                <w:bottom w:val="single" w:sz="2" w:space="1" w:color="000000"/>
              </w:pBdr>
              <w:spacing w:before="0" w:after="15"/>
              <w:jc w:val="center"/>
              <w:rPr>
                <w:rFonts w:ascii="Times New Roman" w:hAnsi="Times New Roman"/>
                <w:b/>
                <w:sz w:val="14"/>
              </w:rPr>
            </w:pPr>
            <w:r>
              <w:rPr>
                <w:rFonts w:ascii="Times New Roman" w:hAnsi="Times New Roman"/>
                <w:b/>
                <w:sz w:val="14"/>
              </w:rPr>
              <w:t>Number</w:t>
            </w:r>
          </w:p>
        </w:tc>
        <w:tc>
          <w:tcPr>
            <w:tcW w:w="662" w:type="dxa"/>
            <w:tcBorders/>
            <w:shd w:fill="auto" w:val="clear"/>
            <w:vAlign w:val="bottom"/>
          </w:tcPr>
          <w:p>
            <w:pPr>
              <w:pStyle w:val="TableContents"/>
              <w:spacing w:before="0" w:after="283"/>
              <w:rPr/>
            </w:pPr>
            <w:r>
              <w:rPr/>
              <w:t> </w:t>
            </w:r>
          </w:p>
        </w:tc>
        <w:tc>
          <w:tcPr>
            <w:tcW w:w="882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Description</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1.1**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Underwriting Agreement</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Amended Certificate of Incorporation (incorporated by reference to Exhibit 3.1 to the Companys Registration Statement on Form S-4 filed on September 26, 2008, Commission File No. 33-153703)</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4.2</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Amended Bylaws (incorporated by reference to Exhibit 3.2 to the Companys Annual Report on Form 10-K for the year ended September 30, 2008, Commission File No. 0-19424)</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4.3</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Specimen of Class A Non-Voting Common Stock certificate (incorporated by reference to Exhibit 4.1 to the Companys Registration Statement on Form S-1 effective August 23, 1991, Commission File No. 33-41317)</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4.4*</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Indenture for Senior Debt Securities</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4.5*</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Indenture for Subordinated Debt Securities</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4.6**</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Senior Debt Securities</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4.7**</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Subordinated Debt Securities</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4.8**</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Warrant Agreement</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4.9**</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Warrant Certificate</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4.10**</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Stock Purchase Contract</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4.11**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Stock Purchase Unit</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4.16</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Credit Agreement, dated May 10, 2011, among EZCORP, Inc. (as Borrower), certain domestic subsidiaries of the Borrower from time to time party thereto (as Guarantors), the Lenders party thereto, and Wells Fargo Bank, National Association (as Administrative Agent) and BBVA Compass Bank (as Syndication Agent) (incorporated by reference to Exhibit 10.1 to the Companys Current Report on Form 8-K dated May 11, 2011 and filed May 12, 2011, Commission File No. 0-19424)</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pPr>
            <w:r>
              <w:rPr/>
              <w:t>  </w:t>
            </w:r>
            <w:r>
              <w:rPr>
                <w:rFonts w:ascii="Times New Roman" w:hAnsi="Times New Roman"/>
                <w:sz w:val="20"/>
              </w:rPr>
              <w:t>5.1*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12.1*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Computation of Ratio of Earnings to Fixed Charges</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23.1*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independent registered public accounting firm</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23.2*</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Vinson &amp; Elkins L.L.P. (included in Exhibit 5.1)</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24.1*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Power of attorney (set forth on signature page)</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25.1</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T-1 Statement of Eligibility under Trust Indenture Act of 1939 respecting the Senior Indenture</w:t>
            </w:r>
          </w:p>
        </w:tc>
      </w:tr>
      <w:tr>
        <w:trPr>
          <w:trHeight w:val="120" w:hRule="atLeast"/>
        </w:trPr>
        <w:tc>
          <w:tcPr>
            <w:tcW w:w="723" w:type="dxa"/>
            <w:tcBorders/>
            <w:shd w:fill="auto" w:val="clear"/>
            <w:vAlign w:val="center"/>
          </w:tcPr>
          <w:p>
            <w:pPr>
              <w:pStyle w:val="TableContents"/>
              <w:spacing w:before="0" w:after="283"/>
              <w:rPr>
                <w:sz w:val="4"/>
                <w:szCs w:val="4"/>
              </w:rPr>
            </w:pPr>
            <w:r>
              <w:rPr>
                <w:sz w:val="4"/>
                <w:szCs w:val="4"/>
              </w:rPr>
            </w:r>
          </w:p>
        </w:tc>
        <w:tc>
          <w:tcPr>
            <w:tcW w:w="9482" w:type="dxa"/>
            <w:gridSpan w:val="2"/>
            <w:tcBorders/>
            <w:shd w:fill="auto" w:val="clear"/>
            <w:vAlign w:val="center"/>
          </w:tcPr>
          <w:p>
            <w:pPr>
              <w:pStyle w:val="TableContents"/>
              <w:spacing w:before="0" w:after="283"/>
              <w:rPr>
                <w:sz w:val="4"/>
                <w:szCs w:val="4"/>
              </w:rPr>
            </w:pPr>
            <w:r>
              <w:rPr>
                <w:sz w:val="4"/>
                <w:szCs w:val="4"/>
              </w:rPr>
            </w:r>
          </w:p>
        </w:tc>
      </w:tr>
      <w:tr>
        <w:trPr/>
        <w:tc>
          <w:tcPr>
            <w:tcW w:w="723" w:type="dxa"/>
            <w:tcBorders/>
            <w:shd w:fill="auto" w:val="clear"/>
          </w:tcPr>
          <w:p>
            <w:pPr>
              <w:pStyle w:val="TableContents"/>
              <w:spacing w:before="0" w:after="283"/>
              <w:rPr>
                <w:rFonts w:ascii="Times New Roman" w:hAnsi="Times New Roman"/>
                <w:sz w:val="20"/>
              </w:rPr>
            </w:pPr>
            <w:r>
              <w:rPr>
                <w:rFonts w:ascii="Times New Roman" w:hAnsi="Times New Roman"/>
                <w:sz w:val="20"/>
              </w:rPr>
              <w:t>25.2</w:t>
            </w:r>
          </w:p>
        </w:tc>
        <w:tc>
          <w:tcPr>
            <w:tcW w:w="662" w:type="dxa"/>
            <w:tcBorders/>
            <w:shd w:fill="auto" w:val="clear"/>
            <w:vAlign w:val="bottom"/>
          </w:tcPr>
          <w:p>
            <w:pPr>
              <w:pStyle w:val="TableContents"/>
              <w:spacing w:before="0" w:after="283"/>
              <w:rPr/>
            </w:pPr>
            <w:r>
              <w:rPr/>
              <w:t> </w:t>
            </w:r>
          </w:p>
        </w:tc>
        <w:tc>
          <w:tcPr>
            <w:tcW w:w="8820" w:type="dxa"/>
            <w:tcBorders/>
            <w:shd w:fill="auto" w:val="clear"/>
          </w:tcPr>
          <w:p>
            <w:pPr>
              <w:pStyle w:val="TableContents"/>
              <w:spacing w:before="0" w:after="283"/>
              <w:rPr>
                <w:rFonts w:ascii="Times New Roman" w:hAnsi="Times New Roman"/>
                <w:sz w:val="20"/>
              </w:rPr>
            </w:pPr>
            <w:r>
              <w:rPr>
                <w:rFonts w:ascii="Times New Roman" w:hAnsi="Times New Roman"/>
                <w:sz w:val="20"/>
              </w:rPr>
              <w:t>Form T-1 Statement of Eligibility under Trust Indenture Act of 1939 respecting the Subordinated Indenture</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filed either by amendment or as an exhibit to a document incorporated by reference in this Registration Statement.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filed later in accordance with Section 310(a) of the Trust Indenture Act of 1939, as amended.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II-29 </w:t>
      </w:r>
      <w:r>
        <w:br w:type="page"/>
      </w:r>
    </w:p>
    <w:p>
      <w:pPr>
        <w:pStyle w:val="TextBody"/>
        <w:spacing w:before="0" w:after="0"/>
        <w:jc w:val="right"/>
        <w:rPr>
          <w:rFonts w:ascii="Times New Roman" w:hAnsi="Times New Roman"/>
          <w:b/>
          <w:sz w:val="20"/>
        </w:rPr>
      </w:pPr>
      <w:bookmarkStart w:id="19" w:name="d267319dex44.htm"/>
      <w:bookmarkStart w:id="20" w:name="ksd267319dex44"/>
      <w:bookmarkEnd w:id="19"/>
      <w:bookmarkEnd w:id="20"/>
      <w:r>
        <w:rPr>
          <w:rFonts w:ascii="Times New Roman" w:hAnsi="Times New Roman"/>
          <w:b/>
          <w:sz w:val="20"/>
        </w:rPr>
        <w:t xml:space="preserve">EXHIBIT 4.4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as Issuer </w:t>
      </w:r>
    </w:p>
    <w:p>
      <w:pPr>
        <w:pStyle w:val="TextBody"/>
        <w:spacing w:before="180" w:after="0"/>
        <w:jc w:val="center"/>
        <w:rPr>
          <w:rFonts w:ascii="Times New Roman" w:hAnsi="Times New Roman"/>
          <w:b/>
          <w:sz w:val="20"/>
        </w:rPr>
      </w:pPr>
      <w:r>
        <w:rPr>
          <w:rFonts w:ascii="Times New Roman" w:hAnsi="Times New Roman"/>
          <w:b/>
          <w:sz w:val="20"/>
        </w:rPr>
        <w:t xml:space="preserve">and </w:t>
      </w:r>
    </w:p>
    <w:p>
      <w:pPr>
        <w:pStyle w:val="TextBody"/>
        <w:spacing w:before="180" w:after="0"/>
        <w:jc w:val="center"/>
        <w:rPr>
          <w:rFonts w:ascii="Times New Roman" w:hAnsi="Times New Roman"/>
          <w:b/>
          <w:sz w:val="20"/>
        </w:rPr>
      </w:pPr>
      <w:r>
        <w:rPr>
          <w:rFonts w:ascii="Times New Roman" w:hAnsi="Times New Roman"/>
          <w:b/>
          <w:sz w:val="20"/>
        </w:rPr>
        <w:t xml:space="preserve">EACH OF THE SUBSIDIARY GUARANTORS PARTIES HERETO, </w:t>
      </w:r>
    </w:p>
    <w:p>
      <w:pPr>
        <w:pStyle w:val="TextBody"/>
        <w:spacing w:before="0" w:after="0"/>
        <w:jc w:val="center"/>
        <w:rPr>
          <w:rFonts w:ascii="Times New Roman" w:hAnsi="Times New Roman"/>
          <w:b/>
          <w:sz w:val="20"/>
        </w:rPr>
      </w:pPr>
      <w:r>
        <w:rPr>
          <w:rFonts w:ascii="Times New Roman" w:hAnsi="Times New Roman"/>
          <w:b/>
          <w:sz w:val="20"/>
        </w:rPr>
        <w:t xml:space="preserve">as Subsidiary Guarantors </w:t>
      </w:r>
    </w:p>
    <w:p>
      <w:pPr>
        <w:pStyle w:val="TextBody"/>
        <w:spacing w:before="180" w:after="0"/>
        <w:jc w:val="center"/>
        <w:rPr>
          <w:rFonts w:ascii="Times New Roman" w:hAnsi="Times New Roman"/>
          <w:b/>
          <w:sz w:val="20"/>
        </w:rPr>
      </w:pPr>
      <w:r>
        <w:rPr>
          <w:rFonts w:ascii="Times New Roman" w:hAnsi="Times New Roman"/>
          <w:b/>
          <w:sz w:val="20"/>
        </w:rPr>
        <w:t xml:space="preserve">to </w:t>
      </w:r>
    </w:p>
    <w:p>
      <w:pPr>
        <w:pStyle w:val="TextBody"/>
        <w:spacing w:before="180" w:after="0"/>
        <w:jc w:val="center"/>
        <w:rPr>
          <w:rFonts w:ascii="Times New Roman" w:hAnsi="Times New Roman"/>
          <w:b/>
          <w:sz w:val="20"/>
        </w:rPr>
      </w:pP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p>
    <w:p>
      <w:pPr>
        <w:pStyle w:val="TextBody"/>
        <w:spacing w:before="0" w:after="0"/>
        <w:jc w:val="center"/>
        <w:rPr>
          <w:rFonts w:ascii="Times New Roman" w:hAnsi="Times New Roman"/>
          <w:b/>
          <w:sz w:val="20"/>
        </w:rPr>
      </w:pPr>
      <w:r>
        <w:rPr>
          <w:rFonts w:ascii="Times New Roman" w:hAnsi="Times New Roman"/>
          <w:b/>
          <w:sz w:val="20"/>
        </w:rPr>
        <w:t xml:space="preserve">as Trustee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0"/>
        </w:rPr>
      </w:pPr>
      <w:r>
        <w:rPr>
          <w:rFonts w:ascii="Times New Roman" w:hAnsi="Times New Roman"/>
          <w:b/>
          <w:sz w:val="20"/>
        </w:rPr>
        <w:t xml:space="preserve">FORM OF </w:t>
      </w:r>
    </w:p>
    <w:p>
      <w:pPr>
        <w:pStyle w:val="TextBody"/>
        <w:spacing w:before="0" w:after="0"/>
        <w:jc w:val="center"/>
        <w:rPr>
          <w:rFonts w:ascii="Times New Roman" w:hAnsi="Times New Roman"/>
          <w:b/>
          <w:sz w:val="20"/>
        </w:rPr>
      </w:pPr>
      <w:r>
        <w:rPr>
          <w:rFonts w:ascii="Times New Roman" w:hAnsi="Times New Roman"/>
          <w:b/>
          <w:sz w:val="20"/>
        </w:rPr>
        <w:t xml:space="preserve">SENIOR INDENTURE </w:t>
      </w:r>
    </w:p>
    <w:p>
      <w:pPr>
        <w:pStyle w:val="TextBody"/>
        <w:spacing w:before="180" w:after="0"/>
        <w:jc w:val="center"/>
        <w:rPr>
          <w:rFonts w:ascii="Times New Roman" w:hAnsi="Times New Roman"/>
          <w:b/>
          <w:sz w:val="20"/>
        </w:rPr>
      </w:pPr>
      <w:r>
        <w:rPr>
          <w:rFonts w:ascii="Times New Roman" w:hAnsi="Times New Roman"/>
          <w:b/>
          <w:sz w:val="20"/>
        </w:rPr>
        <w:t xml:space="preserve">Dated as of </w:t>
      </w:r>
      <w:r>
        <w:rPr>
          <w:rFonts w:ascii="Times New Roman" w:hAnsi="Times New Roman"/>
          <w:b/>
          <w:sz w:val="20"/>
          <w:u w:val="single"/>
        </w:rPr>
        <w:t>                    </w:t>
      </w:r>
      <w:r>
        <w:rPr>
          <w:rFonts w:ascii="Times New Roman" w:hAnsi="Times New Roman"/>
          <w:b/>
          <w:sz w:val="20"/>
        </w:rPr>
        <w:t xml:space="preserve">, 20__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186"/>
        <w:gridCol w:w="197"/>
        <w:gridCol w:w="8214"/>
        <w:gridCol w:w="197"/>
        <w:gridCol w:w="60"/>
        <w:gridCol w:w="230"/>
        <w:gridCol w:w="121"/>
      </w:tblGrid>
      <w:tr>
        <w:trPr/>
        <w:tc>
          <w:tcPr>
            <w:tcW w:w="118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821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9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Page</w:t>
            </w:r>
          </w:p>
        </w:tc>
        <w:tc>
          <w:tcPr>
            <w:tcW w:w="121" w:type="dxa"/>
            <w:tcBorders/>
            <w:shd w:fill="auto" w:val="clear"/>
            <w:vAlign w:val="bottom"/>
          </w:tcPr>
          <w:p>
            <w:pPr>
              <w:pStyle w:val="TableContents"/>
              <w:spacing w:before="0" w:after="283"/>
              <w:rPr/>
            </w:pPr>
            <w:r>
              <w:rPr/>
              <w:t> </w:t>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ONE DEFINITIONS AND OTHER PROVISIONS OF GENERAL APPLICATION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1186" w:type="dxa"/>
            <w:tcBorders/>
            <w:shd w:fill="auto" w:val="clear"/>
            <w:vAlign w:val="center"/>
          </w:tcPr>
          <w:p>
            <w:pPr>
              <w:pStyle w:val="TableContents"/>
              <w:spacing w:before="0" w:after="283"/>
              <w:rPr>
                <w:sz w:val="4"/>
                <w:szCs w:val="4"/>
              </w:rPr>
            </w:pPr>
            <w:r>
              <w:rPr>
                <w:sz w:val="4"/>
                <w:szCs w:val="4"/>
              </w:rPr>
            </w:r>
          </w:p>
        </w:tc>
        <w:tc>
          <w:tcPr>
            <w:tcW w:w="8411" w:type="dxa"/>
            <w:gridSpan w:val="2"/>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101.</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Definitions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102.</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Compliance Certificates and Opinions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103.</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Documents Delivered to Trustee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104.</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Acts of Holders; Record Dates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105.</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Notices, Etc., to Trustee and Company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106.</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 to Holders; Waiver</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107.</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Conflict with Trust Indenture Act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108.</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Effect of Headings and Table of Contents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109.</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Successors and Assigns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Separability Clause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111.</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Benefits of Indenture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112.</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Governing Law</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113.</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Legal Holidays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114.</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 Recourse Against Others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gridSpan w:val="3"/>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TWO SECURITY FORMS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rHeight w:val="120" w:hRule="atLeast"/>
        </w:trPr>
        <w:tc>
          <w:tcPr>
            <w:tcW w:w="1186" w:type="dxa"/>
            <w:tcBorders/>
            <w:shd w:fill="auto" w:val="clear"/>
            <w:vAlign w:val="center"/>
          </w:tcPr>
          <w:p>
            <w:pPr>
              <w:pStyle w:val="TableContents"/>
              <w:spacing w:before="0" w:after="283"/>
              <w:rPr>
                <w:sz w:val="4"/>
                <w:szCs w:val="4"/>
              </w:rPr>
            </w:pPr>
            <w:r>
              <w:rPr>
                <w:sz w:val="4"/>
                <w:szCs w:val="4"/>
              </w:rPr>
            </w:r>
          </w:p>
        </w:tc>
        <w:tc>
          <w:tcPr>
            <w:tcW w:w="8411" w:type="dxa"/>
            <w:gridSpan w:val="2"/>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201.</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Forms Generally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202.</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Face of Security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203.</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Reverse of Security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204.</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Notation of Subsidiary Guarantee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205.</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Legend for Global Securities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206.</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Trustees Certificate of Authentication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207.</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Conversion Notice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gridSpan w:val="3"/>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THREE THE SECURITIES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r>
        <w:trPr>
          <w:trHeight w:val="120" w:hRule="atLeast"/>
        </w:trPr>
        <w:tc>
          <w:tcPr>
            <w:tcW w:w="1186" w:type="dxa"/>
            <w:tcBorders/>
            <w:shd w:fill="auto" w:val="clear"/>
            <w:vAlign w:val="center"/>
          </w:tcPr>
          <w:p>
            <w:pPr>
              <w:pStyle w:val="TableContents"/>
              <w:spacing w:before="0" w:after="283"/>
              <w:rPr>
                <w:sz w:val="4"/>
                <w:szCs w:val="4"/>
              </w:rPr>
            </w:pPr>
            <w:r>
              <w:rPr>
                <w:sz w:val="4"/>
                <w:szCs w:val="4"/>
              </w:rPr>
            </w:r>
          </w:p>
        </w:tc>
        <w:tc>
          <w:tcPr>
            <w:tcW w:w="8411" w:type="dxa"/>
            <w:gridSpan w:val="2"/>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301.</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Amount Unlimited; Issuable in Series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302.</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Denominations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303.</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Execution, Authentication, Delivery and Dating</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304.</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Temporary Securities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305.</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Registration, Registration of Transfer and Exchange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306.</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Mutilated, Destroyed, Lost and Stolen Securities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307.</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Payment of Interest; Interest Rights Preserved</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308.</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Persons Deemed Owners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309.</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Cancellation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310.</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Computation of Interest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gridSpan w:val="3"/>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FOUR SATISFACTION AND DISCHARGE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1" w:type="dxa"/>
            <w:tcBorders/>
            <w:shd w:fill="auto" w:val="clear"/>
            <w:vAlign w:val="bottom"/>
          </w:tcPr>
          <w:p>
            <w:pPr>
              <w:pStyle w:val="TableContents"/>
              <w:spacing w:before="0" w:after="283"/>
              <w:rPr/>
            </w:pPr>
            <w:r>
              <w:rPr/>
              <w:t>  </w:t>
            </w:r>
          </w:p>
        </w:tc>
      </w:tr>
      <w:tr>
        <w:trPr>
          <w:trHeight w:val="120" w:hRule="atLeast"/>
        </w:trPr>
        <w:tc>
          <w:tcPr>
            <w:tcW w:w="1186" w:type="dxa"/>
            <w:tcBorders/>
            <w:shd w:fill="auto" w:val="clear"/>
            <w:vAlign w:val="center"/>
          </w:tcPr>
          <w:p>
            <w:pPr>
              <w:pStyle w:val="TableContents"/>
              <w:spacing w:before="0" w:after="283"/>
              <w:rPr>
                <w:sz w:val="4"/>
                <w:szCs w:val="4"/>
              </w:rPr>
            </w:pPr>
            <w:r>
              <w:rPr>
                <w:sz w:val="4"/>
                <w:szCs w:val="4"/>
              </w:rPr>
            </w:r>
          </w:p>
        </w:tc>
        <w:tc>
          <w:tcPr>
            <w:tcW w:w="8411" w:type="dxa"/>
            <w:gridSpan w:val="2"/>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401.</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Satisfaction and Discharge of Indenture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402.</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Application of Trust Money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gridSpan w:val="3"/>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FIVE REMEDIES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1" w:type="dxa"/>
            <w:tcBorders/>
            <w:shd w:fill="auto" w:val="clear"/>
            <w:vAlign w:val="bottom"/>
          </w:tcPr>
          <w:p>
            <w:pPr>
              <w:pStyle w:val="TableContents"/>
              <w:spacing w:before="0" w:after="283"/>
              <w:rPr/>
            </w:pPr>
            <w:r>
              <w:rPr/>
              <w:t>  </w:t>
            </w:r>
          </w:p>
        </w:tc>
      </w:tr>
      <w:tr>
        <w:trPr>
          <w:trHeight w:val="120" w:hRule="atLeast"/>
        </w:trPr>
        <w:tc>
          <w:tcPr>
            <w:tcW w:w="1186" w:type="dxa"/>
            <w:tcBorders/>
            <w:shd w:fill="auto" w:val="clear"/>
            <w:vAlign w:val="center"/>
          </w:tcPr>
          <w:p>
            <w:pPr>
              <w:pStyle w:val="TableContents"/>
              <w:spacing w:before="0" w:after="283"/>
              <w:rPr>
                <w:sz w:val="4"/>
                <w:szCs w:val="4"/>
              </w:rPr>
            </w:pPr>
            <w:r>
              <w:rPr>
                <w:sz w:val="4"/>
                <w:szCs w:val="4"/>
              </w:rPr>
            </w:r>
          </w:p>
        </w:tc>
        <w:tc>
          <w:tcPr>
            <w:tcW w:w="8411" w:type="dxa"/>
            <w:gridSpan w:val="2"/>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501.</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Events of Default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186"/>
        <w:gridCol w:w="198"/>
        <w:gridCol w:w="8212"/>
        <w:gridCol w:w="198"/>
        <w:gridCol w:w="60"/>
        <w:gridCol w:w="230"/>
        <w:gridCol w:w="121"/>
      </w:tblGrid>
      <w:tr>
        <w:trPr/>
        <w:tc>
          <w:tcPr>
            <w:tcW w:w="118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821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502.</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Acceleration of Maturity; Rescission and Annulment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503.</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Collection of Indebtedness and Suits for Enforcement by Trustee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504.</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Trustee May File Proofs of Claim</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505.</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Trustee May Enforce Claims Without Possession of Securities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506.</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Application of Money Collected</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507.</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Limitation on Suits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508.</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Unconditional Right of Holders to Receive Principal, Premium and Interest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509.</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Restoration of Rights and Remedies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510.</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Rights and Remedies Cumulative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511.</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Delay or Omission Not Waiver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512.</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Control by Holders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513.</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Waiver of Past Defaults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514.</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Undertaking for Costs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515.</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Waiver of Usury, Stay or Extension Laws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SIX THE TRUSTEE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1" w:type="dxa"/>
            <w:tcBorders/>
            <w:shd w:fill="auto" w:val="clear"/>
            <w:vAlign w:val="bottom"/>
          </w:tcPr>
          <w:p>
            <w:pPr>
              <w:pStyle w:val="TableContents"/>
              <w:spacing w:before="0" w:after="283"/>
              <w:rPr/>
            </w:pPr>
            <w:r>
              <w:rPr/>
              <w:t>  </w:t>
            </w:r>
          </w:p>
        </w:tc>
      </w:tr>
      <w:tr>
        <w:trPr>
          <w:trHeight w:val="120" w:hRule="atLeast"/>
        </w:trPr>
        <w:tc>
          <w:tcPr>
            <w:tcW w:w="1186" w:type="dxa"/>
            <w:tcBorders/>
            <w:shd w:fill="auto" w:val="clear"/>
            <w:vAlign w:val="center"/>
          </w:tcPr>
          <w:p>
            <w:pPr>
              <w:pStyle w:val="TableContents"/>
              <w:spacing w:before="0" w:after="283"/>
              <w:rPr>
                <w:sz w:val="4"/>
                <w:szCs w:val="4"/>
              </w:rPr>
            </w:pPr>
            <w:r>
              <w:rPr>
                <w:sz w:val="4"/>
                <w:szCs w:val="4"/>
              </w:rPr>
            </w:r>
          </w:p>
        </w:tc>
        <w:tc>
          <w:tcPr>
            <w:tcW w:w="84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601.</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Certain Duties and Responsibilities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602.</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 of Defaults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603.</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Certain Rights of Trustee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604.</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 Responsible for Recitals or Issuance of Securities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605.</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May Hold Securities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606.</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Money Held in Trust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607.</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Compensation and Reimbursement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608.</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Conflicting Interests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609.</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Corporate Trustee Required; Eligibility</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610.</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Resignation and Removal; Appointment of Successor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611.</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Acceptance of Appointment by Successor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612.</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Merger, Conversion, Consolidation or Succession to Business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613.</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Preferential Collection of Claims Against Company and Subsidiary Guarantors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614.</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Appointment of Authenticating Agent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SEVEN HOLDERS LISTS AND REPORTS BY TRUSTEE AND COMPANY</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1" w:type="dxa"/>
            <w:tcBorders/>
            <w:shd w:fill="auto" w:val="clear"/>
            <w:vAlign w:val="bottom"/>
          </w:tcPr>
          <w:p>
            <w:pPr>
              <w:pStyle w:val="TableContents"/>
              <w:spacing w:before="0" w:after="283"/>
              <w:rPr/>
            </w:pPr>
            <w:r>
              <w:rPr/>
              <w:t>  </w:t>
            </w:r>
          </w:p>
        </w:tc>
      </w:tr>
      <w:tr>
        <w:trPr>
          <w:trHeight w:val="120" w:hRule="atLeast"/>
        </w:trPr>
        <w:tc>
          <w:tcPr>
            <w:tcW w:w="1186" w:type="dxa"/>
            <w:tcBorders/>
            <w:shd w:fill="auto" w:val="clear"/>
            <w:vAlign w:val="center"/>
          </w:tcPr>
          <w:p>
            <w:pPr>
              <w:pStyle w:val="TableContents"/>
              <w:spacing w:before="0" w:after="283"/>
              <w:rPr>
                <w:sz w:val="4"/>
                <w:szCs w:val="4"/>
              </w:rPr>
            </w:pPr>
            <w:r>
              <w:rPr>
                <w:sz w:val="4"/>
                <w:szCs w:val="4"/>
              </w:rPr>
            </w:r>
          </w:p>
        </w:tc>
        <w:tc>
          <w:tcPr>
            <w:tcW w:w="84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701.</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Company to Furnish Trustee Names and Addresses of Holders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702.</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Preservation of Information; Communications to Holders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703.</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Reports by Trustee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704.</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Reports by Company and Subsidiary Guarantors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EIGHT CONSOLIDATION, MERGER, CONVEYANCE, TRANSFER OR LEASE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1" w:type="dxa"/>
            <w:tcBorders/>
            <w:shd w:fill="auto" w:val="clear"/>
            <w:vAlign w:val="bottom"/>
          </w:tcPr>
          <w:p>
            <w:pPr>
              <w:pStyle w:val="TableContents"/>
              <w:spacing w:before="0" w:after="283"/>
              <w:rPr/>
            </w:pPr>
            <w:r>
              <w:rPr/>
              <w:t>  </w:t>
            </w:r>
          </w:p>
        </w:tc>
      </w:tr>
      <w:tr>
        <w:trPr>
          <w:trHeight w:val="120" w:hRule="atLeast"/>
        </w:trPr>
        <w:tc>
          <w:tcPr>
            <w:tcW w:w="1186" w:type="dxa"/>
            <w:tcBorders/>
            <w:shd w:fill="auto" w:val="clear"/>
            <w:vAlign w:val="center"/>
          </w:tcPr>
          <w:p>
            <w:pPr>
              <w:pStyle w:val="TableContents"/>
              <w:spacing w:before="0" w:after="283"/>
              <w:rPr>
                <w:sz w:val="4"/>
                <w:szCs w:val="4"/>
              </w:rPr>
            </w:pPr>
            <w:r>
              <w:rPr>
                <w:sz w:val="4"/>
                <w:szCs w:val="4"/>
              </w:rPr>
            </w:r>
          </w:p>
        </w:tc>
        <w:tc>
          <w:tcPr>
            <w:tcW w:w="84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801.</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Company May Consolidate, Etc., Only on Certain Terms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802.</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Subsidiary Guarantors May Consolidate, Etc., Only on Certain Terms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803.</w:t>
            </w:r>
          </w:p>
        </w:tc>
        <w:tc>
          <w:tcPr>
            <w:tcW w:w="198"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Successor Substituted</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187"/>
        <w:gridCol w:w="197"/>
        <w:gridCol w:w="8213"/>
        <w:gridCol w:w="197"/>
        <w:gridCol w:w="60"/>
        <w:gridCol w:w="230"/>
        <w:gridCol w:w="121"/>
      </w:tblGrid>
      <w:tr>
        <w:trPr/>
        <w:tc>
          <w:tcPr>
            <w:tcW w:w="118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821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NINE SUPPLEMENTAL INDENTURES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1" w:type="dxa"/>
            <w:tcBorders/>
            <w:shd w:fill="auto" w:val="clear"/>
            <w:vAlign w:val="bottom"/>
          </w:tcPr>
          <w:p>
            <w:pPr>
              <w:pStyle w:val="TableContents"/>
              <w:spacing w:before="0" w:after="283"/>
              <w:rPr/>
            </w:pPr>
            <w:r>
              <w:rPr/>
              <w:t>  </w:t>
            </w:r>
          </w:p>
        </w:tc>
      </w:tr>
      <w:tr>
        <w:trPr>
          <w:trHeight w:val="120" w:hRule="atLeast"/>
        </w:trPr>
        <w:tc>
          <w:tcPr>
            <w:tcW w:w="1187" w:type="dxa"/>
            <w:tcBorders/>
            <w:shd w:fill="auto" w:val="clear"/>
            <w:vAlign w:val="center"/>
          </w:tcPr>
          <w:p>
            <w:pPr>
              <w:pStyle w:val="TableContents"/>
              <w:spacing w:before="0" w:after="283"/>
              <w:rPr>
                <w:sz w:val="4"/>
                <w:szCs w:val="4"/>
              </w:rPr>
            </w:pPr>
            <w:r>
              <w:rPr>
                <w:sz w:val="4"/>
                <w:szCs w:val="4"/>
              </w:rPr>
            </w:r>
          </w:p>
        </w:tc>
        <w:tc>
          <w:tcPr>
            <w:tcW w:w="8410" w:type="dxa"/>
            <w:gridSpan w:val="2"/>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901.</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Supplemental Indentures Without Consent of Holders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902.</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Supplemental Indentures With Consent of Holders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903.</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Execution of Supplemental Indentures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904.</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Effect of Supplemental Indentures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905.</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Conformity with Trust Indenture Act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906.</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Reference in Securities to Supplemental Indentures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gridSpan w:val="3"/>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TEN COVENANTS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1" w:type="dxa"/>
            <w:tcBorders/>
            <w:shd w:fill="auto" w:val="clear"/>
            <w:vAlign w:val="bottom"/>
          </w:tcPr>
          <w:p>
            <w:pPr>
              <w:pStyle w:val="TableContents"/>
              <w:spacing w:before="0" w:after="283"/>
              <w:rPr/>
            </w:pPr>
            <w:r>
              <w:rPr/>
              <w:t>  </w:t>
            </w:r>
          </w:p>
        </w:tc>
      </w:tr>
      <w:tr>
        <w:trPr>
          <w:trHeight w:val="120" w:hRule="atLeast"/>
        </w:trPr>
        <w:tc>
          <w:tcPr>
            <w:tcW w:w="1187" w:type="dxa"/>
            <w:tcBorders/>
            <w:shd w:fill="auto" w:val="clear"/>
            <w:vAlign w:val="center"/>
          </w:tcPr>
          <w:p>
            <w:pPr>
              <w:pStyle w:val="TableContents"/>
              <w:spacing w:before="0" w:after="283"/>
              <w:rPr>
                <w:sz w:val="4"/>
                <w:szCs w:val="4"/>
              </w:rPr>
            </w:pPr>
            <w:r>
              <w:rPr>
                <w:sz w:val="4"/>
                <w:szCs w:val="4"/>
              </w:rPr>
            </w:r>
          </w:p>
        </w:tc>
        <w:tc>
          <w:tcPr>
            <w:tcW w:w="8410" w:type="dxa"/>
            <w:gridSpan w:val="2"/>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1001.</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Payment of Principal, Premium and Interest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1002.</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Maintenance of Office or Agency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1003.</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Money for Securities Payments to Be Held in Trust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1004.</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Statement by Officers as to Default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1005.</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Existence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1006.</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Maintenance of Properties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1007.</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Payment of Taxes and Other Claims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1008.</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Maintenance of Insurance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1009.</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Waiver of Certain Covenants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gridSpan w:val="3"/>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ELEVEN REDEMPTION OF SECURITIES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1" w:type="dxa"/>
            <w:tcBorders/>
            <w:shd w:fill="auto" w:val="clear"/>
            <w:vAlign w:val="bottom"/>
          </w:tcPr>
          <w:p>
            <w:pPr>
              <w:pStyle w:val="TableContents"/>
              <w:spacing w:before="0" w:after="283"/>
              <w:rPr/>
            </w:pPr>
            <w:r>
              <w:rPr/>
              <w:t>  </w:t>
            </w:r>
          </w:p>
        </w:tc>
      </w:tr>
      <w:tr>
        <w:trPr>
          <w:trHeight w:val="120" w:hRule="atLeast"/>
        </w:trPr>
        <w:tc>
          <w:tcPr>
            <w:tcW w:w="1187" w:type="dxa"/>
            <w:tcBorders/>
            <w:shd w:fill="auto" w:val="clear"/>
            <w:vAlign w:val="center"/>
          </w:tcPr>
          <w:p>
            <w:pPr>
              <w:pStyle w:val="TableContents"/>
              <w:spacing w:before="0" w:after="283"/>
              <w:rPr>
                <w:sz w:val="4"/>
                <w:szCs w:val="4"/>
              </w:rPr>
            </w:pPr>
            <w:r>
              <w:rPr>
                <w:sz w:val="4"/>
                <w:szCs w:val="4"/>
              </w:rPr>
            </w:r>
          </w:p>
        </w:tc>
        <w:tc>
          <w:tcPr>
            <w:tcW w:w="8410" w:type="dxa"/>
            <w:gridSpan w:val="2"/>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1101.</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Applicability of Article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1102.</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Election to Redeem; Notice to Trustee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1103.</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Selection by Trustee of Securities to Be Redeemed</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1104.</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 of Redemption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1105.</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Deposit of Redemption Price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1106.</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Securities Payable on Redemption Date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1107.</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Securities Redeemed in Part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gridSpan w:val="3"/>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TWELVE [INTENTIONALLY OMITTED]</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gridSpan w:val="3"/>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THIRTEEN SUBSIDIARY GUARANTEES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1" w:type="dxa"/>
            <w:tcBorders/>
            <w:shd w:fill="auto" w:val="clear"/>
            <w:vAlign w:val="bottom"/>
          </w:tcPr>
          <w:p>
            <w:pPr>
              <w:pStyle w:val="TableContents"/>
              <w:spacing w:before="0" w:after="283"/>
              <w:rPr/>
            </w:pPr>
            <w:r>
              <w:rPr/>
              <w:t>  </w:t>
            </w:r>
          </w:p>
        </w:tc>
      </w:tr>
      <w:tr>
        <w:trPr>
          <w:trHeight w:val="120" w:hRule="atLeast"/>
        </w:trPr>
        <w:tc>
          <w:tcPr>
            <w:tcW w:w="1187" w:type="dxa"/>
            <w:tcBorders/>
            <w:shd w:fill="auto" w:val="clear"/>
            <w:vAlign w:val="center"/>
          </w:tcPr>
          <w:p>
            <w:pPr>
              <w:pStyle w:val="TableContents"/>
              <w:spacing w:before="0" w:after="283"/>
              <w:rPr>
                <w:sz w:val="4"/>
                <w:szCs w:val="4"/>
              </w:rPr>
            </w:pPr>
            <w:r>
              <w:rPr>
                <w:sz w:val="4"/>
                <w:szCs w:val="4"/>
              </w:rPr>
            </w:r>
          </w:p>
        </w:tc>
        <w:tc>
          <w:tcPr>
            <w:tcW w:w="8410" w:type="dxa"/>
            <w:gridSpan w:val="2"/>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1301.</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Applicability of Article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1302.</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Subsidiary Guarantees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1303.</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Execution and Delivery of Notations of Subsidiary Guarantees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1304.</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Release of Subsidiary Guarantors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1305.</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Additional Subsidiary Guarantors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1306.</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Limitation on Liability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gridSpan w:val="3"/>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FOURTEEN [INTENTIONALLY OMITTED]</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gridSpan w:val="3"/>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FIFTEEN DEFEASANCE AND 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1" w:type="dxa"/>
            <w:tcBorders/>
            <w:shd w:fill="auto" w:val="clear"/>
            <w:vAlign w:val="bottom"/>
          </w:tcPr>
          <w:p>
            <w:pPr>
              <w:pStyle w:val="TableContents"/>
              <w:spacing w:before="0" w:after="283"/>
              <w:rPr/>
            </w:pPr>
            <w:r>
              <w:rPr/>
              <w:t>  </w:t>
            </w:r>
          </w:p>
        </w:tc>
      </w:tr>
      <w:tr>
        <w:trPr>
          <w:trHeight w:val="120" w:hRule="atLeast"/>
        </w:trPr>
        <w:tc>
          <w:tcPr>
            <w:tcW w:w="1187" w:type="dxa"/>
            <w:tcBorders/>
            <w:shd w:fill="auto" w:val="clear"/>
            <w:vAlign w:val="center"/>
          </w:tcPr>
          <w:p>
            <w:pPr>
              <w:pStyle w:val="TableContents"/>
              <w:spacing w:before="0" w:after="283"/>
              <w:rPr>
                <w:sz w:val="4"/>
                <w:szCs w:val="4"/>
              </w:rPr>
            </w:pPr>
            <w:r>
              <w:rPr>
                <w:sz w:val="4"/>
                <w:szCs w:val="4"/>
              </w:rPr>
            </w:r>
          </w:p>
        </w:tc>
        <w:tc>
          <w:tcPr>
            <w:tcW w:w="8410" w:type="dxa"/>
            <w:gridSpan w:val="2"/>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1501.</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Companys Option to Effect Defeasance or 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1502.</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Defeasance and Discharge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1503.</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1504.</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Conditions to Defeasance or 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1505.</w:t>
            </w:r>
          </w:p>
        </w:tc>
        <w:tc>
          <w:tcPr>
            <w:tcW w:w="197" w:type="dxa"/>
            <w:tcBorders/>
            <w:shd w:fill="auto" w:val="clear"/>
            <w:vAlign w:val="bottom"/>
          </w:tcPr>
          <w:p>
            <w:pPr>
              <w:pStyle w:val="TableContents"/>
              <w:spacing w:before="0" w:after="283"/>
              <w:rPr/>
            </w:pPr>
            <w:r>
              <w:rPr/>
              <w:t>  </w:t>
            </w:r>
          </w:p>
        </w:tc>
        <w:tc>
          <w:tcPr>
            <w:tcW w:w="82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Deposited Money and U.S. Government Obligations to Be Held in Trust; Miscellaneous Provisions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186"/>
        <w:gridCol w:w="197"/>
        <w:gridCol w:w="8214"/>
        <w:gridCol w:w="197"/>
        <w:gridCol w:w="60"/>
        <w:gridCol w:w="230"/>
        <w:gridCol w:w="121"/>
      </w:tblGrid>
      <w:tr>
        <w:trPr/>
        <w:tc>
          <w:tcPr>
            <w:tcW w:w="118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821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1506.</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Reinstatement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gridSpan w:val="3"/>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SIXTEEN SINKING FUNDS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1" w:type="dxa"/>
            <w:tcBorders/>
            <w:shd w:fill="auto" w:val="clear"/>
            <w:vAlign w:val="bottom"/>
          </w:tcPr>
          <w:p>
            <w:pPr>
              <w:pStyle w:val="TableContents"/>
              <w:spacing w:before="0" w:after="283"/>
              <w:rPr/>
            </w:pPr>
            <w:r>
              <w:rPr/>
              <w:t>  </w:t>
            </w:r>
          </w:p>
        </w:tc>
      </w:tr>
      <w:tr>
        <w:trPr>
          <w:trHeight w:val="120" w:hRule="atLeast"/>
        </w:trPr>
        <w:tc>
          <w:tcPr>
            <w:tcW w:w="1186" w:type="dxa"/>
            <w:tcBorders/>
            <w:shd w:fill="auto" w:val="clear"/>
            <w:vAlign w:val="center"/>
          </w:tcPr>
          <w:p>
            <w:pPr>
              <w:pStyle w:val="TableContents"/>
              <w:spacing w:before="0" w:after="283"/>
              <w:rPr>
                <w:sz w:val="4"/>
                <w:szCs w:val="4"/>
              </w:rPr>
            </w:pPr>
            <w:r>
              <w:rPr>
                <w:sz w:val="4"/>
                <w:szCs w:val="4"/>
              </w:rPr>
            </w:r>
          </w:p>
        </w:tc>
        <w:tc>
          <w:tcPr>
            <w:tcW w:w="8411" w:type="dxa"/>
            <w:gridSpan w:val="2"/>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1601.</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Applicability of Article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1602.</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Satisfaction of Sinking Fund Payments with Securities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121"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1603.</w:t>
            </w:r>
          </w:p>
        </w:tc>
        <w:tc>
          <w:tcPr>
            <w:tcW w:w="197" w:type="dxa"/>
            <w:tcBorders/>
            <w:shd w:fill="auto" w:val="clear"/>
            <w:vAlign w:val="bottom"/>
          </w:tcPr>
          <w:p>
            <w:pPr>
              <w:pStyle w:val="TableContents"/>
              <w:spacing w:before="0" w:after="283"/>
              <w:rPr/>
            </w:pPr>
            <w:r>
              <w:rPr/>
              <w:t>  </w:t>
            </w:r>
          </w:p>
        </w:tc>
        <w:tc>
          <w:tcPr>
            <w:tcW w:w="8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Redemption of Securities for Sinking Fund</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121" w:type="dxa"/>
            <w:tcBorders/>
            <w:shd w:fill="auto" w:val="clear"/>
            <w:vAlign w:val="bottom"/>
          </w:tcPr>
          <w:p>
            <w:pPr>
              <w:pStyle w:val="TableContents"/>
              <w:spacing w:before="0" w:after="283"/>
              <w:rPr/>
            </w:pPr>
            <w:r>
              <w:rPr/>
              <w:t>  </w:t>
            </w:r>
          </w:p>
        </w:tc>
      </w:tr>
    </w:tbl>
    <w:p>
      <w:pPr>
        <w:pStyle w:val="TextBody"/>
        <w:spacing w:before="270" w:after="0"/>
        <w:rPr>
          <w:rFonts w:ascii="Times New Roman" w:hAnsi="Times New Roman"/>
          <w:sz w:val="20"/>
        </w:rPr>
      </w:pPr>
      <w:r>
        <w:rPr>
          <w:rFonts w:ascii="Times New Roman" w:hAnsi="Times New Roman"/>
          <w:sz w:val="20"/>
        </w:rPr>
        <w:t xml:space="preserve">Schedule I         Subsidiary Guarantors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180" w:after="0"/>
        <w:rPr>
          <w:rFonts w:ascii="Times New Roman" w:hAnsi="Times New Roman"/>
          <w:sz w:val="20"/>
        </w:rPr>
      </w:pPr>
      <w:r>
        <w:rPr>
          <w:rFonts w:ascii="Times New Roman" w:hAnsi="Times New Roman"/>
          <w:sz w:val="20"/>
        </w:rPr>
        <w:t xml:space="preserve">RECONCILIATION AND TIE OF CERTAIN SECTIONS OF THIS INDENTURE RELATING TO SECTIONS 310 THROUGH 318, INCLUSIVE, OF THE TRUST INDENTURE ACT OF 1939: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701"/>
        <w:gridCol w:w="213"/>
        <w:gridCol w:w="1291"/>
      </w:tblGrid>
      <w:tr>
        <w:trPr/>
        <w:tc>
          <w:tcPr>
            <w:tcW w:w="870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r>
      <w:tr>
        <w:trPr/>
        <w:tc>
          <w:tcPr>
            <w:tcW w:w="8701"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TRUST INDENTURE ACT SECTION</w:t>
            </w:r>
          </w:p>
        </w:tc>
        <w:tc>
          <w:tcPr>
            <w:tcW w:w="213" w:type="dxa"/>
            <w:tcBorders/>
            <w:shd w:fill="auto" w:val="clear"/>
            <w:vAlign w:val="bottom"/>
          </w:tcPr>
          <w:p>
            <w:pPr>
              <w:pStyle w:val="TableContents"/>
              <w:spacing w:before="0" w:after="283"/>
              <w:rPr/>
            </w:pPr>
            <w:r>
              <w:rPr/>
              <w:t>  </w:t>
            </w:r>
          </w:p>
        </w:tc>
        <w:tc>
          <w:tcPr>
            <w:tcW w:w="129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INDENTURE</w:t>
              <w:br/>
              <w:t>SECTION</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310(a)(1)</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609</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(a)(2)</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609</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(a)(3)</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(a)(4)</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608, 610</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311(a)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613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613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312(a)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701, 702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313(a)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314(a)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704</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(a)(4)</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101, 1004</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(c)(1)</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(c)(2)</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(c)(3)</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315(a)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601</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601</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601</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514</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316(a)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101</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(a)(1)(A)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502, 512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(a)(1)(B)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513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(a)(2)</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508</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104</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317(a)(1)</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(a)(2)</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504</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318(a)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107</w:t>
            </w:r>
          </w:p>
        </w:tc>
      </w:tr>
    </w:tbl>
    <w:p>
      <w:pPr>
        <w:pStyle w:val="TextBody"/>
        <w:spacing w:before="180" w:after="0"/>
        <w:rPr>
          <w:rFonts w:ascii="Times New Roman" w:hAnsi="Times New Roman"/>
          <w:sz w:val="20"/>
        </w:rPr>
      </w:pPr>
      <w:r>
        <w:rPr>
          <w:rFonts w:ascii="Times New Roman" w:hAnsi="Times New Roman"/>
          <w:sz w:val="20"/>
        </w:rPr>
        <w:t xml:space="preserve">NOTE: This reconciliation and tie shall not, for any purpose, be deemed to be a part of the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INDENTURE</w:t>
      </w:r>
      <w:r>
        <w:rPr>
          <w:rFonts w:ascii="Times New Roman" w:hAnsi="Times New Roman"/>
          <w:sz w:val="20"/>
        </w:rPr>
        <w:t xml:space="preserve">, dated as of </w:t>
      </w:r>
      <w:r>
        <w:rPr>
          <w:rFonts w:ascii="Times New Roman" w:hAnsi="Times New Roman"/>
          <w:sz w:val="20"/>
          <w:u w:val="single"/>
        </w:rPr>
        <w:t>            </w:t>
      </w:r>
      <w:r>
        <w:rPr>
          <w:rFonts w:ascii="Times New Roman" w:hAnsi="Times New Roman"/>
          <w:sz w:val="20"/>
        </w:rPr>
        <w:t>, 20__, among EZCORP, Inc., a corporation duly organized and existing under the laws of the State of Delaware (herein called the </w:t>
      </w:r>
      <w:r>
        <w:rPr>
          <w:rFonts w:ascii="Times New Roman" w:hAnsi="Times New Roman"/>
          <w:b/>
          <w:sz w:val="20"/>
        </w:rPr>
        <w:t>Company</w:t>
      </w:r>
      <w:r>
        <w:rPr>
          <w:rFonts w:ascii="Times New Roman" w:hAnsi="Times New Roman"/>
          <w:sz w:val="20"/>
        </w:rPr>
        <w:t>), having its principal office at 1901 Capital Parkway, Austin, Texas 78746, each of the Subsidiary Guarantors (as hereinafter defined) parties hereto and [</w:t>
      </w:r>
      <w:r>
        <w:rPr>
          <w:rFonts w:ascii="Times New Roman" w:hAnsi="Times New Roman"/>
          <w:sz w:val="20"/>
          <w:u w:val="single"/>
        </w:rPr>
        <w:t>                            </w:t>
      </w:r>
      <w:r>
        <w:rPr>
          <w:rFonts w:ascii="Times New Roman" w:hAnsi="Times New Roman"/>
          <w:sz w:val="20"/>
        </w:rPr>
        <w:t>], as Trustee (herein called the </w:t>
      </w:r>
      <w:r>
        <w:rPr>
          <w:rFonts w:ascii="Times New Roman" w:hAnsi="Times New Roman"/>
          <w:b/>
          <w:sz w:val="20"/>
        </w:rPr>
        <w:t>Trustee</w:t>
      </w:r>
      <w:r>
        <w:rPr>
          <w:rFonts w:ascii="Times New Roman" w:hAnsi="Times New Roman"/>
          <w:sz w:val="20"/>
        </w:rPr>
        <w:t xml:space="preserve">). </w:t>
      </w:r>
    </w:p>
    <w:p>
      <w:pPr>
        <w:pStyle w:val="TextBody"/>
        <w:spacing w:before="270" w:after="0"/>
        <w:jc w:val="center"/>
        <w:rPr>
          <w:rFonts w:ascii="Times New Roman" w:hAnsi="Times New Roman"/>
          <w:b/>
          <w:sz w:val="20"/>
        </w:rPr>
      </w:pPr>
      <w:r>
        <w:rPr>
          <w:rFonts w:ascii="Times New Roman" w:hAnsi="Times New Roman"/>
          <w:b/>
          <w:sz w:val="20"/>
        </w:rPr>
        <w:t xml:space="preserve">RECITALS OF THE COMPANY AND THE SUBSIDIARY GUARANTORS </w:t>
      </w:r>
    </w:p>
    <w:p>
      <w:pPr>
        <w:pStyle w:val="TextBody"/>
        <w:spacing w:before="180" w:after="0"/>
        <w:rPr>
          <w:rFonts w:ascii="Times New Roman" w:hAnsi="Times New Roman"/>
          <w:sz w:val="20"/>
        </w:rPr>
      </w:pPr>
      <w:r>
        <w:rPr>
          <w:rFonts w:ascii="Times New Roman" w:hAnsi="Times New Roman"/>
          <w:sz w:val="20"/>
        </w:rPr>
        <w:t>The Company has duly authorized the execution and delivery of this Indenture to provide for the issuance from time to time of one or more series of its unsecured debentures, notes or other evidences of indebtedness (herein called the </w:t>
      </w:r>
      <w:r>
        <w:rPr>
          <w:rFonts w:ascii="Times New Roman" w:hAnsi="Times New Roman"/>
          <w:b/>
          <w:sz w:val="20"/>
        </w:rPr>
        <w:t>Securities</w:t>
      </w:r>
      <w:r>
        <w:rPr>
          <w:rFonts w:ascii="Times New Roman" w:hAnsi="Times New Roman"/>
          <w:sz w:val="20"/>
        </w:rPr>
        <w:t xml:space="preserve">), to be issued in one or more series as in this Indenture provided. </w:t>
      </w:r>
    </w:p>
    <w:p>
      <w:pPr>
        <w:pStyle w:val="TextBody"/>
        <w:spacing w:before="180" w:after="0"/>
        <w:rPr>
          <w:rFonts w:ascii="Times New Roman" w:hAnsi="Times New Roman"/>
          <w:sz w:val="20"/>
        </w:rPr>
      </w:pPr>
      <w:r>
        <w:rPr>
          <w:rFonts w:ascii="Times New Roman" w:hAnsi="Times New Roman"/>
          <w:sz w:val="20"/>
        </w:rPr>
        <w:t xml:space="preserve">The Company and the Subsidiary Guarantors are members of the same consolidated group of companies. The Subsidiary Guarantors will derive direct and indirect economic benefit from the issuance of the Securities. Accordingly, each Subsidiary Guarantor has duly authorized the execution and delivery of this Indenture to provide for its full, unconditional and joint and several guarantee of the Securities to the extent provided in or pursuant this Indenture. </w:t>
      </w:r>
    </w:p>
    <w:p>
      <w:pPr>
        <w:pStyle w:val="TextBody"/>
        <w:spacing w:before="180" w:after="0"/>
        <w:rPr>
          <w:rFonts w:ascii="Times New Roman" w:hAnsi="Times New Roman"/>
          <w:sz w:val="20"/>
        </w:rPr>
      </w:pPr>
      <w:r>
        <w:rPr>
          <w:rFonts w:ascii="Times New Roman" w:hAnsi="Times New Roman"/>
          <w:sz w:val="20"/>
        </w:rPr>
        <w:t xml:space="preserve">All things necessary to make this Indenture a valid agreement of the Company, in accordance with its terms, have been done. </w:t>
      </w:r>
    </w:p>
    <w:p>
      <w:pPr>
        <w:pStyle w:val="TextBody"/>
        <w:spacing w:before="270" w:after="0"/>
        <w:jc w:val="center"/>
        <w:rPr>
          <w:rFonts w:ascii="Times New Roman" w:hAnsi="Times New Roman"/>
          <w:b/>
          <w:sz w:val="20"/>
        </w:rPr>
      </w:pPr>
      <w:r>
        <w:rPr>
          <w:rFonts w:ascii="Times New Roman" w:hAnsi="Times New Roman"/>
          <w:b/>
          <w:sz w:val="20"/>
        </w:rPr>
        <w:t xml:space="preserve">NOW, THEREFORE, THIS INDENTURE WITNESSETH: </w:t>
      </w:r>
    </w:p>
    <w:p>
      <w:pPr>
        <w:pStyle w:val="TextBody"/>
        <w:spacing w:before="180" w:after="0"/>
        <w:rPr>
          <w:rFonts w:ascii="Times New Roman" w:hAnsi="Times New Roman"/>
          <w:sz w:val="20"/>
        </w:rPr>
      </w:pPr>
      <w:r>
        <w:rPr>
          <w:rFonts w:ascii="Times New Roman" w:hAnsi="Times New Roman"/>
          <w:sz w:val="20"/>
        </w:rPr>
        <w:t xml:space="preserve">For and in consideration of the premises and the purchase of the Securities by the Holders thereof, it is mutually agreed, for the equal and proportionate benefit of all Holders of the Securities or of series thereof, as follows: </w:t>
      </w:r>
    </w:p>
    <w:p>
      <w:pPr>
        <w:pStyle w:val="TextBody"/>
        <w:spacing w:before="270" w:after="0"/>
        <w:jc w:val="center"/>
        <w:rPr>
          <w:rFonts w:ascii="Times New Roman" w:hAnsi="Times New Roman"/>
          <w:b/>
          <w:sz w:val="20"/>
        </w:rPr>
      </w:pPr>
      <w:r>
        <w:rPr>
          <w:rFonts w:ascii="Times New Roman" w:hAnsi="Times New Roman"/>
          <w:b/>
          <w:sz w:val="20"/>
        </w:rPr>
        <w:t xml:space="preserve">ARTICLE ONE </w:t>
      </w:r>
    </w:p>
    <w:p>
      <w:pPr>
        <w:pStyle w:val="TextBody"/>
        <w:spacing w:before="0" w:after="0"/>
        <w:jc w:val="center"/>
        <w:rPr>
          <w:rFonts w:ascii="Times New Roman" w:hAnsi="Times New Roman"/>
          <w:b/>
          <w:sz w:val="20"/>
        </w:rPr>
      </w:pPr>
      <w:r>
        <w:rPr>
          <w:rFonts w:ascii="Times New Roman" w:hAnsi="Times New Roman"/>
          <w:b/>
          <w:sz w:val="20"/>
        </w:rPr>
        <w:t xml:space="preserve">DEFINITIONS AND OTHER PROVISIONS </w:t>
      </w:r>
    </w:p>
    <w:p>
      <w:pPr>
        <w:pStyle w:val="TextBody"/>
        <w:spacing w:before="0" w:after="0"/>
        <w:jc w:val="center"/>
        <w:rPr>
          <w:rFonts w:ascii="Times New Roman" w:hAnsi="Times New Roman"/>
          <w:b/>
          <w:sz w:val="20"/>
        </w:rPr>
      </w:pPr>
      <w:r>
        <w:rPr>
          <w:rFonts w:ascii="Times New Roman" w:hAnsi="Times New Roman"/>
          <w:b/>
          <w:sz w:val="20"/>
        </w:rPr>
        <w:t xml:space="preserve">OF GENERAL APPLICATION </w:t>
      </w:r>
    </w:p>
    <w:p>
      <w:pPr>
        <w:pStyle w:val="TextBody"/>
        <w:spacing w:before="180" w:after="0"/>
        <w:rPr>
          <w:rFonts w:ascii="Times New Roman" w:hAnsi="Times New Roman"/>
          <w:sz w:val="20"/>
        </w:rPr>
      </w:pPr>
      <w:r>
        <w:rPr>
          <w:rFonts w:ascii="Times New Roman" w:hAnsi="Times New Roman"/>
          <w:sz w:val="20"/>
        </w:rPr>
        <w:t xml:space="preserve">SECTION 101. </w:t>
      </w:r>
      <w:r>
        <w:rPr>
          <w:rFonts w:ascii="Times New Roman" w:hAnsi="Times New Roman"/>
          <w:b/>
          <w:sz w:val="20"/>
          <w:u w:val="single"/>
        </w:rPr>
        <w:t>Definitions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For all purposes of this Indenture, except as otherwise expressly provided or unless the context otherwise requires: </w:t>
      </w:r>
    </w:p>
    <w:p>
      <w:pPr>
        <w:pStyle w:val="TextBody"/>
        <w:spacing w:before="180" w:after="0"/>
        <w:rPr>
          <w:rFonts w:ascii="Times New Roman" w:hAnsi="Times New Roman"/>
          <w:sz w:val="20"/>
        </w:rPr>
      </w:pPr>
      <w:r>
        <w:rPr>
          <w:rFonts w:ascii="Times New Roman" w:hAnsi="Times New Roman"/>
          <w:sz w:val="20"/>
        </w:rPr>
        <w:t xml:space="preserve">(1) the terms defined in this Article have the meanings assigned to them in this Article and include the plural as well as the singular; </w:t>
      </w:r>
    </w:p>
    <w:p>
      <w:pPr>
        <w:pStyle w:val="TextBody"/>
        <w:spacing w:before="180" w:after="0"/>
        <w:rPr>
          <w:rFonts w:ascii="Times New Roman" w:hAnsi="Times New Roman"/>
          <w:sz w:val="20"/>
        </w:rPr>
      </w:pPr>
      <w:r>
        <w:rPr>
          <w:rFonts w:ascii="Times New Roman" w:hAnsi="Times New Roman"/>
          <w:sz w:val="20"/>
        </w:rPr>
        <w:t xml:space="preserve">(2) all other terms used herein which are defined in the Trust Indenture Act, either directly or by reference therein, have the meanings assigned to them therein; </w:t>
      </w:r>
    </w:p>
    <w:p>
      <w:pPr>
        <w:pStyle w:val="TextBody"/>
        <w:spacing w:before="180" w:after="0"/>
        <w:rPr>
          <w:rFonts w:ascii="Times New Roman" w:hAnsi="Times New Roman"/>
          <w:sz w:val="20"/>
        </w:rPr>
      </w:pPr>
      <w:r>
        <w:rPr>
          <w:rFonts w:ascii="Times New Roman" w:hAnsi="Times New Roman"/>
          <w:sz w:val="20"/>
        </w:rPr>
        <w:t xml:space="preserve">(3) 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in the United States at the date of this instrument;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(4) unless the context otherwise requires, any reference to an Article or a Section refers to an Article or a Section, as the case may be, of this Indenture; and </w:t>
      </w:r>
    </w:p>
    <w:p>
      <w:pPr>
        <w:pStyle w:val="TextBody"/>
        <w:spacing w:before="180" w:after="0"/>
        <w:rPr>
          <w:rFonts w:ascii="Times New Roman" w:hAnsi="Times New Roman"/>
          <w:sz w:val="20"/>
        </w:rPr>
      </w:pPr>
      <w:r>
        <w:rPr>
          <w:rFonts w:ascii="Times New Roman" w:hAnsi="Times New Roman"/>
          <w:sz w:val="20"/>
        </w:rPr>
        <w:t xml:space="preserve">(5) the words herein, hereof, hereunder and other words of similar import refer to this Indenture as a whole and not to any particular Article, Section or other subdivision.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Act</w:t>
      </w:r>
      <w:r>
        <w:rPr>
          <w:rFonts w:ascii="Times New Roman" w:hAnsi="Times New Roman"/>
          <w:sz w:val="20"/>
        </w:rPr>
        <w:t xml:space="preserve">, when used with respect to any Holder, has the meaning specified in Section 104.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provided that direct or indirect beneficial ownership of 10% or more of the Voting Stock of a Person shall be deemed to be control.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Authenticating Agent</w:t>
      </w:r>
      <w:r>
        <w:rPr>
          <w:rFonts w:ascii="Times New Roman" w:hAnsi="Times New Roman"/>
          <w:sz w:val="20"/>
        </w:rPr>
        <w:t xml:space="preserve"> means any Person authorized by the Trustee pursuant to Section 614 to act on behalf of the Trustee to authenticate Securities of one or more series.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Board of Directors</w:t>
      </w:r>
      <w:r>
        <w:rPr>
          <w:rFonts w:ascii="Times New Roman" w:hAnsi="Times New Roman"/>
          <w:sz w:val="20"/>
        </w:rPr>
        <w:t xml:space="preserve"> means, with respect to the Company, either the board of directors of the Company or any committee of that board duly authorized to act for it in respect hereof, and with respect to any Subsidiary Guarantor, either the board of directors of such Subsidiary Guarantor or any committee of that board duly authorized to act for it in respect 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Board Resolution</w:t>
      </w:r>
      <w:r>
        <w:rPr>
          <w:rFonts w:ascii="Times New Roman" w:hAnsi="Times New Roman"/>
          <w:sz w:val="20"/>
        </w:rPr>
        <w:t xml:space="preserve"> means, with respect to the Company or a Subsidiary Guarantor, a copy of a resolution certified by the Secretary or an Assistant Secretary of the Company or such Subsidiary Guarantor, as the case may be, to have been duly adopted by its Board of Directors and to be in full force and effect on the date of such certification, and delivered to the Trustee.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Business Day</w:t>
      </w:r>
      <w:r>
        <w:rPr>
          <w:rFonts w:ascii="Times New Roman" w:hAnsi="Times New Roman"/>
          <w:sz w:val="20"/>
        </w:rPr>
        <w:t xml:space="preserve">, when used with respect to any Place of Payment, means each Monday, Tuesday, Wednesday, Thursday and Friday which is not a day on which banking institutions in that Place of Payment are authorized or obligated by law or executive order to close.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Capital Stock</w:t>
      </w:r>
      <w:r>
        <w:rPr>
          <w:rFonts w:ascii="Times New Roman" w:hAnsi="Times New Roman"/>
          <w:sz w:val="20"/>
        </w:rPr>
        <w:t xml:space="preserve"> of any Person means any and all shares, interests, participations or other equivalents (however designated) of corporate stock or other equity participations, including partnership interests, whether general or limited, of such Person.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Commission</w:t>
      </w:r>
      <w:r>
        <w:rPr>
          <w:rFonts w:ascii="Times New Roman" w:hAnsi="Times New Roman"/>
          <w:sz w:val="20"/>
        </w:rPr>
        <w:t xml:space="preserve">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Common Stock</w:t>
      </w:r>
      <w:r>
        <w:rPr>
          <w:rFonts w:ascii="Times New Roman" w:hAnsi="Times New Roman"/>
          <w:sz w:val="20"/>
        </w:rPr>
        <w:t xml:space="preserve"> means the Class A Non-Voting Common Stock, par value $0.01 per share, of the Company as the same exists at the date of execution and delivery of this Indenture or other Capital Stock of the Company into which such Common Stock is converted, reclassified or changed from time to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 xml:space="preserve"> means the Person named as the Company in the first paragraph of this instrument until a successor Person shall have become such pursuant to the applicable provisions of this Indenture, and thereafter Company shall mean such successor Person.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Company Request</w:t>
      </w:r>
      <w:r>
        <w:rPr>
          <w:rFonts w:ascii="Times New Roman" w:hAnsi="Times New Roman"/>
          <w:sz w:val="20"/>
        </w:rPr>
        <w:t> or </w:t>
      </w:r>
      <w:r>
        <w:rPr>
          <w:rFonts w:ascii="Times New Roman" w:hAnsi="Times New Roman"/>
          <w:b/>
          <w:sz w:val="20"/>
        </w:rPr>
        <w:t>Company Order</w:t>
      </w:r>
      <w:r>
        <w:rPr>
          <w:rFonts w:ascii="Times New Roman" w:hAnsi="Times New Roman"/>
          <w:sz w:val="20"/>
        </w:rPr>
        <w:t xml:space="preserve"> means a written request or order signed in the name of the Company by its Chairman of the Board of Directors, its Vice Chairman of the Board of Directors, its President or a Vice President, and by its Treasurer, an Assistant Treasurer, its Secretary or an Assistant Secretary, and delivered to the Trustee.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Conversion Agent</w:t>
      </w:r>
      <w:r>
        <w:rPr>
          <w:rFonts w:ascii="Times New Roman" w:hAnsi="Times New Roman"/>
          <w:sz w:val="20"/>
        </w:rPr>
        <w:t xml:space="preserve"> means any Person authorized by the Company to convert any Securities on behalf of the Company.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Corporate Trust Office</w:t>
      </w:r>
      <w:r>
        <w:rPr>
          <w:rFonts w:ascii="Times New Roman" w:hAnsi="Times New Roman"/>
          <w:sz w:val="20"/>
        </w:rPr>
        <w:t xml:space="preserve"> means the office of the Trustee at which at any particular time its corporate trust business in relation to this Indenture shall be administered, such office being located on the date hereof at </w:t>
      </w:r>
      <w:r>
        <w:rPr>
          <w:rFonts w:ascii="Times New Roman" w:hAnsi="Times New Roman"/>
          <w:b/>
          <w:sz w:val="20"/>
        </w:rPr>
        <w:t>[</w:t>
      </w:r>
      <w:r>
        <w:rPr>
          <w:rFonts w:ascii="Times New Roman" w:hAnsi="Times New Roman"/>
          <w:b/>
          <w:sz w:val="20"/>
          <w:u w:val="single"/>
        </w:rPr>
        <w:t>                                                         </w:t>
      </w:r>
      <w:r>
        <w:rPr>
          <w:rFonts w:ascii="Times New Roman" w:hAnsi="Times New Roman"/>
          <w:b/>
          <w:sz w:val="20"/>
        </w:rPr>
        <w:t>]</w:t>
      </w:r>
      <w:r>
        <w:rPr>
          <w:rFonts w:ascii="Times New Roman" w:hAnsi="Times New Roman"/>
          <w:sz w:val="20"/>
        </w:rPr>
        <w:t xml:space="preserve">, Attention: </w:t>
      </w:r>
      <w:r>
        <w:rPr>
          <w:rFonts w:ascii="Times New Roman" w:hAnsi="Times New Roman"/>
          <w:b/>
          <w:sz w:val="20"/>
        </w:rPr>
        <w:t>[</w:t>
      </w:r>
      <w:r>
        <w:rPr>
          <w:rFonts w:ascii="Times New Roman" w:hAnsi="Times New Roman"/>
          <w:b/>
          <w:sz w:val="20"/>
          <w:u w:val="single"/>
        </w:rPr>
        <w:t>                                    </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corporation</w:t>
      </w:r>
      <w:r>
        <w:rPr>
          <w:rFonts w:ascii="Times New Roman" w:hAnsi="Times New Roman"/>
          <w:sz w:val="20"/>
        </w:rPr>
        <w:t xml:space="preserve"> means a corporation, association, limited liability company, joint-stock company or business trust.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Covenant Defeasance</w:t>
      </w:r>
      <w:r>
        <w:rPr>
          <w:rFonts w:ascii="Times New Roman" w:hAnsi="Times New Roman"/>
          <w:sz w:val="20"/>
        </w:rPr>
        <w:t xml:space="preserve"> has the meaning specified in Section 1503. </w:t>
      </w:r>
    </w:p>
    <w:p>
      <w:pPr>
        <w:pStyle w:val="TextBody"/>
        <w:spacing w:before="180" w:after="0"/>
        <w:rPr>
          <w:rFonts w:ascii="Times New Roman" w:hAnsi="Times New Roman"/>
          <w:sz w:val="20"/>
        </w:rPr>
      </w:pPr>
      <w:r>
        <w:rPr>
          <w:rFonts w:ascii="Times New Roman" w:hAnsi="Times New Roman"/>
          <w:b/>
          <w:sz w:val="20"/>
        </w:rPr>
        <w:t>Debt</w:t>
      </w:r>
      <w:r>
        <w:rPr>
          <w:rFonts w:ascii="Times New Roman" w:hAnsi="Times New Roman"/>
          <w:sz w:val="20"/>
        </w:rPr>
        <w:t xml:space="preserve"> of any Person at any date means any obligation created, assumed or guaranteed by such Person for the repayment of borrowed money.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Defaulted Interest</w:t>
      </w:r>
      <w:r>
        <w:rPr>
          <w:rFonts w:ascii="Times New Roman" w:hAnsi="Times New Roman"/>
          <w:sz w:val="20"/>
        </w:rPr>
        <w:t xml:space="preserve"> has the meaning specified in Section 307.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Defeasance</w:t>
      </w:r>
      <w:r>
        <w:rPr>
          <w:rFonts w:ascii="Times New Roman" w:hAnsi="Times New Roman"/>
          <w:sz w:val="20"/>
        </w:rPr>
        <w:t xml:space="preserve"> has the meaning specified in Section 1502.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Depositary</w:t>
      </w:r>
      <w:r>
        <w:rPr>
          <w:rFonts w:ascii="Times New Roman" w:hAnsi="Times New Roman"/>
          <w:sz w:val="20"/>
        </w:rPr>
        <w:t xml:space="preserve"> means, with respect to Securities of any series issuable in whole or in part in the form of one or more Global Securities, a clearing agency registered under the Exchange Act that is designated to act as Depositary for such Securities as contemplated by Section 301.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Event of Default</w:t>
      </w:r>
      <w:r>
        <w:rPr>
          <w:rFonts w:ascii="Times New Roman" w:hAnsi="Times New Roman"/>
          <w:sz w:val="20"/>
        </w:rPr>
        <w:t xml:space="preserve"> has the meaning specified in Section 501.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means the Securities Exchange Act of 1934 and any statute successor thereto, in each case as amended from time to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Expiration Date</w:t>
      </w:r>
      <w:r>
        <w:rPr>
          <w:rFonts w:ascii="Times New Roman" w:hAnsi="Times New Roman"/>
          <w:sz w:val="20"/>
        </w:rPr>
        <w:t xml:space="preserve"> has the meaning specified in Section 104.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Global Security</w:t>
      </w:r>
      <w:r>
        <w:rPr>
          <w:rFonts w:ascii="Times New Roman" w:hAnsi="Times New Roman"/>
          <w:sz w:val="20"/>
        </w:rPr>
        <w:t xml:space="preserve"> means a Security that evidences all or part of the Securities of any series and bears the legend set forth in Section 205 (or such legend as may be specified as contemplated by Section 301 for such Securities).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Holder</w:t>
      </w:r>
      <w:r>
        <w:rPr>
          <w:rFonts w:ascii="Times New Roman" w:hAnsi="Times New Roman"/>
          <w:sz w:val="20"/>
        </w:rPr>
        <w:t xml:space="preserve"> means a Person in whose name a Security is registered in the Security Register.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b/>
          <w:sz w:val="20"/>
        </w:rPr>
        <w:t>Indenture</w:t>
      </w:r>
      <w:r>
        <w:rPr>
          <w:rFonts w:ascii="Times New Roman" w:hAnsi="Times New Roman"/>
          <w:sz w:val="20"/>
        </w:rPr>
        <w:t xml:space="preserv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interest</w:t>
      </w:r>
      <w:r>
        <w:rPr>
          <w:rFonts w:ascii="Times New Roman" w:hAnsi="Times New Roman"/>
          <w:sz w:val="20"/>
        </w:rPr>
        <w:t xml:space="preserve">, when used with respect to an Original Issue Discount Security which by its terms bears interest only after Maturity, means interest payable after Maturity.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Interest Payment Date</w:t>
      </w:r>
      <w:r>
        <w:rPr>
          <w:rFonts w:ascii="Times New Roman" w:hAnsi="Times New Roman"/>
          <w:sz w:val="20"/>
        </w:rPr>
        <w:t xml:space="preserve">, when used with respect to any Security, means the Stated Maturity of an installment of interest on such Security.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Investment Company Act</w:t>
      </w:r>
      <w:r>
        <w:rPr>
          <w:rFonts w:ascii="Times New Roman" w:hAnsi="Times New Roman"/>
          <w:sz w:val="20"/>
        </w:rPr>
        <w:t xml:space="preserve"> means the Investment Company Act of 1940 and any statute successor thereto, in each case as amended from time to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Maturity</w:t>
      </w:r>
      <w:r>
        <w:rPr>
          <w:rFonts w:ascii="Times New Roman" w:hAnsi="Times New Roman"/>
          <w:sz w:val="20"/>
        </w:rPr>
        <w:t xml:space="preserve">, when used with respect to any Security, means the date on which the principal of such Security or an installment of principal becomes due and payable as therein or herein provided, whether at the Stated Maturity or by declaration of acceleration, call for redemption or otherwise.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Notice of Default</w:t>
      </w:r>
      <w:r>
        <w:rPr>
          <w:rFonts w:ascii="Times New Roman" w:hAnsi="Times New Roman"/>
          <w:sz w:val="20"/>
        </w:rPr>
        <w:t xml:space="preserve"> means a written notice of the kind specified in Section 501(5).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Officers Certificate</w:t>
      </w:r>
      <w:r>
        <w:rPr>
          <w:rFonts w:ascii="Times New Roman" w:hAnsi="Times New Roman"/>
          <w:sz w:val="20"/>
        </w:rPr>
        <w:t xml:space="preserve"> means a certificate signed by the Chairman of the Board of Directors, a Vice Chairman of the Board of Directors, the President or a Vice President, and by the Treasurer, an Assistant Treasurer, the Secretary or an Assistant Secretary, of the Company or a Subsidiary Guarantor, as the case may be, and delivered to the Trustee. One of the officers signing an Officers Certificate given pursuant to Section 1004 shall be the principal executive, financial or accounting officer of the Company.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Opinion of Counsel</w:t>
      </w:r>
      <w:r>
        <w:rPr>
          <w:rFonts w:ascii="Times New Roman" w:hAnsi="Times New Roman"/>
          <w:sz w:val="20"/>
        </w:rPr>
        <w:t xml:space="preserve"> means, as to the Company or a Subsidiary Guarantor, a written opinion of counsel, who may be counsel for the Company or such Subsidiary Guarantor, as the case may be, and who shall be acceptable to the Trustee.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Original Issue Discount Security</w:t>
      </w:r>
      <w:r>
        <w:rPr>
          <w:rFonts w:ascii="Times New Roman" w:hAnsi="Times New Roman"/>
          <w:sz w:val="20"/>
        </w:rPr>
        <w:t xml:space="preserve"> means any Security which provides for an amount less than the principal amount thereof to be due and payable upon a declaration of acceleration of the Maturity thereof pursuant to Section 502.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Outstanding</w:t>
      </w:r>
      <w:r>
        <w:rPr>
          <w:rFonts w:ascii="Times New Roman" w:hAnsi="Times New Roman"/>
          <w:sz w:val="20"/>
        </w:rPr>
        <w:t xml:space="preserve">, when used with respect to Securities, means, as of the date of determination, all Securities theretofore authenticated and delivered under this Indenture, except: </w:t>
      </w:r>
    </w:p>
    <w:p>
      <w:pPr>
        <w:pStyle w:val="TextBody"/>
        <w:spacing w:before="180" w:after="0"/>
        <w:rPr>
          <w:rFonts w:ascii="Times New Roman" w:hAnsi="Times New Roman"/>
          <w:sz w:val="20"/>
        </w:rPr>
      </w:pPr>
      <w:r>
        <w:rPr>
          <w:rFonts w:ascii="Times New Roman" w:hAnsi="Times New Roman"/>
          <w:sz w:val="20"/>
        </w:rPr>
        <w:t xml:space="preserve">(1) Securities theretofore cancelled by the Trustee or delivered to the Trustee for cancellation; </w:t>
      </w:r>
    </w:p>
    <w:p>
      <w:pPr>
        <w:pStyle w:val="TextBody"/>
        <w:spacing w:before="180" w:after="0"/>
        <w:rPr>
          <w:rFonts w:ascii="Times New Roman" w:hAnsi="Times New Roman"/>
          <w:sz w:val="20"/>
        </w:rPr>
      </w:pPr>
      <w:r>
        <w:rPr>
          <w:rFonts w:ascii="Times New Roman" w:hAnsi="Times New Roman"/>
          <w:sz w:val="20"/>
        </w:rPr>
        <w:t xml:space="preserve">(2) 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(3) Securities as to which Defeasance has been effected pursuant to Section 1502; and </w:t>
      </w:r>
    </w:p>
    <w:p>
      <w:pPr>
        <w:pStyle w:val="TextBody"/>
        <w:spacing w:before="180" w:after="0"/>
        <w:rPr>
          <w:rFonts w:ascii="Times New Roman" w:hAnsi="Times New Roman"/>
          <w:sz w:val="20"/>
        </w:rPr>
      </w:pPr>
      <w:r>
        <w:rPr>
          <w:rFonts w:ascii="Times New Roman" w:hAnsi="Times New Roman"/>
          <w:sz w:val="20"/>
        </w:rPr>
        <w:t xml:space="preserve">(4) 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w:t>
      </w:r>
    </w:p>
    <w:p>
      <w:pPr>
        <w:pStyle w:val="TextBody"/>
        <w:spacing w:before="180" w:after="0"/>
        <w:rPr>
          <w:rFonts w:ascii="Times New Roman" w:hAnsi="Times New Roman"/>
          <w:sz w:val="20"/>
        </w:rPr>
      </w:pPr>
      <w:r>
        <w:rPr>
          <w:rFonts w:ascii="Times New Roman" w:hAnsi="Times New Roman"/>
          <w:sz w:val="20"/>
        </w:rPr>
        <w:t xml:space="preserve">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any Subsidiary Guarantor or any other obligor upon the Securities or any Affiliate of the Company, any Subsidiary Guarantor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a Subsidiary Guarantor or any other obligor upon the Securities or any Affiliate of the Company, a Subsidiary Guarantor or of such other obligor.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Paying Agent</w:t>
      </w:r>
      <w:r>
        <w:rPr>
          <w:rFonts w:ascii="Times New Roman" w:hAnsi="Times New Roman"/>
          <w:sz w:val="20"/>
        </w:rPr>
        <w:t xml:space="preserve"> means any Person authorized by the Company to pay the principal of or any premium or interest on any Securities on behalf of the Company.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means any individual, corporation, partnership, joint venture, trust, unincorporated organization or government or any agency or political subdivision thereof.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Place of Payment</w:t>
      </w:r>
      <w:r>
        <w:rPr>
          <w:rFonts w:ascii="Times New Roman" w:hAnsi="Times New Roman"/>
          <w:sz w:val="20"/>
        </w:rPr>
        <w:t xml:space="preserve">, when used with respect to the Securities of any series, means the place or places where the principal of and any premium and interest on the Securities of that series are payable as specified as contemplated by Section 301.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b/>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Redemption Date</w:t>
      </w:r>
      <w:r>
        <w:rPr>
          <w:rFonts w:ascii="Times New Roman" w:hAnsi="Times New Roman"/>
          <w:sz w:val="20"/>
        </w:rPr>
        <w:t xml:space="preserve">, when used with respect to any Security to be redeemed, means the date fixed for such redemption by or pursuant to this Indenture.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Redemption Price</w:t>
      </w:r>
      <w:r>
        <w:rPr>
          <w:rFonts w:ascii="Times New Roman" w:hAnsi="Times New Roman"/>
          <w:sz w:val="20"/>
        </w:rPr>
        <w:t xml:space="preserve">, when used with respect to any Security to be redeemed, means the price at which it is to be redeemed pursuant to this Indenture.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Regular Record Date</w:t>
      </w:r>
      <w:r>
        <w:rPr>
          <w:rFonts w:ascii="Times New Roman" w:hAnsi="Times New Roman"/>
          <w:sz w:val="20"/>
        </w:rPr>
        <w:t xml:space="preserve"> for the interest payable on any Interest Payment Date on the Securities of any series means the date specified for that purpose as contemplated by Section 301.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Securities Act</w:t>
      </w:r>
      <w:r>
        <w:rPr>
          <w:rFonts w:ascii="Times New Roman" w:hAnsi="Times New Roman"/>
          <w:sz w:val="20"/>
        </w:rPr>
        <w:t xml:space="preserve"> means the Securities Act of 1933 and any statute successor thereto, in each case as amended from time to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Security Register</w:t>
      </w:r>
      <w:r>
        <w:rPr>
          <w:rFonts w:ascii="Times New Roman" w:hAnsi="Times New Roman"/>
          <w:sz w:val="20"/>
        </w:rPr>
        <w:t> and </w:t>
      </w:r>
      <w:r>
        <w:rPr>
          <w:rFonts w:ascii="Times New Roman" w:hAnsi="Times New Roman"/>
          <w:b/>
          <w:sz w:val="20"/>
        </w:rPr>
        <w:t>Security Registrar</w:t>
      </w:r>
      <w:r>
        <w:rPr>
          <w:rFonts w:ascii="Times New Roman" w:hAnsi="Times New Roman"/>
          <w:sz w:val="20"/>
        </w:rPr>
        <w:t xml:space="preserve"> have the respective meanings specified in Section 305.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Significant Subsidiary</w:t>
      </w:r>
      <w:r>
        <w:rPr>
          <w:rFonts w:ascii="Times New Roman" w:hAnsi="Times New Roman"/>
          <w:sz w:val="20"/>
        </w:rPr>
        <w:t xml:space="preserve"> means, at any date of determination, any Subsidiary that represents 10% or more of the Companys consolidated total assets at the end of the most recent fiscal quarter for which financial information is available or 10% or more of the Companys consolidated net revenues or consolidated operating income for the most recent four quarters for which financial information is available.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Special Record Date</w:t>
      </w:r>
      <w:r>
        <w:rPr>
          <w:rFonts w:ascii="Times New Roman" w:hAnsi="Times New Roman"/>
          <w:sz w:val="20"/>
        </w:rPr>
        <w:t xml:space="preserve"> for the payment of any Defaulted Interest means a date fixed by the Trustee pursuant to Section 307.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Stated Maturity,</w:t>
      </w:r>
      <w:r>
        <w:rPr>
          <w:rFonts w:ascii="Times New Roman" w:hAnsi="Times New Roman"/>
          <w:sz w:val="20"/>
        </w:rPr>
        <w:t xml:space="preserve"> when used with respect to any Security or any installment of principal thereof or interest thereon, means the date specified in such Security as the fixed date on which the principal of such Security or such installment of principal or interest is due and payable.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Subsidiary</w:t>
      </w:r>
      <w:r>
        <w:rPr>
          <w:rFonts w:ascii="Times New Roman" w:hAnsi="Times New Roman"/>
          <w:sz w:val="20"/>
        </w:rPr>
        <w:t xml:space="preserve"> of any Person means (1) a corporation more than 50% of the combined voting power of the outstanding Voting Stock of which is owned, directly or indirectly, by such Person or by one or more other Subsidiaries of such Person or by such Person and one or more Subsidiaries thereof or (2)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Subsidiary Guarantees</w:t>
      </w:r>
      <w:r>
        <w:rPr>
          <w:rFonts w:ascii="Times New Roman" w:hAnsi="Times New Roman"/>
          <w:sz w:val="20"/>
        </w:rPr>
        <w:t xml:space="preserve"> means the guarantees of each Subsidiary Guarantor as provided in Article Thirteen.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b/>
          <w:sz w:val="20"/>
        </w:rPr>
        <w:t>Subsidiary Guarantors</w:t>
      </w:r>
      <w:r>
        <w:rPr>
          <w:rFonts w:ascii="Times New Roman" w:hAnsi="Times New Roman"/>
          <w:sz w:val="20"/>
        </w:rPr>
        <w:t xml:space="preserve"> means (i) the subsidiaries listed in </w:t>
      </w:r>
      <w:r>
        <w:rPr>
          <w:rFonts w:ascii="Times New Roman" w:hAnsi="Times New Roman"/>
          <w:sz w:val="20"/>
          <w:u w:val="single"/>
        </w:rPr>
        <w:t>Schedule I</w:t>
      </w:r>
      <w:r>
        <w:rPr>
          <w:rFonts w:ascii="Times New Roman" w:hAnsi="Times New Roman"/>
          <w:sz w:val="20"/>
        </w:rPr>
        <w:t xml:space="preserve"> hereto; (ii) each other Subsidiary of the Company that becomes a Subsidiary Guarantor in accordance with Section 1305 hereof, and (iii) any successor of the foregoing, in each case (i), (ii) and (iii) until such Subsidiary Guarantor ceases to be such in accordance with Section 1304 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Trust Indenture Act</w:t>
      </w:r>
      <w:r>
        <w:rPr>
          <w:rFonts w:ascii="Times New Roman" w:hAnsi="Times New Roman"/>
          <w:sz w:val="20"/>
        </w:rPr>
        <w:t xml:space="preserve">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Trustee</w:t>
      </w:r>
      <w:r>
        <w:rPr>
          <w:rFonts w:ascii="Times New Roman" w:hAnsi="Times New Roman"/>
          <w:sz w:val="20"/>
        </w:rPr>
        <w:t xml:space="preserv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U.S. Government Obligation</w:t>
      </w:r>
      <w:r>
        <w:rPr>
          <w:rFonts w:ascii="Times New Roman" w:hAnsi="Times New Roman"/>
          <w:sz w:val="20"/>
        </w:rPr>
        <w:t xml:space="preserve"> has the meaning specified in Section 1504.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Vice President</w:t>
      </w:r>
      <w:r>
        <w:rPr>
          <w:rFonts w:ascii="Times New Roman" w:hAnsi="Times New Roman"/>
          <w:sz w:val="20"/>
        </w:rPr>
        <w:t xml:space="preserve">, when used with respect to the Company or the Trustee, means any vice president, whether or not designated by a number or a word or words added before or after the title vice president.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Voting Stock</w:t>
      </w:r>
      <w:r>
        <w:rPr>
          <w:rFonts w:ascii="Times New Roman" w:hAnsi="Times New Roman"/>
          <w:sz w:val="20"/>
        </w:rPr>
        <w:t xml:space="preserve"> of any Person means Capital Stock of such Person which ordinarily has voting power for the election of directors (or persons performing similar functions) of such Person, whether at all times or only so long as no senior class of securities has such voting power by reason of any contingency.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Wholly Owned Subsidiary</w:t>
      </w:r>
      <w:r>
        <w:rPr>
          <w:rFonts w:ascii="Times New Roman" w:hAnsi="Times New Roman"/>
          <w:sz w:val="20"/>
        </w:rPr>
        <w:t xml:space="preserve"> of any Person means a Subsidiary of such Person all of the outstanding Capital Stock of which (other than directors qualifying shares) shall at the time be owned by such Person or by one or more Wholly Owned Subsidiaries of such Person or by such Person and one or more Wholly Owned Subsidiaries of such Person. </w:t>
      </w:r>
    </w:p>
    <w:p>
      <w:pPr>
        <w:pStyle w:val="TextBody"/>
        <w:spacing w:before="180" w:after="0"/>
        <w:rPr>
          <w:rFonts w:ascii="Times New Roman" w:hAnsi="Times New Roman"/>
          <w:sz w:val="20"/>
        </w:rPr>
      </w:pPr>
      <w:r>
        <w:rPr>
          <w:rFonts w:ascii="Times New Roman" w:hAnsi="Times New Roman"/>
          <w:sz w:val="20"/>
        </w:rPr>
        <w:t xml:space="preserve">SECTION 102. </w:t>
      </w:r>
      <w:r>
        <w:rPr>
          <w:rFonts w:ascii="Times New Roman" w:hAnsi="Times New Roman"/>
          <w:b/>
          <w:sz w:val="20"/>
          <w:u w:val="single"/>
        </w:rPr>
        <w:t>Compliance Certificates and Opinions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Upon any application or request by the Company or any Subsidiary Guarantor to the Trustee to take any action under any provision of this Indenture, the Company and/or such Subsidiary Guarantor, as appropriate, shall furnish to the Trustee such certificates and opinions as may be required under the Trust Indenture Act. Each such certificate or opinion shall be given in the form of an Officers Certificate, if to be given by an officer of the Company or a Subsidiary Guarantor, or an Opinion of Counsel, if to be given by counsel, and shall comply with the requirements of the Trust Indenture Act and any other requirements set forth in this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Every certificate or opinion with respect to compliance with a condition or covenant provided for in this Indenture shall include: </w:t>
      </w:r>
    </w:p>
    <w:p>
      <w:pPr>
        <w:pStyle w:val="TextBody"/>
        <w:spacing w:before="180" w:after="0"/>
        <w:rPr>
          <w:rFonts w:ascii="Times New Roman" w:hAnsi="Times New Roman"/>
          <w:sz w:val="20"/>
        </w:rPr>
      </w:pPr>
      <w:r>
        <w:rPr>
          <w:rFonts w:ascii="Times New Roman" w:hAnsi="Times New Roman"/>
          <w:sz w:val="20"/>
        </w:rPr>
        <w:t xml:space="preserve">(1) a statement that each individual signing such certificate or opinion has read such covenant or condition and the definitions herein relating thereto; </w:t>
      </w:r>
    </w:p>
    <w:p>
      <w:pPr>
        <w:pStyle w:val="TextBody"/>
        <w:spacing w:before="180" w:after="0"/>
        <w:rPr>
          <w:rFonts w:ascii="Times New Roman" w:hAnsi="Times New Roman"/>
          <w:sz w:val="20"/>
        </w:rPr>
      </w:pPr>
      <w:r>
        <w:rPr>
          <w:rFonts w:ascii="Times New Roman" w:hAnsi="Times New Roman"/>
          <w:sz w:val="20"/>
        </w:rPr>
        <w:t xml:space="preserve">(2) a brief statement as to the nature and scope of the examination or investigation upon which the statements or opinions contained in such certificate or opinion are based; </w:t>
      </w:r>
    </w:p>
    <w:p>
      <w:pPr>
        <w:pStyle w:val="TextBody"/>
        <w:spacing w:before="180" w:after="0"/>
        <w:rPr>
          <w:rFonts w:ascii="Times New Roman" w:hAnsi="Times New Roman"/>
          <w:sz w:val="20"/>
        </w:rPr>
      </w:pPr>
      <w:r>
        <w:rPr>
          <w:rFonts w:ascii="Times New Roman" w:hAnsi="Times New Roman"/>
          <w:sz w:val="20"/>
        </w:rPr>
        <w:t xml:space="preserve">(3) a statement that, in the opinion of each such individual, he has made such examination or investigation as is necessary to enable him to express an informed opinion as to whether or not such covenant or condition has been complied with; and </w:t>
      </w:r>
    </w:p>
    <w:p>
      <w:pPr>
        <w:pStyle w:val="TextBody"/>
        <w:spacing w:before="180" w:after="0"/>
        <w:rPr>
          <w:rFonts w:ascii="Times New Roman" w:hAnsi="Times New Roman"/>
          <w:sz w:val="20"/>
        </w:rPr>
      </w:pPr>
      <w:r>
        <w:rPr>
          <w:rFonts w:ascii="Times New Roman" w:hAnsi="Times New Roman"/>
          <w:sz w:val="20"/>
        </w:rPr>
        <w:t xml:space="preserve">(4) a statement as to whether, in the opinion of each such individual, such condition or covenant has been complied with. </w:t>
      </w:r>
    </w:p>
    <w:p>
      <w:pPr>
        <w:pStyle w:val="TextBody"/>
        <w:spacing w:before="180" w:after="0"/>
        <w:rPr>
          <w:rFonts w:ascii="Times New Roman" w:hAnsi="Times New Roman"/>
          <w:sz w:val="20"/>
        </w:rPr>
      </w:pPr>
      <w:r>
        <w:rPr>
          <w:rFonts w:ascii="Times New Roman" w:hAnsi="Times New Roman"/>
          <w:sz w:val="20"/>
        </w:rPr>
        <w:t xml:space="preserve">SECTION 103. </w:t>
      </w:r>
      <w:r>
        <w:rPr>
          <w:rFonts w:ascii="Times New Roman" w:hAnsi="Times New Roman"/>
          <w:b/>
          <w:sz w:val="20"/>
          <w:u w:val="single"/>
        </w:rPr>
        <w:t>Form of Documents Delivered to Trustee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spacing w:before="180" w:after="0"/>
        <w:rPr>
          <w:rFonts w:ascii="Times New Roman" w:hAnsi="Times New Roman"/>
          <w:sz w:val="20"/>
        </w:rPr>
      </w:pPr>
      <w:r>
        <w:rPr>
          <w:rFonts w:ascii="Times New Roman" w:hAnsi="Times New Roman"/>
          <w:sz w:val="20"/>
        </w:rPr>
        <w:t xml:space="preserve">Any certificate or opinion of an officer of the Company or a Subsidiary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or such Subsidiary Guarantor stating that the information with respect to such factual matters is in the possession of the Company or such Subsidiary Guarantor, unless such counsel knows, or in the exercise of reasonable care should know, that the certificate or opinion or representations with respect to such matters are erroneous. </w:t>
      </w:r>
    </w:p>
    <w:p>
      <w:pPr>
        <w:pStyle w:val="TextBody"/>
        <w:spacing w:before="180" w:after="0"/>
        <w:rPr>
          <w:rFonts w:ascii="Times New Roman" w:hAnsi="Times New Roman"/>
          <w:sz w:val="20"/>
        </w:rPr>
      </w:pPr>
      <w:r>
        <w:rPr>
          <w:rFonts w:ascii="Times New Roman" w:hAnsi="Times New Roman"/>
          <w:sz w:val="20"/>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spacing w:before="180" w:after="0"/>
        <w:rPr>
          <w:rFonts w:ascii="Times New Roman" w:hAnsi="Times New Roman"/>
          <w:sz w:val="20"/>
        </w:rPr>
      </w:pPr>
      <w:r>
        <w:rPr>
          <w:rFonts w:ascii="Times New Roman" w:hAnsi="Times New Roman"/>
          <w:sz w:val="20"/>
        </w:rPr>
        <w:t xml:space="preserve">SECTION 104. </w:t>
      </w:r>
      <w:r>
        <w:rPr>
          <w:rFonts w:ascii="Times New Roman" w:hAnsi="Times New Roman"/>
          <w:b/>
          <w:sz w:val="20"/>
          <w:u w:val="single"/>
        </w:rPr>
        <w:t>Acts of Holders; Record Dates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Whenever in this Indenture it is provided that the Holders of a specified percentage in aggregate principal amount of the Securities of any or all series may take action (including the making of any demand or request, the giving of any direction,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(b) by the record of the Holders voting in favor thereof at any meeting of Holders duly called and held in accordance with procedures approved by the Trustee, (c) by a combination of such instrument or instruments and any such record of such a meeting of Holders or (d) in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case of Securities evidenced by a Global Security, by any electronic transmission or other message, whether or not in written format, that complies with the Depositarys applicable procedures. Such evidence (and the action embodied therein and evidenced thereby) are herein sometimes referred to as the </w:t>
      </w:r>
      <w:r>
        <w:rPr>
          <w:rFonts w:ascii="Times New Roman" w:hAnsi="Times New Roman"/>
          <w:b/>
          <w:sz w:val="20"/>
        </w:rPr>
        <w:t>Act</w:t>
      </w:r>
      <w:r>
        <w:rPr>
          <w:rFonts w:ascii="Times New Roman" w:hAnsi="Times New Roman"/>
          <w:sz w:val="20"/>
        </w:rPr>
        <w:t xml:space="preserve"> of the relevant Holders. Proof of execution of any such instrument or of a writing appointing any such agent or proxy shall be sufficient for any purpose of this Indenture and (subject to Section 601) conclusive in favor of the Trustee and the Company, if made in the manner provided in this Section. </w:t>
      </w:r>
    </w:p>
    <w:p>
      <w:pPr>
        <w:pStyle w:val="TextBody"/>
        <w:spacing w:before="180" w:after="0"/>
        <w:rPr>
          <w:rFonts w:ascii="Times New Roman" w:hAnsi="Times New Roman"/>
          <w:sz w:val="20"/>
        </w:rPr>
      </w:pPr>
      <w:r>
        <w:rPr>
          <w:rFonts w:ascii="Times New Roman" w:hAnsi="Times New Roman"/>
          <w:sz w:val="20"/>
        </w:rPr>
        <w:t xml:space="preserve">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sufficient. The ownership of Securities shall be proved by the Security Register. </w:t>
      </w:r>
    </w:p>
    <w:p>
      <w:pPr>
        <w:pStyle w:val="TextBody"/>
        <w:spacing w:before="180" w:after="0"/>
        <w:rPr>
          <w:rFonts w:ascii="Times New Roman" w:hAnsi="Times New Roman"/>
          <w:sz w:val="20"/>
        </w:rPr>
      </w:pPr>
      <w:r>
        <w:rPr>
          <w:rFonts w:ascii="Times New Roman" w:hAnsi="Times New Roman"/>
          <w:sz w:val="20"/>
        </w:rPr>
        <w:t xml:space="preserve">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w:t>
      </w:r>
    </w:p>
    <w:p>
      <w:pPr>
        <w:pStyle w:val="TextBody"/>
        <w:spacing w:before="180" w:after="0"/>
        <w:rPr>
          <w:rFonts w:ascii="Times New Roman" w:hAnsi="Times New Roman"/>
          <w:sz w:val="20"/>
        </w:rPr>
      </w:pPr>
      <w:r>
        <w:rPr>
          <w:rFonts w:ascii="Times New Roman" w:hAnsi="Times New Roman"/>
          <w:sz w:val="20"/>
        </w:rPr>
        <w:t xml:space="preserve">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 </w:t>
      </w:r>
    </w:p>
    <w:p>
      <w:pPr>
        <w:pStyle w:val="TextBody"/>
        <w:spacing w:before="180" w:after="0"/>
        <w:rPr>
          <w:rFonts w:ascii="Times New Roman" w:hAnsi="Times New Roman"/>
          <w:sz w:val="20"/>
        </w:rPr>
      </w:pPr>
      <w:r>
        <w:rPr>
          <w:rFonts w:ascii="Times New Roman" w:hAnsi="Times New Roman"/>
          <w:sz w:val="20"/>
        </w:rPr>
        <w:t>With respect to any record date set pursuant to this Section, the party hereto which sets such record dates may designate any day as the </w:t>
      </w:r>
      <w:r>
        <w:rPr>
          <w:rFonts w:ascii="Times New Roman" w:hAnsi="Times New Roman"/>
          <w:b/>
          <w:sz w:val="20"/>
        </w:rPr>
        <w:t>Expiration Date</w:t>
      </w:r>
      <w:r>
        <w:rPr>
          <w:rFonts w:ascii="Times New Roman" w:hAnsi="Times New Roman"/>
          <w:sz w:val="20"/>
        </w:rPr>
        <w:t xml:space="preserv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 </w:t>
      </w:r>
    </w:p>
    <w:p>
      <w:pPr>
        <w:pStyle w:val="TextBody"/>
        <w:spacing w:before="180" w:after="0"/>
        <w:rPr>
          <w:rFonts w:ascii="Times New Roman" w:hAnsi="Times New Roman"/>
          <w:sz w:val="20"/>
        </w:rPr>
      </w:pPr>
      <w:r>
        <w:rPr>
          <w:rFonts w:ascii="Times New Roman" w:hAnsi="Times New Roman"/>
          <w:sz w:val="20"/>
        </w:rPr>
        <w:t xml:space="preserve">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 </w:t>
      </w:r>
    </w:p>
    <w:p>
      <w:pPr>
        <w:pStyle w:val="TextBody"/>
        <w:spacing w:before="180" w:after="0"/>
        <w:rPr>
          <w:rFonts w:ascii="Times New Roman" w:hAnsi="Times New Roman"/>
          <w:sz w:val="20"/>
        </w:rPr>
      </w:pPr>
      <w:r>
        <w:rPr>
          <w:rFonts w:ascii="Times New Roman" w:hAnsi="Times New Roman"/>
          <w:sz w:val="20"/>
        </w:rPr>
        <w:t xml:space="preserve">SECTION 105. </w:t>
      </w:r>
      <w:r>
        <w:rPr>
          <w:rFonts w:ascii="Times New Roman" w:hAnsi="Times New Roman"/>
          <w:b/>
          <w:sz w:val="20"/>
          <w:u w:val="single"/>
        </w:rPr>
        <w:t>Notices, Etc., to Trustee and Company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Any request, demand, authorization, direction, notice, consent, waiver or Act of Holders or other document provided or permitted by this Indenture to be made upon, given or furnished to, or filed with: </w:t>
      </w:r>
    </w:p>
    <w:p>
      <w:pPr>
        <w:pStyle w:val="TextBody"/>
        <w:spacing w:before="180" w:after="0"/>
        <w:rPr>
          <w:rFonts w:ascii="Times New Roman" w:hAnsi="Times New Roman"/>
          <w:sz w:val="20"/>
        </w:rPr>
      </w:pPr>
      <w:r>
        <w:rPr>
          <w:rFonts w:ascii="Times New Roman" w:hAnsi="Times New Roman"/>
          <w:sz w:val="20"/>
        </w:rPr>
        <w:t xml:space="preserve">(1) the Trustee by any Holder or by the Company or any Subsidiary Guarantor shall be sufficient for every purpose hereunder if made, given, furnished or filed in writing in the English language to or with the Trustee at its Corporate Trust Office, Attention: Corporate Trust Department;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(2) the Company or any Subsidiary Guarantor by the Trustee or by any Holder shall be sufficient for every purpose hereunder (unless otherwise herein expressly provided) if in writing in the English language and mailed, first-class postage prepaid, in the case of the Company addressed to it at the address of its principal office specified in the first paragraph of this instrument or at any other address previously furnished in writing to the Trustee by the Company and, in the case of any Subsidiary Guarantor, to it at the address of the Companys principal office specified in the first paragraph of this instrument, Attention: Chief Financial Officer, or at any other address previously furnished in writing to the Trustee by such Subsidiary Guarantor. </w:t>
      </w:r>
    </w:p>
    <w:p>
      <w:pPr>
        <w:pStyle w:val="TextBody"/>
        <w:spacing w:before="180" w:after="0"/>
        <w:rPr>
          <w:rFonts w:ascii="Times New Roman" w:hAnsi="Times New Roman"/>
          <w:sz w:val="20"/>
        </w:rPr>
      </w:pPr>
      <w:r>
        <w:rPr>
          <w:rFonts w:ascii="Times New Roman" w:hAnsi="Times New Roman"/>
          <w:sz w:val="20"/>
        </w:rPr>
        <w:t xml:space="preserve">SECTION 106. </w:t>
      </w:r>
      <w:r>
        <w:rPr>
          <w:rFonts w:ascii="Times New Roman" w:hAnsi="Times New Roman"/>
          <w:b/>
          <w:sz w:val="20"/>
          <w:u w:val="single"/>
        </w:rPr>
        <w:t>Notice to Holders; Waiver</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Where this Indenture provides for notice to Holders of any event, such notice shall be sufficiently given (unless otherwise herein expressly provided) if in writing in the English language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spacing w:before="180" w:after="0"/>
        <w:rPr>
          <w:rFonts w:ascii="Times New Roman" w:hAnsi="Times New Roman"/>
          <w:sz w:val="20"/>
        </w:rPr>
      </w:pPr>
      <w:r>
        <w:rPr>
          <w:rFonts w:ascii="Times New Roman" w:hAnsi="Times New Roman"/>
          <w:sz w:val="20"/>
        </w:rPr>
        <w:t xml:space="preserve">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 </w:t>
      </w:r>
    </w:p>
    <w:p>
      <w:pPr>
        <w:pStyle w:val="TextBody"/>
        <w:spacing w:before="180" w:after="0"/>
        <w:rPr>
          <w:rFonts w:ascii="Times New Roman" w:hAnsi="Times New Roman"/>
          <w:sz w:val="20"/>
        </w:rPr>
      </w:pPr>
      <w:r>
        <w:rPr>
          <w:rFonts w:ascii="Times New Roman" w:hAnsi="Times New Roman"/>
          <w:sz w:val="20"/>
        </w:rPr>
        <w:t xml:space="preserve">SECTION 107. </w:t>
      </w:r>
      <w:r>
        <w:rPr>
          <w:rFonts w:ascii="Times New Roman" w:hAnsi="Times New Roman"/>
          <w:b/>
          <w:sz w:val="20"/>
          <w:u w:val="single"/>
        </w:rPr>
        <w:t>Conflict with Trust Indenture Act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 </w:t>
      </w:r>
    </w:p>
    <w:p>
      <w:pPr>
        <w:pStyle w:val="TextBody"/>
        <w:spacing w:before="180" w:after="0"/>
        <w:rPr>
          <w:rFonts w:ascii="Times New Roman" w:hAnsi="Times New Roman"/>
          <w:sz w:val="20"/>
        </w:rPr>
      </w:pPr>
      <w:r>
        <w:rPr>
          <w:rFonts w:ascii="Times New Roman" w:hAnsi="Times New Roman"/>
          <w:sz w:val="20"/>
        </w:rPr>
        <w:t xml:space="preserve">SECTION 108. </w:t>
      </w:r>
      <w:r>
        <w:rPr>
          <w:rFonts w:ascii="Times New Roman" w:hAnsi="Times New Roman"/>
          <w:b/>
          <w:sz w:val="20"/>
          <w:u w:val="single"/>
        </w:rPr>
        <w:t>Effect of Headings and Table of Contents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Article and Section headings herein and the Table of Contents are for convenience only and shall not affect the construction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109. </w:t>
      </w:r>
      <w:r>
        <w:rPr>
          <w:rFonts w:ascii="Times New Roman" w:hAnsi="Times New Roman"/>
          <w:b/>
          <w:sz w:val="20"/>
          <w:u w:val="single"/>
        </w:rPr>
        <w:t>Successors and Assigns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All covenants and agreements in this Indenture by the Company and any Subsidiary Guarantor shall bind their respective successors and assigns, whether so expressed or not. </w:t>
      </w:r>
    </w:p>
    <w:p>
      <w:pPr>
        <w:pStyle w:val="TextBody"/>
        <w:spacing w:before="180" w:after="0"/>
        <w:rPr>
          <w:rFonts w:ascii="Times New Roman" w:hAnsi="Times New Roman"/>
          <w:sz w:val="20"/>
        </w:rPr>
      </w:pPr>
      <w:r>
        <w:rPr>
          <w:rFonts w:ascii="Times New Roman" w:hAnsi="Times New Roman"/>
          <w:sz w:val="20"/>
        </w:rPr>
        <w:t xml:space="preserve">SECTION 110. </w:t>
      </w:r>
      <w:r>
        <w:rPr>
          <w:rFonts w:ascii="Times New Roman" w:hAnsi="Times New Roman"/>
          <w:b/>
          <w:sz w:val="20"/>
          <w:u w:val="single"/>
        </w:rPr>
        <w:t>Separability Clause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case any provision in this Indenture, the Securities or the Subsidiary Guarantees shall be invalid, illegal or unenforceable, the validity, legality and enforce ability of the remaining provisions shall not in any way be affected or impaired thereby. </w:t>
      </w:r>
    </w:p>
    <w:p>
      <w:pPr>
        <w:pStyle w:val="TextBody"/>
        <w:spacing w:before="180" w:after="0"/>
        <w:rPr>
          <w:rFonts w:ascii="Times New Roman" w:hAnsi="Times New Roman"/>
          <w:sz w:val="20"/>
        </w:rPr>
      </w:pPr>
      <w:r>
        <w:rPr>
          <w:rFonts w:ascii="Times New Roman" w:hAnsi="Times New Roman"/>
          <w:sz w:val="20"/>
        </w:rPr>
        <w:t xml:space="preserve">SECTION 111. </w:t>
      </w:r>
      <w:r>
        <w:rPr>
          <w:rFonts w:ascii="Times New Roman" w:hAnsi="Times New Roman"/>
          <w:b/>
          <w:sz w:val="20"/>
          <w:u w:val="single"/>
        </w:rPr>
        <w:t>Benefits of Indenture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Nothing in this Indenture, the Securities or the Subsidiary Guarantees, express or implied, shall give to any Person, other than the parties hereto and their successors hereunder and the Holders, any benefit or any legal or equitable right, remedy or claim under this Indenture. </w:t>
      </w:r>
    </w:p>
    <w:p>
      <w:pPr>
        <w:pStyle w:val="TextBody"/>
        <w:spacing w:before="180" w:after="0"/>
        <w:rPr>
          <w:rFonts w:ascii="Times New Roman" w:hAnsi="Times New Roman"/>
          <w:sz w:val="20"/>
        </w:rPr>
      </w:pPr>
      <w:r>
        <w:rPr>
          <w:rFonts w:ascii="Times New Roman" w:hAnsi="Times New Roman"/>
          <w:sz w:val="20"/>
        </w:rPr>
        <w:t xml:space="preserve">SECTION 112. </w:t>
      </w:r>
      <w:r>
        <w:rPr>
          <w:rFonts w:ascii="Times New Roman" w:hAnsi="Times New Roman"/>
          <w:b/>
          <w:sz w:val="20"/>
          <w:u w:val="single"/>
        </w:rPr>
        <w:t>Governing Law</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This Indenture, the Securities and the Subsidiary Guarantees shall be governed by and construed in accordance with the law of the State of New York. </w:t>
      </w:r>
    </w:p>
    <w:p>
      <w:pPr>
        <w:pStyle w:val="TextBody"/>
        <w:spacing w:before="180" w:after="0"/>
        <w:rPr>
          <w:rFonts w:ascii="Times New Roman" w:hAnsi="Times New Roman"/>
          <w:sz w:val="20"/>
        </w:rPr>
      </w:pPr>
      <w:r>
        <w:rPr>
          <w:rFonts w:ascii="Times New Roman" w:hAnsi="Times New Roman"/>
          <w:sz w:val="20"/>
        </w:rPr>
        <w:t xml:space="preserve">SECTION 113. </w:t>
      </w:r>
      <w:r>
        <w:rPr>
          <w:rFonts w:ascii="Times New Roman" w:hAnsi="Times New Roman"/>
          <w:b/>
          <w:sz w:val="20"/>
          <w:u w:val="single"/>
        </w:rPr>
        <w:t>Legal Holidays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any case where any Interest Payment Date, Redemption Date, purchase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Redemption Date or purchase date, or at the Stated Maturity. </w:t>
      </w:r>
    </w:p>
    <w:p>
      <w:pPr>
        <w:pStyle w:val="TextBody"/>
        <w:spacing w:before="180" w:after="0"/>
        <w:rPr>
          <w:rFonts w:ascii="Times New Roman" w:hAnsi="Times New Roman"/>
          <w:sz w:val="20"/>
        </w:rPr>
      </w:pPr>
      <w:r>
        <w:rPr>
          <w:rFonts w:ascii="Times New Roman" w:hAnsi="Times New Roman"/>
          <w:sz w:val="20"/>
        </w:rPr>
        <w:t xml:space="preserve">SECTION 114. </w:t>
      </w:r>
      <w:r>
        <w:rPr>
          <w:rFonts w:ascii="Times New Roman" w:hAnsi="Times New Roman"/>
          <w:b/>
          <w:sz w:val="20"/>
          <w:u w:val="single"/>
        </w:rPr>
        <w:t>No Recourse Against Others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 director, officer, employee, incorporator, stockholder, member, partner or trustee of the Company or any Subsidiary Guarantor, as such, shall have any liability for any obligations of the Company or any Subsidiary Guarantor under the Securities, this Indenture, any Subsidiary Guarantees or for any claim based on, in respect of, or by reason of, such obligations or their creation. By accepting a Security, each Holder shall be deemed to have waived and released all such liability. The waiver and release shall be a part of the consideration for the issue of the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TWO </w:t>
      </w:r>
    </w:p>
    <w:p>
      <w:pPr>
        <w:pStyle w:val="TextBody"/>
        <w:spacing w:before="0" w:after="0"/>
        <w:jc w:val="center"/>
        <w:rPr>
          <w:rFonts w:ascii="Times New Roman" w:hAnsi="Times New Roman"/>
          <w:b/>
          <w:sz w:val="20"/>
        </w:rPr>
      </w:pPr>
      <w:r>
        <w:rPr>
          <w:rFonts w:ascii="Times New Roman" w:hAnsi="Times New Roman"/>
          <w:b/>
          <w:sz w:val="20"/>
        </w:rPr>
        <w:t xml:space="preserve">SECURITY FORMS </w:t>
      </w:r>
    </w:p>
    <w:p>
      <w:pPr>
        <w:pStyle w:val="TextBody"/>
        <w:spacing w:before="180" w:after="0"/>
        <w:rPr>
          <w:rFonts w:ascii="Times New Roman" w:hAnsi="Times New Roman"/>
          <w:sz w:val="20"/>
        </w:rPr>
      </w:pPr>
      <w:r>
        <w:rPr>
          <w:rFonts w:ascii="Times New Roman" w:hAnsi="Times New Roman"/>
          <w:sz w:val="20"/>
        </w:rPr>
        <w:t xml:space="preserve">SECTION 201. </w:t>
      </w:r>
      <w:r>
        <w:rPr>
          <w:rFonts w:ascii="Times New Roman" w:hAnsi="Times New Roman"/>
          <w:b/>
          <w:sz w:val="20"/>
          <w:u w:val="single"/>
        </w:rPr>
        <w:t>Forms Generally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Securities of each series and, if applicable, the notations of Subsidiary Guarantees to be endorsed thereon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or notations of Subsidiary Guarantees, as the case may be,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w:t>
      </w:r>
    </w:p>
    <w:p>
      <w:pPr>
        <w:pStyle w:val="TextBody"/>
        <w:spacing w:before="180" w:after="0"/>
        <w:rPr>
          <w:rFonts w:ascii="Times New Roman" w:hAnsi="Times New Roman"/>
          <w:sz w:val="20"/>
        </w:rPr>
      </w:pPr>
      <w:r>
        <w:rPr>
          <w:rFonts w:ascii="Times New Roman" w:hAnsi="Times New Roman"/>
          <w:sz w:val="20"/>
        </w:rPr>
        <w:t xml:space="preserve">The definitive Securities shall be printed, lithographed or engraved on steel engraved borders or may be produced in any other manner, all as determined by the officers executing such Securities, as evidenced by their execution of such Securities. </w:t>
      </w:r>
    </w:p>
    <w:p>
      <w:pPr>
        <w:pStyle w:val="TextBody"/>
        <w:spacing w:before="180" w:after="0"/>
        <w:rPr>
          <w:rFonts w:ascii="Times New Roman" w:hAnsi="Times New Roman"/>
          <w:sz w:val="20"/>
        </w:rPr>
      </w:pPr>
      <w:r>
        <w:rPr>
          <w:rFonts w:ascii="Times New Roman" w:hAnsi="Times New Roman"/>
          <w:sz w:val="20"/>
        </w:rPr>
        <w:t xml:space="preserve">SECTION 202. </w:t>
      </w:r>
      <w:r>
        <w:rPr>
          <w:rFonts w:ascii="Times New Roman" w:hAnsi="Times New Roman"/>
          <w:b/>
          <w:sz w:val="20"/>
          <w:u w:val="single"/>
        </w:rPr>
        <w:t>Form of Face of Security</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[Insert any legend required by the Internal Revenue Code and the regulations thereunder.] </w:t>
      </w:r>
    </w:p>
    <w:p>
      <w:pPr>
        <w:pStyle w:val="TextBody"/>
        <w:spacing w:before="270" w:after="0"/>
        <w:jc w:val="center"/>
        <w:rPr>
          <w:rFonts w:ascii="Times New Roman" w:hAnsi="Times New Roman"/>
          <w:sz w:val="20"/>
        </w:rPr>
      </w:pPr>
      <w:r>
        <w:rPr>
          <w:rFonts w:ascii="Times New Roman" w:hAnsi="Times New Roman"/>
          <w:sz w:val="20"/>
        </w:rPr>
        <w:t xml:space="preserve">EZCORP, Inc.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101"/>
        <w:gridCol w:w="5002"/>
      </w:tblGrid>
      <w:tr>
        <w:trPr/>
        <w:tc>
          <w:tcPr>
            <w:tcW w:w="510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rFonts w:ascii="Times New Roman" w:hAnsi="Times New Roman"/>
                <w:sz w:val="20"/>
              </w:rPr>
            </w:pPr>
            <w:r>
              <w:rPr>
                <w:rFonts w:ascii="Times New Roman" w:hAnsi="Times New Roman"/>
                <w:sz w:val="20"/>
              </w:rPr>
              <w:t>No.</w:t>
            </w:r>
            <w:r>
              <w:rPr>
                <w:rFonts w:ascii="Times New Roman" w:hAnsi="Times New Roman"/>
                <w:sz w:val="20"/>
                <w:u w:val="single"/>
              </w:rPr>
              <w:t>                    </w:t>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xml:space="preserve">$ </w:t>
            </w:r>
            <w:r>
              <w:rPr>
                <w:rFonts w:ascii="Times New Roman" w:hAnsi="Times New Roman"/>
                <w:sz w:val="20"/>
                <w:u w:val="single"/>
              </w:rPr>
              <w:t>                    </w:t>
            </w:r>
          </w:p>
        </w:tc>
      </w:tr>
    </w:tbl>
    <w:p>
      <w:pPr>
        <w:pStyle w:val="TextBody"/>
        <w:spacing w:before="180" w:after="0"/>
        <w:rPr>
          <w:rFonts w:ascii="Times New Roman" w:hAnsi="Times New Roman"/>
          <w:sz w:val="20"/>
        </w:rPr>
      </w:pPr>
      <w:r>
        <w:rPr>
          <w:rFonts w:ascii="Times New Roman" w:hAnsi="Times New Roman"/>
          <w:sz w:val="20"/>
        </w:rPr>
        <w:t xml:space="preserve">EZCORP, Inc., a corporation duly organized and existing under the laws of Delaware (herein called the Company, which term includes any successor Person under the Indenture hereinafter referred to), for value received, hereby promises to pay to </w:t>
      </w:r>
      <w:r>
        <w:rPr>
          <w:rFonts w:ascii="Times New Roman" w:hAnsi="Times New Roman"/>
          <w:sz w:val="20"/>
          <w:u w:val="single"/>
        </w:rPr>
        <w:t>                                        </w:t>
      </w:r>
      <w:r>
        <w:rPr>
          <w:rFonts w:ascii="Times New Roman" w:hAnsi="Times New Roman"/>
          <w:sz w:val="20"/>
        </w:rPr>
        <w:t xml:space="preserve">, or registered assigns, the principal sum of </w:t>
      </w:r>
      <w:r>
        <w:rPr>
          <w:rFonts w:ascii="Times New Roman" w:hAnsi="Times New Roman"/>
          <w:sz w:val="20"/>
          <w:u w:val="single"/>
        </w:rPr>
        <w:t>                                             </w:t>
      </w:r>
      <w:r>
        <w:rPr>
          <w:rFonts w:ascii="Times New Roman" w:hAnsi="Times New Roman"/>
          <w:sz w:val="20"/>
        </w:rPr>
        <w:t xml:space="preserve"> Dollars on </w:t>
      </w:r>
      <w:r>
        <w:rPr>
          <w:rFonts w:ascii="Times New Roman" w:hAnsi="Times New Roman"/>
          <w:sz w:val="20"/>
          <w:u w:val="single"/>
        </w:rPr>
        <w:t>                                                 </w:t>
      </w:r>
      <w:r>
        <w:rPr>
          <w:rFonts w:ascii="Times New Roman" w:hAnsi="Times New Roman"/>
          <w:sz w:val="20"/>
        </w:rPr>
        <w:t xml:space="preserve"> [if the Security is to bear interest prior to Maturity, insert  , and to pay interest thereon from </w:t>
      </w:r>
      <w:r>
        <w:rPr>
          <w:rFonts w:ascii="Times New Roman" w:hAnsi="Times New Roman"/>
          <w:sz w:val="20"/>
          <w:u w:val="single"/>
        </w:rPr>
        <w:t>                    </w:t>
      </w:r>
      <w:r>
        <w:rPr>
          <w:rFonts w:ascii="Times New Roman" w:hAnsi="Times New Roman"/>
          <w:sz w:val="20"/>
        </w:rPr>
        <w:t xml:space="preserve"> or from the most recent Interest Payment Date to which interest has been paid or duly provided for, semi-annually on </w:t>
      </w:r>
      <w:r>
        <w:rPr>
          <w:rFonts w:ascii="Times New Roman" w:hAnsi="Times New Roman"/>
          <w:sz w:val="20"/>
          <w:u w:val="single"/>
        </w:rPr>
        <w:t>                        </w:t>
      </w:r>
      <w:r>
        <w:rPr>
          <w:rFonts w:ascii="Times New Roman" w:hAnsi="Times New Roman"/>
          <w:sz w:val="20"/>
        </w:rPr>
        <w:t xml:space="preserve"> and </w:t>
      </w:r>
      <w:r>
        <w:rPr>
          <w:rFonts w:ascii="Times New Roman" w:hAnsi="Times New Roman"/>
          <w:sz w:val="20"/>
          <w:u w:val="single"/>
        </w:rPr>
        <w:t>                        </w:t>
      </w:r>
      <w:r>
        <w:rPr>
          <w:rFonts w:ascii="Times New Roman" w:hAnsi="Times New Roman"/>
          <w:sz w:val="20"/>
        </w:rPr>
        <w:t xml:space="preserve"> in each year, commencing </w:t>
      </w:r>
      <w:r>
        <w:rPr>
          <w:rFonts w:ascii="Times New Roman" w:hAnsi="Times New Roman"/>
          <w:sz w:val="20"/>
          <w:u w:val="single"/>
        </w:rPr>
        <w:t>                </w:t>
      </w:r>
      <w:r>
        <w:rPr>
          <w:rFonts w:ascii="Times New Roman" w:hAnsi="Times New Roman"/>
          <w:sz w:val="20"/>
        </w:rPr>
        <w:t xml:space="preserve">, at the rate of </w:t>
      </w:r>
      <w:r>
        <w:rPr>
          <w:rFonts w:ascii="Times New Roman" w:hAnsi="Times New Roman"/>
          <w:sz w:val="20"/>
          <w:u w:val="single"/>
        </w:rPr>
        <w:t>        </w:t>
      </w:r>
      <w:r>
        <w:rPr>
          <w:rFonts w:ascii="Times New Roman" w:hAnsi="Times New Roman"/>
          <w:sz w:val="20"/>
        </w:rPr>
        <w:t xml:space="preserve">% per annum, until the principal hereof is paid or made available for payment, provided that any principal and premium, and any such installment of interest, which is overdue shall bear interest at the rate of </w:t>
      </w:r>
      <w:r>
        <w:rPr>
          <w:rFonts w:ascii="Times New Roman" w:hAnsi="Times New Roman"/>
          <w:sz w:val="20"/>
          <w:u w:val="single"/>
        </w:rPr>
        <w:t>        </w:t>
      </w:r>
      <w:r>
        <w:rPr>
          <w:rFonts w:ascii="Times New Roman" w:hAnsi="Times New Roman"/>
          <w:sz w:val="20"/>
        </w:rPr>
        <w:t xml:space="preserve">%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w:t>
      </w:r>
      <w:r>
        <w:rPr>
          <w:rFonts w:ascii="Times New Roman" w:hAnsi="Times New Roman"/>
          <w:sz w:val="20"/>
          <w:u w:val="single"/>
        </w:rPr>
        <w:t>            </w:t>
      </w:r>
      <w:r>
        <w:rPr>
          <w:rFonts w:ascii="Times New Roman" w:hAnsi="Times New Roman"/>
          <w:sz w:val="20"/>
        </w:rPr>
        <w:t xml:space="preserve"> or </w:t>
      </w:r>
      <w:r>
        <w:rPr>
          <w:rFonts w:ascii="Times New Roman" w:hAnsi="Times New Roman"/>
          <w:sz w:val="20"/>
          <w:u w:val="single"/>
        </w:rPr>
        <w:t>            </w:t>
      </w:r>
      <w:r>
        <w:rPr>
          <w:rFonts w:ascii="Times New Roman" w:hAnsi="Times New Roman"/>
          <w:sz w:val="20"/>
        </w:rPr>
        <w:t xml:space="preserve"> (whether or not a Business Day), as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pStyle w:val="TextBody"/>
        <w:spacing w:before="180" w:after="0"/>
        <w:rPr>
          <w:rFonts w:ascii="Times New Roman" w:hAnsi="Times New Roman"/>
          <w:sz w:val="20"/>
        </w:rPr>
      </w:pPr>
      <w:r>
        <w:rPr>
          <w:rFonts w:ascii="Times New Roman" w:hAnsi="Times New Roman"/>
          <w:sz w:val="20"/>
        </w:rPr>
        <w:t xml:space="preserve">[If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w:t>
      </w:r>
      <w:r>
        <w:rPr>
          <w:rFonts w:ascii="Times New Roman" w:hAnsi="Times New Roman"/>
          <w:sz w:val="20"/>
          <w:u w:val="single"/>
        </w:rPr>
        <w:t>        </w:t>
      </w:r>
      <w:r>
        <w:rPr>
          <w:rFonts w:ascii="Times New Roman" w:hAnsi="Times New Roman"/>
          <w:sz w:val="20"/>
        </w:rPr>
        <w:t xml:space="preserve">%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w:t>
      </w:r>
      <w:r>
        <w:rPr>
          <w:rFonts w:ascii="Times New Roman" w:hAnsi="Times New Roman"/>
          <w:sz w:val="20"/>
          <w:u w:val="single"/>
        </w:rPr>
        <w:t>            </w:t>
      </w:r>
      <w:r>
        <w:rPr>
          <w:rFonts w:ascii="Times New Roman" w:hAnsi="Times New Roman"/>
          <w:sz w:val="20"/>
        </w:rPr>
        <w:t xml:space="preserve">% per annum (to the extent that the payment of such interest on interest shall be legally enforceable), from the date of such demand until the amount so demanded is paid or made available for payment. Interest on any overdue interest shall be payable on demand.] </w:t>
      </w:r>
    </w:p>
    <w:p>
      <w:pPr>
        <w:pStyle w:val="TextBody"/>
        <w:spacing w:before="180" w:after="0"/>
        <w:rPr>
          <w:rFonts w:ascii="Times New Roman" w:hAnsi="Times New Roman"/>
          <w:sz w:val="20"/>
        </w:rPr>
      </w:pPr>
      <w:r>
        <w:rPr>
          <w:rFonts w:ascii="Times New Roman" w:hAnsi="Times New Roman"/>
          <w:sz w:val="20"/>
        </w:rPr>
        <w:t xml:space="preserve">Payment of the principal of (and premium, if any) and [if applicable, insert  any such] interest on this Security will be made at the office or agency of the Company maintained for that purpose in </w:t>
      </w:r>
      <w:r>
        <w:rPr>
          <w:rFonts w:ascii="Times New Roman" w:hAnsi="Times New Roman"/>
          <w:sz w:val="20"/>
          <w:u w:val="single"/>
        </w:rPr>
        <w:t>                        </w:t>
      </w:r>
      <w:r>
        <w:rPr>
          <w:rFonts w:ascii="Times New Roman" w:hAnsi="Times New Roman"/>
          <w:sz w:val="20"/>
        </w:rPr>
        <w:t xml:space="preserve">,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 </w:t>
      </w:r>
    </w:p>
    <w:p>
      <w:pPr>
        <w:pStyle w:val="TextBody"/>
        <w:spacing w:before="180" w:after="0"/>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spacing w:before="180" w:after="0"/>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Security shall not be entitled to any benefit under the Indenture or be valid or obligatory for any purpose.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Company has caused this instrument to be duly executed </w:t>
      </w:r>
      <w:r>
        <w:rPr>
          <w:rFonts w:ascii="Times New Roman" w:hAnsi="Times New Roman"/>
          <w:b/>
          <w:sz w:val="20"/>
        </w:rPr>
        <w:t>[</w:t>
      </w:r>
      <w:r>
        <w:rPr>
          <w:rFonts w:ascii="Times New Roman" w:hAnsi="Times New Roman"/>
          <w:sz w:val="20"/>
        </w:rPr>
        <w:t>under its corporate seal</w:t>
      </w:r>
      <w:r>
        <w:rPr>
          <w:rFonts w:ascii="Times New Roman" w:hAnsi="Times New Roman"/>
          <w:b/>
          <w:sz w:val="20"/>
        </w:rPr>
        <w:t>]</w:t>
      </w:r>
      <w:r>
        <w:rPr>
          <w:rFonts w:ascii="Times New Roman" w:hAnsi="Times New Roman"/>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55"/>
        <w:gridCol w:w="663"/>
        <w:gridCol w:w="3970"/>
        <w:gridCol w:w="128"/>
        <w:gridCol w:w="321"/>
        <w:gridCol w:w="128"/>
        <w:gridCol w:w="650"/>
        <w:gridCol w:w="189"/>
        <w:gridCol w:w="3501"/>
      </w:tblGrid>
      <w:tr>
        <w:trPr/>
        <w:tc>
          <w:tcPr>
            <w:tcW w:w="6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39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3501" w:type="dxa"/>
            <w:tcBorders/>
            <w:shd w:fill="auto" w:val="clear"/>
            <w:vAlign w:val="center"/>
          </w:tcPr>
          <w:p>
            <w:pPr>
              <w:pStyle w:val="TableContents"/>
              <w:spacing w:before="0" w:after="283"/>
              <w:rPr>
                <w:sz w:val="4"/>
                <w:szCs w:val="4"/>
              </w:rPr>
            </w:pPr>
            <w:r>
              <w:rPr>
                <w:sz w:val="4"/>
                <w:szCs w:val="4"/>
              </w:rPr>
            </w:r>
          </w:p>
        </w:tc>
      </w:tr>
      <w:tr>
        <w:trPr/>
        <w:tc>
          <w:tcPr>
            <w:tcW w:w="528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Dated:__________________</w:t>
            </w:r>
          </w:p>
        </w:tc>
        <w:tc>
          <w:tcPr>
            <w:tcW w:w="128" w:type="dxa"/>
            <w:tcBorders/>
            <w:shd w:fill="auto" w:val="clear"/>
            <w:vAlign w:val="bottom"/>
          </w:tcPr>
          <w:p>
            <w:pPr>
              <w:pStyle w:val="TableContents"/>
              <w:spacing w:before="0" w:after="283"/>
              <w:rPr/>
            </w:pPr>
            <w:r>
              <w:rPr/>
              <w:t> </w:t>
            </w:r>
          </w:p>
        </w:tc>
        <w:tc>
          <w:tcPr>
            <w:tcW w:w="321" w:type="dxa"/>
            <w:tcBorders/>
            <w:shd w:fill="auto" w:val="clea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434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EZCORP, INC.</w:t>
            </w:r>
          </w:p>
        </w:tc>
      </w:tr>
      <w:tr>
        <w:trPr>
          <w:trHeight w:val="240" w:hRule="atLeast"/>
        </w:trPr>
        <w:tc>
          <w:tcPr>
            <w:tcW w:w="5288" w:type="dxa"/>
            <w:gridSpan w:val="3"/>
            <w:tcBorders/>
            <w:shd w:fill="auto" w:val="clear"/>
            <w:vAlign w:val="center"/>
          </w:tcPr>
          <w:p>
            <w:pPr>
              <w:pStyle w:val="TableContents"/>
              <w:spacing w:before="0" w:after="283"/>
              <w:rPr>
                <w:sz w:val="4"/>
                <w:szCs w:val="4"/>
              </w:rPr>
            </w:pPr>
            <w:r>
              <w:rPr>
                <w:sz w:val="4"/>
                <w:szCs w:val="4"/>
              </w:rPr>
            </w:r>
          </w:p>
        </w:tc>
        <w:tc>
          <w:tcPr>
            <w:tcW w:w="449" w:type="dxa"/>
            <w:gridSpan w:val="2"/>
            <w:tcBorders/>
            <w:shd w:fill="auto" w:val="clear"/>
            <w:vAlign w:val="center"/>
          </w:tcPr>
          <w:p>
            <w:pPr>
              <w:pStyle w:val="TableContents"/>
              <w:spacing w:before="0" w:after="283"/>
              <w:rPr>
                <w:sz w:val="4"/>
                <w:szCs w:val="4"/>
              </w:rPr>
            </w:pPr>
            <w:r>
              <w:rPr>
                <w:sz w:val="4"/>
                <w:szCs w:val="4"/>
              </w:rPr>
            </w:r>
          </w:p>
        </w:tc>
        <w:tc>
          <w:tcPr>
            <w:tcW w:w="778" w:type="dxa"/>
            <w:gridSpan w:val="2"/>
            <w:tcBorders/>
            <w:shd w:fill="auto" w:val="clear"/>
            <w:vAlign w:val="center"/>
          </w:tcPr>
          <w:p>
            <w:pPr>
              <w:pStyle w:val="TableContents"/>
              <w:spacing w:before="0" w:after="283"/>
              <w:rPr>
                <w:sz w:val="4"/>
                <w:szCs w:val="4"/>
              </w:rPr>
            </w:pPr>
            <w:r>
              <w:rPr>
                <w:sz w:val="4"/>
                <w:szCs w:val="4"/>
              </w:rPr>
            </w:r>
          </w:p>
        </w:tc>
        <w:tc>
          <w:tcPr>
            <w:tcW w:w="3690" w:type="dxa"/>
            <w:gridSpan w:val="2"/>
            <w:tcBorders/>
            <w:shd w:fill="auto" w:val="clear"/>
            <w:vAlign w:val="center"/>
          </w:tcPr>
          <w:p>
            <w:pPr>
              <w:pStyle w:val="TableContents"/>
              <w:spacing w:before="0" w:after="283"/>
              <w:rPr>
                <w:sz w:val="4"/>
                <w:szCs w:val="4"/>
              </w:rPr>
            </w:pPr>
            <w:r>
              <w:rPr>
                <w:sz w:val="4"/>
                <w:szCs w:val="4"/>
              </w:rPr>
            </w:r>
          </w:p>
        </w:tc>
      </w:tr>
      <w:tr>
        <w:trPr/>
        <w:tc>
          <w:tcPr>
            <w:tcW w:w="5288" w:type="dxa"/>
            <w:gridSpan w:val="3"/>
            <w:tcBorders/>
            <w:shd w:fill="auto" w:val="clea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321" w:type="dxa"/>
            <w:tcBorders/>
            <w:shd w:fill="auto" w:val="clea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5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9" w:type="dxa"/>
            <w:tcBorders>
              <w:bottom w:val="single" w:sz="2" w:space="0" w:color="000000"/>
            </w:tcBorders>
            <w:shd w:fill="auto" w:val="clear"/>
            <w:tcMar>
              <w:bottom w:w="28" w:type="dxa"/>
            </w:tcMar>
            <w:vAlign w:val="bottom"/>
          </w:tcPr>
          <w:p>
            <w:pPr>
              <w:pStyle w:val="TableContents"/>
              <w:spacing w:before="0" w:after="283"/>
              <w:rPr/>
            </w:pPr>
            <w:r>
              <w:rPr/>
              <w:t> </w:t>
            </w:r>
          </w:p>
        </w:tc>
        <w:tc>
          <w:tcPr>
            <w:tcW w:w="3501" w:type="dxa"/>
            <w:tcBorders>
              <w:bottom w:val="single" w:sz="2" w:space="0" w:color="000000"/>
            </w:tcBorders>
            <w:shd w:fill="auto" w:val="clear"/>
            <w:tcMar>
              <w:bottom w:w="28" w:type="dxa"/>
            </w:tcMar>
          </w:tcPr>
          <w:p>
            <w:pPr>
              <w:pStyle w:val="TableContents"/>
              <w:spacing w:before="0" w:after="283"/>
              <w:rPr/>
            </w:pPr>
            <w:r>
              <w:rPr/>
              <w:t> </w:t>
            </w:r>
          </w:p>
        </w:tc>
      </w:tr>
      <w:tr>
        <w:trPr>
          <w:trHeight w:val="240" w:hRule="atLeast"/>
        </w:trPr>
        <w:tc>
          <w:tcPr>
            <w:tcW w:w="5288" w:type="dxa"/>
            <w:gridSpan w:val="3"/>
            <w:tcBorders/>
            <w:shd w:fill="auto" w:val="clear"/>
            <w:vAlign w:val="center"/>
          </w:tcPr>
          <w:p>
            <w:pPr>
              <w:pStyle w:val="TableContents"/>
              <w:spacing w:before="0" w:after="283"/>
              <w:rPr>
                <w:sz w:val="4"/>
                <w:szCs w:val="4"/>
              </w:rPr>
            </w:pPr>
            <w:r>
              <w:rPr>
                <w:sz w:val="4"/>
                <w:szCs w:val="4"/>
              </w:rPr>
            </w:r>
          </w:p>
        </w:tc>
        <w:tc>
          <w:tcPr>
            <w:tcW w:w="449" w:type="dxa"/>
            <w:gridSpan w:val="2"/>
            <w:tcBorders/>
            <w:shd w:fill="auto" w:val="clear"/>
            <w:vAlign w:val="center"/>
          </w:tcPr>
          <w:p>
            <w:pPr>
              <w:pStyle w:val="TableContents"/>
              <w:spacing w:before="0" w:after="283"/>
              <w:rPr>
                <w:sz w:val="4"/>
                <w:szCs w:val="4"/>
              </w:rPr>
            </w:pPr>
            <w:r>
              <w:rPr>
                <w:sz w:val="4"/>
                <w:szCs w:val="4"/>
              </w:rPr>
            </w:r>
          </w:p>
        </w:tc>
        <w:tc>
          <w:tcPr>
            <w:tcW w:w="4468" w:type="dxa"/>
            <w:gridSpan w:val="4"/>
            <w:tcBorders/>
            <w:shd w:fill="auto" w:val="clear"/>
            <w:vAlign w:val="center"/>
          </w:tcPr>
          <w:p>
            <w:pPr>
              <w:pStyle w:val="TableContents"/>
              <w:spacing w:before="0" w:after="283"/>
              <w:rPr>
                <w:sz w:val="4"/>
                <w:szCs w:val="4"/>
              </w:rPr>
            </w:pPr>
            <w:r>
              <w:rPr>
                <w:sz w:val="4"/>
                <w:szCs w:val="4"/>
              </w:rPr>
            </w:r>
          </w:p>
        </w:tc>
      </w:tr>
      <w:tr>
        <w:trPr/>
        <w:tc>
          <w:tcPr>
            <w:tcW w:w="5288"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w:t>
            </w:r>
            <w:r>
              <w:rPr>
                <w:rFonts w:ascii="Times New Roman" w:hAnsi="Times New Roman"/>
                <w:sz w:val="20"/>
              </w:rPr>
              <w:t>Attest:</w:t>
            </w:r>
          </w:p>
        </w:tc>
        <w:tc>
          <w:tcPr>
            <w:tcW w:w="128" w:type="dxa"/>
            <w:tcBorders/>
            <w:shd w:fill="auto" w:val="clear"/>
            <w:vAlign w:val="bottom"/>
          </w:tcPr>
          <w:p>
            <w:pPr>
              <w:pStyle w:val="TableContents"/>
              <w:spacing w:before="0" w:after="283"/>
              <w:rPr/>
            </w:pPr>
            <w:r>
              <w:rPr/>
              <w:t> </w:t>
            </w:r>
          </w:p>
        </w:tc>
        <w:tc>
          <w:tcPr>
            <w:tcW w:w="321" w:type="dxa"/>
            <w:tcBorders/>
            <w:shd w:fill="auto" w:val="clea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4340" w:type="dxa"/>
            <w:gridSpan w:val="3"/>
            <w:tcBorders/>
            <w:shd w:fill="auto" w:val="clear"/>
          </w:tcPr>
          <w:p>
            <w:pPr>
              <w:pStyle w:val="TableContents"/>
              <w:spacing w:before="0" w:after="283"/>
              <w:rPr>
                <w:sz w:val="4"/>
                <w:szCs w:val="4"/>
              </w:rPr>
            </w:pPr>
            <w:r>
              <w:rPr>
                <w:sz w:val="4"/>
                <w:szCs w:val="4"/>
              </w:rPr>
            </w:r>
          </w:p>
        </w:tc>
      </w:tr>
      <w:tr>
        <w:trPr>
          <w:trHeight w:val="240" w:hRule="atLeast"/>
        </w:trPr>
        <w:tc>
          <w:tcPr>
            <w:tcW w:w="5288" w:type="dxa"/>
            <w:gridSpan w:val="3"/>
            <w:tcBorders/>
            <w:shd w:fill="auto" w:val="clear"/>
            <w:vAlign w:val="center"/>
          </w:tcPr>
          <w:p>
            <w:pPr>
              <w:pStyle w:val="TableContents"/>
              <w:spacing w:before="0" w:after="283"/>
              <w:rPr>
                <w:sz w:val="4"/>
                <w:szCs w:val="4"/>
              </w:rPr>
            </w:pPr>
            <w:r>
              <w:rPr>
                <w:sz w:val="4"/>
                <w:szCs w:val="4"/>
              </w:rPr>
            </w:r>
          </w:p>
        </w:tc>
        <w:tc>
          <w:tcPr>
            <w:tcW w:w="449" w:type="dxa"/>
            <w:gridSpan w:val="2"/>
            <w:tcBorders/>
            <w:shd w:fill="auto" w:val="clear"/>
            <w:vAlign w:val="center"/>
          </w:tcPr>
          <w:p>
            <w:pPr>
              <w:pStyle w:val="TableContents"/>
              <w:spacing w:before="0" w:after="283"/>
              <w:rPr>
                <w:sz w:val="4"/>
                <w:szCs w:val="4"/>
              </w:rPr>
            </w:pPr>
            <w:r>
              <w:rPr>
                <w:sz w:val="4"/>
                <w:szCs w:val="4"/>
              </w:rPr>
            </w:r>
          </w:p>
        </w:tc>
        <w:tc>
          <w:tcPr>
            <w:tcW w:w="4468" w:type="dxa"/>
            <w:gridSpan w:val="4"/>
            <w:tcBorders/>
            <w:shd w:fill="auto" w:val="clear"/>
            <w:vAlign w:val="center"/>
          </w:tcPr>
          <w:p>
            <w:pPr>
              <w:pStyle w:val="TableContents"/>
              <w:spacing w:before="0" w:after="283"/>
              <w:rPr>
                <w:sz w:val="4"/>
                <w:szCs w:val="4"/>
              </w:rPr>
            </w:pPr>
            <w:r>
              <w:rPr>
                <w:sz w:val="4"/>
                <w:szCs w:val="4"/>
              </w:rPr>
            </w:r>
          </w:p>
        </w:tc>
      </w:tr>
      <w:tr>
        <w:trPr/>
        <w:tc>
          <w:tcPr>
            <w:tcW w:w="528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________________________________________________</w:t>
            </w:r>
            <w:r>
              <w:rPr>
                <w:rFonts w:ascii="Times New Roman" w:hAnsi="Times New Roman"/>
                <w:b/>
                <w:sz w:val="20"/>
              </w:rPr>
              <w:t>]</w:t>
            </w:r>
          </w:p>
        </w:tc>
        <w:tc>
          <w:tcPr>
            <w:tcW w:w="128" w:type="dxa"/>
            <w:tcBorders/>
            <w:shd w:fill="auto" w:val="clear"/>
            <w:vAlign w:val="bottom"/>
          </w:tcPr>
          <w:p>
            <w:pPr>
              <w:pStyle w:val="TableContents"/>
              <w:spacing w:before="0" w:after="283"/>
              <w:rPr/>
            </w:pPr>
            <w:r>
              <w:rPr/>
              <w:t> </w:t>
            </w:r>
          </w:p>
        </w:tc>
        <w:tc>
          <w:tcPr>
            <w:tcW w:w="321" w:type="dxa"/>
            <w:tcBorders/>
            <w:shd w:fill="auto" w:val="clea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4340" w:type="dxa"/>
            <w:gridSpan w:val="3"/>
            <w:tcBorders/>
            <w:shd w:fill="auto" w:val="clear"/>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SECTION 203. </w:t>
      </w:r>
      <w:r>
        <w:rPr>
          <w:rFonts w:ascii="Times New Roman" w:hAnsi="Times New Roman"/>
          <w:b/>
          <w:sz w:val="20"/>
          <w:u w:val="single"/>
        </w:rPr>
        <w:t>Form of Reverse of Security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This Security is one of a duly authorized issue of securities of the Company (herein called the Securities), issued and to be issued in one or more series under an Indenture, dated as of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(herein called the Indenture, which term shall have the meaning assigned to it in such instrument), among the Company, the Subsidiary Guarantors named therein and [</w:t>
      </w:r>
      <w:r>
        <w:rPr>
          <w:rFonts w:ascii="Times New Roman" w:hAnsi="Times New Roman"/>
          <w:sz w:val="20"/>
          <w:u w:val="single"/>
        </w:rPr>
        <w:t xml:space="preserve">                                         </w:t>
      </w:r>
      <w:r>
        <w:rPr>
          <w:rFonts w:ascii="Times New Roman" w:hAnsi="Times New Roman"/>
          <w:sz w:val="20"/>
        </w:rPr>
        <w:t>], as Trustee (herein called the Trustee, which term includes any successor trustee under the Indenture), and reference is hereby made to the Indenture for a statement of the respective rights, limitations of rights, duties and immunities thereunder of the Company, the Subsidiary Guarantors, the Trustee and the Holders of the Securities and of the terms upon which the Securities are, and are to be, authenticated and delivered. This Security is one of the series designated on the face hereof [if applicable, insert  , limited in aggregate principal amount to $</w:t>
      </w:r>
      <w:r>
        <w:rPr>
          <w:rFonts w:ascii="Times New Roman" w:hAnsi="Times New Roman"/>
          <w:sz w:val="20"/>
          <w:u w:val="single"/>
        </w:rPr>
        <w:t>                </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applicable, insert  The Securities of this series are subject to redemption upon not less than 30 nor more than 60 days notice by mail, [if applicable, insert  (1) on </w:t>
      </w:r>
      <w:r>
        <w:rPr>
          <w:rFonts w:ascii="Times New Roman" w:hAnsi="Times New Roman"/>
          <w:sz w:val="20"/>
          <w:u w:val="single"/>
        </w:rPr>
        <w:t>                </w:t>
      </w:r>
      <w:r>
        <w:rPr>
          <w:rFonts w:ascii="Times New Roman" w:hAnsi="Times New Roman"/>
          <w:sz w:val="20"/>
        </w:rPr>
        <w:t xml:space="preserve"> in any year commencing with the year </w:t>
      </w:r>
      <w:r>
        <w:rPr>
          <w:rFonts w:ascii="Times New Roman" w:hAnsi="Times New Roman"/>
          <w:sz w:val="20"/>
          <w:u w:val="single"/>
        </w:rPr>
        <w:t>            </w:t>
      </w:r>
      <w:r>
        <w:rPr>
          <w:rFonts w:ascii="Times New Roman" w:hAnsi="Times New Roman"/>
          <w:sz w:val="20"/>
        </w:rPr>
        <w:t xml:space="preserve"> and ending with the year </w:t>
      </w:r>
      <w:r>
        <w:rPr>
          <w:rFonts w:ascii="Times New Roman" w:hAnsi="Times New Roman"/>
          <w:sz w:val="20"/>
          <w:u w:val="single"/>
        </w:rPr>
        <w:t>            </w:t>
      </w:r>
      <w:r>
        <w:rPr>
          <w:rFonts w:ascii="Times New Roman" w:hAnsi="Times New Roman"/>
          <w:sz w:val="20"/>
        </w:rPr>
        <w:t xml:space="preserve"> through operation of the sinking fund for this series at a Redemption Price equal to 100% of the principal amount, and (2)] at any time [if applicable, insert  on or after </w:t>
      </w:r>
      <w:r>
        <w:rPr>
          <w:rFonts w:ascii="Times New Roman" w:hAnsi="Times New Roman"/>
          <w:sz w:val="20"/>
          <w:u w:val="single"/>
        </w:rPr>
        <w:t>                    </w:t>
      </w:r>
      <w:r>
        <w:rPr>
          <w:rFonts w:ascii="Times New Roman" w:hAnsi="Times New Roman"/>
          <w:sz w:val="20"/>
        </w:rPr>
        <w:t xml:space="preserve">, 20__], as a whole or in part, at the election of the Company, at the following Redemption Prices (expressed as percentages of the principal amount): If redeemed [if applicable, insert  on or before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and if redeemed] during the 12-month period beginning </w:t>
      </w:r>
      <w:r>
        <w:rPr>
          <w:rFonts w:ascii="Times New Roman" w:hAnsi="Times New Roman"/>
          <w:sz w:val="20"/>
          <w:u w:val="single"/>
        </w:rPr>
        <w:t>                    </w:t>
      </w:r>
      <w:r>
        <w:rPr>
          <w:rFonts w:ascii="Times New Roman" w:hAnsi="Times New Roman"/>
          <w:sz w:val="20"/>
        </w:rPr>
        <w:t xml:space="preserve"> of the years indicated,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49"/>
        <w:gridCol w:w="101"/>
        <w:gridCol w:w="2450"/>
        <w:gridCol w:w="101"/>
        <w:gridCol w:w="2553"/>
        <w:gridCol w:w="101"/>
        <w:gridCol w:w="2450"/>
      </w:tblGrid>
      <w:tr>
        <w:trPr/>
        <w:tc>
          <w:tcPr>
            <w:tcW w:w="244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55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r>
      <w:tr>
        <w:trPr/>
        <w:tc>
          <w:tcPr>
            <w:tcW w:w="5000" w:type="dxa"/>
            <w:gridSpan w:val="3"/>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Redemption</w:t>
            </w:r>
          </w:p>
        </w:tc>
        <w:tc>
          <w:tcPr>
            <w:tcW w:w="101" w:type="dxa"/>
            <w:tcBorders/>
            <w:shd w:fill="auto" w:val="clear"/>
            <w:vAlign w:val="bottom"/>
          </w:tcPr>
          <w:p>
            <w:pPr>
              <w:pStyle w:val="TableContents"/>
              <w:spacing w:before="0" w:after="283"/>
              <w:rPr/>
            </w:pPr>
            <w:r>
              <w:rPr/>
              <w:t> </w:t>
            </w:r>
          </w:p>
        </w:tc>
        <w:tc>
          <w:tcPr>
            <w:tcW w:w="5104" w:type="dxa"/>
            <w:gridSpan w:val="3"/>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Redemption</w:t>
            </w:r>
          </w:p>
        </w:tc>
      </w:tr>
      <w:tr>
        <w:trPr/>
        <w:tc>
          <w:tcPr>
            <w:tcW w:w="2449"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Year</w:t>
            </w:r>
          </w:p>
        </w:tc>
        <w:tc>
          <w:tcPr>
            <w:tcW w:w="101" w:type="dxa"/>
            <w:tcBorders/>
            <w:shd w:fill="auto" w:val="clear"/>
            <w:vAlign w:val="bottom"/>
          </w:tcPr>
          <w:p>
            <w:pPr>
              <w:pStyle w:val="TableContents"/>
              <w:spacing w:before="0" w:after="283"/>
              <w:rPr/>
            </w:pPr>
            <w:r>
              <w:rPr/>
              <w:t> </w:t>
            </w:r>
          </w:p>
        </w:tc>
        <w:tc>
          <w:tcPr>
            <w:tcW w:w="2450"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Price</w:t>
            </w:r>
          </w:p>
        </w:tc>
        <w:tc>
          <w:tcPr>
            <w:tcW w:w="101" w:type="dxa"/>
            <w:tcBorders/>
            <w:shd w:fill="auto" w:val="clear"/>
            <w:vAlign w:val="bottom"/>
          </w:tcPr>
          <w:p>
            <w:pPr>
              <w:pStyle w:val="TableContents"/>
              <w:spacing w:before="0" w:after="283"/>
              <w:rPr/>
            </w:pPr>
            <w:r>
              <w:rPr/>
              <w:t> </w:t>
            </w:r>
          </w:p>
        </w:tc>
        <w:tc>
          <w:tcPr>
            <w:tcW w:w="2553"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Year</w:t>
            </w:r>
          </w:p>
        </w:tc>
        <w:tc>
          <w:tcPr>
            <w:tcW w:w="101" w:type="dxa"/>
            <w:tcBorders/>
            <w:shd w:fill="auto" w:val="clear"/>
            <w:vAlign w:val="bottom"/>
          </w:tcPr>
          <w:p>
            <w:pPr>
              <w:pStyle w:val="TableContents"/>
              <w:spacing w:before="0" w:after="283"/>
              <w:rPr/>
            </w:pPr>
            <w:r>
              <w:rPr/>
              <w:t> </w:t>
            </w:r>
          </w:p>
        </w:tc>
        <w:tc>
          <w:tcPr>
            <w:tcW w:w="2450"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Price</w:t>
            </w:r>
          </w:p>
        </w:tc>
      </w:tr>
    </w:tbl>
    <w:p>
      <w:pPr>
        <w:pStyle w:val="TextBody"/>
        <w:spacing w:before="180" w:after="0"/>
        <w:rPr>
          <w:rFonts w:ascii="Times New Roman" w:hAnsi="Times New Roman"/>
          <w:sz w:val="20"/>
        </w:rPr>
      </w:pPr>
      <w:r>
        <w:rPr>
          <w:rFonts w:ascii="Times New Roman" w:hAnsi="Times New Roman"/>
          <w:sz w:val="20"/>
        </w:rPr>
        <w:t xml:space="preserve">and thereafter at a Redemption Price equal to </w:t>
      </w:r>
      <w:r>
        <w:rPr>
          <w:rFonts w:ascii="Times New Roman" w:hAnsi="Times New Roman"/>
          <w:sz w:val="20"/>
          <w:u w:val="single"/>
        </w:rPr>
        <w:t>            </w:t>
      </w:r>
      <w:r>
        <w:rPr>
          <w:rFonts w:ascii="Times New Roman" w:hAnsi="Times New Roman"/>
          <w:sz w:val="20"/>
        </w:rPr>
        <w:t xml:space="preserve">% of the principal amount, together in the case of any such redemption [if applicable, insert 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applicable, insert  The Securities of this series are subject to redemption upon not less than 30 nor more than 60 days notice by mail, (1) on </w:t>
      </w:r>
      <w:r>
        <w:rPr>
          <w:rFonts w:ascii="Times New Roman" w:hAnsi="Times New Roman"/>
          <w:sz w:val="20"/>
          <w:u w:val="single"/>
        </w:rPr>
        <w:t>                            </w:t>
      </w:r>
      <w:r>
        <w:rPr>
          <w:rFonts w:ascii="Times New Roman" w:hAnsi="Times New Roman"/>
          <w:sz w:val="20"/>
        </w:rPr>
        <w:t xml:space="preserve"> in any year commencing with the year </w:t>
      </w:r>
      <w:r>
        <w:rPr>
          <w:rFonts w:ascii="Times New Roman" w:hAnsi="Times New Roman"/>
          <w:sz w:val="20"/>
          <w:u w:val="single"/>
        </w:rPr>
        <w:t>            </w:t>
      </w:r>
      <w:r>
        <w:rPr>
          <w:rFonts w:ascii="Times New Roman" w:hAnsi="Times New Roman"/>
          <w:sz w:val="20"/>
        </w:rPr>
        <w:t xml:space="preserve"> and ending with the year </w:t>
      </w:r>
      <w:r>
        <w:rPr>
          <w:rFonts w:ascii="Times New Roman" w:hAnsi="Times New Roman"/>
          <w:sz w:val="20"/>
          <w:u w:val="single"/>
        </w:rPr>
        <w:t>            </w:t>
      </w:r>
      <w:r>
        <w:rPr>
          <w:rFonts w:ascii="Times New Roman" w:hAnsi="Times New Roman"/>
          <w:sz w:val="20"/>
        </w:rPr>
        <w:t xml:space="preserve"> through operation of the sinking fund for this series at the Redemption Prices for redemption through operation of the sinking fund (expressed as percentages of the principal amount) set forth in the table below, and (2) at any time [if applicable, insert  on or after </w:t>
      </w:r>
      <w:r>
        <w:rPr>
          <w:rFonts w:ascii="Times New Roman" w:hAnsi="Times New Roman"/>
          <w:sz w:val="20"/>
          <w:u w:val="single"/>
        </w:rPr>
        <w:t>                        </w:t>
      </w:r>
      <w:r>
        <w:rPr>
          <w:rFonts w:ascii="Times New Roman" w:hAnsi="Times New Roman"/>
          <w:sz w:val="20"/>
        </w:rPr>
        <w:t xml:space="preserve">], as a whole or in part, at the election of the Company, at the Redemption Prices for redemption otherwise than through operation of the sinking fund (expressed as percentages of the principal amount) set forth in the table below: If redeemed during the 12-month period beginning </w:t>
      </w:r>
      <w:r>
        <w:rPr>
          <w:rFonts w:ascii="Times New Roman" w:hAnsi="Times New Roman"/>
          <w:sz w:val="20"/>
          <w:u w:val="single"/>
        </w:rPr>
        <w:t>                    </w:t>
      </w:r>
      <w:r>
        <w:rPr>
          <w:rFonts w:ascii="Times New Roman" w:hAnsi="Times New Roman"/>
          <w:sz w:val="20"/>
        </w:rPr>
        <w:t xml:space="preserve"> of the years indicated,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w:t>
            </w:r>
          </w:p>
        </w:tc>
        <w:tc>
          <w:tcPr>
            <w:tcW w:w="101" w:type="dxa"/>
            <w:tcBorders/>
            <w:shd w:fill="auto" w:val="clear"/>
            <w:vAlign w:val="bottom"/>
          </w:tcPr>
          <w:p>
            <w:pPr>
              <w:pStyle w:val="TableContents"/>
              <w:spacing w:before="0" w:after="283"/>
              <w:rPr/>
            </w:pPr>
            <w:r>
              <w:rPr/>
              <w:t> </w:t>
            </w:r>
          </w:p>
        </w:tc>
        <w:tc>
          <w:tcPr>
            <w:tcW w:w="3266"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Redemption Price For Redemption</w:t>
            </w:r>
          </w:p>
          <w:p>
            <w:pPr>
              <w:pStyle w:val="TableContents"/>
              <w:spacing w:before="0" w:after="0"/>
              <w:jc w:val="center"/>
              <w:rPr>
                <w:rFonts w:ascii="Times New Roman" w:hAnsi="Times New Roman"/>
                <w:b/>
                <w:sz w:val="14"/>
              </w:rPr>
            </w:pPr>
            <w:r>
              <w:rPr>
                <w:rFonts w:ascii="Times New Roman" w:hAnsi="Times New Roman"/>
                <w:b/>
                <w:sz w:val="14"/>
              </w:rPr>
              <w:t>Through Operation of the Sinking</w:t>
            </w:r>
          </w:p>
          <w:p>
            <w:pPr>
              <w:pStyle w:val="TableContents"/>
              <w:spacing w:before="0" w:after="15"/>
              <w:jc w:val="center"/>
              <w:rPr>
                <w:rFonts w:ascii="Times New Roman" w:hAnsi="Times New Roman"/>
                <w:b/>
                <w:sz w:val="14"/>
              </w:rPr>
            </w:pPr>
            <w:r>
              <w:rPr>
                <w:rFonts w:ascii="Times New Roman" w:hAnsi="Times New Roman"/>
                <w:b/>
                <w:sz w:val="14"/>
              </w:rPr>
              <w:t>Fund</w:t>
            </w:r>
          </w:p>
        </w:tc>
        <w:tc>
          <w:tcPr>
            <w:tcW w:w="101" w:type="dxa"/>
            <w:tcBorders/>
            <w:shd w:fill="auto" w:val="clear"/>
            <w:vAlign w:val="bottom"/>
          </w:tcPr>
          <w:p>
            <w:pPr>
              <w:pStyle w:val="TableContents"/>
              <w:spacing w:before="0" w:after="283"/>
              <w:rPr/>
            </w:pPr>
            <w:r>
              <w:rPr/>
              <w:t> </w:t>
            </w:r>
          </w:p>
        </w:tc>
        <w:tc>
          <w:tcPr>
            <w:tcW w:w="3267"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Redemption Price For Redemption</w:t>
            </w:r>
          </w:p>
          <w:p>
            <w:pPr>
              <w:pStyle w:val="TableContents"/>
              <w:spacing w:before="0" w:after="0"/>
              <w:jc w:val="center"/>
              <w:rPr>
                <w:rFonts w:ascii="Times New Roman" w:hAnsi="Times New Roman"/>
                <w:b/>
                <w:sz w:val="14"/>
              </w:rPr>
            </w:pPr>
            <w:r>
              <w:rPr>
                <w:rFonts w:ascii="Times New Roman" w:hAnsi="Times New Roman"/>
                <w:b/>
                <w:sz w:val="14"/>
              </w:rPr>
              <w:t>Otherwise Than Through Operation</w:t>
            </w:r>
          </w:p>
          <w:p>
            <w:pPr>
              <w:pStyle w:val="TableContents"/>
              <w:spacing w:before="0" w:after="15"/>
              <w:jc w:val="center"/>
              <w:rPr>
                <w:rFonts w:ascii="Times New Roman" w:hAnsi="Times New Roman"/>
                <w:b/>
                <w:sz w:val="14"/>
              </w:rPr>
            </w:pPr>
            <w:r>
              <w:rPr>
                <w:rFonts w:ascii="Times New Roman" w:hAnsi="Times New Roman"/>
                <w:b/>
                <w:sz w:val="14"/>
              </w:rPr>
              <w:t>of the Sinking Fund</w:t>
            </w:r>
          </w:p>
        </w:tc>
      </w:tr>
    </w:tbl>
    <w:p>
      <w:pPr>
        <w:pStyle w:val="TextBody"/>
        <w:spacing w:before="180" w:after="0"/>
        <w:rPr>
          <w:rFonts w:ascii="Times New Roman" w:hAnsi="Times New Roman"/>
          <w:sz w:val="20"/>
        </w:rPr>
      </w:pPr>
      <w:r>
        <w:rPr>
          <w:rFonts w:ascii="Times New Roman" w:hAnsi="Times New Roman"/>
          <w:sz w:val="20"/>
        </w:rPr>
        <w:t xml:space="preserve">and thereafter at a Redemption Price equal to </w:t>
      </w:r>
      <w:r>
        <w:rPr>
          <w:rFonts w:ascii="Times New Roman" w:hAnsi="Times New Roman"/>
          <w:sz w:val="20"/>
          <w:u w:val="single"/>
        </w:rPr>
        <w:t>            </w:t>
      </w:r>
      <w:r>
        <w:rPr>
          <w:rFonts w:ascii="Times New Roman" w:hAnsi="Times New Roman"/>
          <w:sz w:val="20"/>
        </w:rPr>
        <w:t xml:space="preserve">%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 </w:t>
      </w:r>
    </w:p>
    <w:p>
      <w:pPr>
        <w:pStyle w:val="TextBody"/>
        <w:spacing w:before="180" w:after="0"/>
        <w:rPr>
          <w:rFonts w:ascii="Times New Roman" w:hAnsi="Times New Roman"/>
          <w:sz w:val="20"/>
        </w:rPr>
      </w:pPr>
      <w:r>
        <w:rPr>
          <w:rFonts w:ascii="Times New Roman" w:hAnsi="Times New Roman"/>
          <w:sz w:val="20"/>
        </w:rPr>
        <w:t xml:space="preserve">[If applicable, insert  Notwithstanding the foregoing, the Company may not, prior to </w:t>
      </w:r>
      <w:r>
        <w:rPr>
          <w:rFonts w:ascii="Times New Roman" w:hAnsi="Times New Roman"/>
          <w:sz w:val="20"/>
          <w:u w:val="single"/>
        </w:rPr>
        <w:t>                    </w:t>
      </w:r>
      <w:r>
        <w:rPr>
          <w:rFonts w:ascii="Times New Roman" w:hAnsi="Times New Roman"/>
          <w:sz w:val="20"/>
        </w:rPr>
        <w:t xml:space="preserve">, redeem any Securities of this series as contemplated 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w:t>
      </w:r>
      <w:r>
        <w:rPr>
          <w:rFonts w:ascii="Times New Roman" w:hAnsi="Times New Roman"/>
          <w:sz w:val="20"/>
          <w:u w:val="single"/>
        </w:rPr>
        <w:t>            </w:t>
      </w:r>
      <w:r>
        <w:rPr>
          <w:rFonts w:ascii="Times New Roman" w:hAnsi="Times New Roman"/>
          <w:sz w:val="20"/>
        </w:rPr>
        <w:t xml:space="preserve">% per annum.] </w:t>
      </w:r>
    </w:p>
    <w:p>
      <w:pPr>
        <w:pStyle w:val="TextBody"/>
        <w:spacing w:before="180" w:after="0"/>
        <w:rPr>
          <w:rFonts w:ascii="Times New Roman" w:hAnsi="Times New Roman"/>
          <w:sz w:val="20"/>
        </w:rPr>
      </w:pPr>
      <w:r>
        <w:rPr>
          <w:rFonts w:ascii="Times New Roman" w:hAnsi="Times New Roman"/>
          <w:sz w:val="20"/>
        </w:rPr>
        <w:t xml:space="preserve">[If applicable, insert  The sinking fund for this series provides for the redemption on </w:t>
      </w:r>
      <w:r>
        <w:rPr>
          <w:rFonts w:ascii="Times New Roman" w:hAnsi="Times New Roman"/>
          <w:sz w:val="20"/>
          <w:u w:val="single"/>
        </w:rPr>
        <w:t>                    </w:t>
      </w:r>
      <w:r>
        <w:rPr>
          <w:rFonts w:ascii="Times New Roman" w:hAnsi="Times New Roman"/>
          <w:sz w:val="20"/>
        </w:rPr>
        <w:t xml:space="preserve"> in each year beginning with the year </w:t>
      </w:r>
      <w:r>
        <w:rPr>
          <w:rFonts w:ascii="Times New Roman" w:hAnsi="Times New Roman"/>
          <w:sz w:val="20"/>
          <w:u w:val="single"/>
        </w:rPr>
        <w:t>                </w:t>
      </w:r>
      <w:r>
        <w:rPr>
          <w:rFonts w:ascii="Times New Roman" w:hAnsi="Times New Roman"/>
          <w:sz w:val="20"/>
        </w:rPr>
        <w:t xml:space="preserve"> and ending with the year </w:t>
      </w:r>
      <w:r>
        <w:rPr>
          <w:rFonts w:ascii="Times New Roman" w:hAnsi="Times New Roman"/>
          <w:sz w:val="20"/>
          <w:u w:val="single"/>
        </w:rPr>
        <w:t>                </w:t>
      </w:r>
      <w:r>
        <w:rPr>
          <w:rFonts w:ascii="Times New Roman" w:hAnsi="Times New Roman"/>
          <w:sz w:val="20"/>
        </w:rPr>
        <w:t xml:space="preserve"> of [if applicable, insert  not less than $</w:t>
      </w:r>
      <w:r>
        <w:rPr>
          <w:rFonts w:ascii="Times New Roman" w:hAnsi="Times New Roman"/>
          <w:sz w:val="20"/>
          <w:u w:val="single"/>
        </w:rPr>
        <w:t>            </w:t>
      </w:r>
      <w:r>
        <w:rPr>
          <w:rFonts w:ascii="Times New Roman" w:hAnsi="Times New Roman"/>
          <w:sz w:val="20"/>
        </w:rPr>
        <w:t xml:space="preserve"> (mandatory sinking fund) and not more than] $ </w:t>
      </w:r>
      <w:r>
        <w:rPr>
          <w:rFonts w:ascii="Times New Roman" w:hAnsi="Times New Roman"/>
          <w:sz w:val="20"/>
          <w:u w:val="single"/>
        </w:rPr>
        <w:t>            </w:t>
      </w:r>
      <w:r>
        <w:rPr>
          <w:rFonts w:ascii="Times New Roman" w:hAnsi="Times New Roman"/>
          <w:sz w:val="20"/>
        </w:rPr>
        <w:t xml:space="preserve"> aggregate principal amount of 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 in the inverse order in which they become due].] </w:t>
      </w:r>
    </w:p>
    <w:p>
      <w:pPr>
        <w:pStyle w:val="TextBody"/>
        <w:spacing w:before="180" w:after="0"/>
        <w:rPr>
          <w:rFonts w:ascii="Times New Roman" w:hAnsi="Times New Roman"/>
          <w:sz w:val="20"/>
        </w:rPr>
      </w:pPr>
      <w:r>
        <w:rPr>
          <w:rFonts w:ascii="Times New Roman" w:hAnsi="Times New Roman"/>
          <w:sz w:val="20"/>
        </w:rPr>
        <w:t xml:space="preserve">[If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[If the Security is subject to conversion, insert  Subject to the provisions of the Indenture, the Holder has the right to convert the principal amount of this Security into fully paid and nonassessable shares of Common Stock of the Company at the initial conversion price per share of Common Stock of $</w:t>
      </w:r>
      <w:r>
        <w:rPr>
          <w:rFonts w:ascii="Times New Roman" w:hAnsi="Times New Roman"/>
          <w:sz w:val="20"/>
          <w:u w:val="single"/>
        </w:rPr>
        <w:t>            </w:t>
      </w:r>
      <w:r>
        <w:rPr>
          <w:rFonts w:ascii="Times New Roman" w:hAnsi="Times New Roman"/>
          <w:sz w:val="20"/>
        </w:rPr>
        <w:t xml:space="preserve"> (or $</w:t>
      </w:r>
      <w:r>
        <w:rPr>
          <w:rFonts w:ascii="Times New Roman" w:hAnsi="Times New Roman"/>
          <w:sz w:val="20"/>
          <w:u w:val="single"/>
        </w:rPr>
        <w:t>            </w:t>
      </w:r>
      <w:r>
        <w:rPr>
          <w:rFonts w:ascii="Times New Roman" w:hAnsi="Times New Roman"/>
          <w:sz w:val="20"/>
        </w:rPr>
        <w:t xml:space="preserve"> in principal amount of Securities for each such share of Common Stock), or at the adjusted conversion price then in effect, if adjustment has been made as provided in the Indenture, upon surrender of the Security to the Conversion Agent, together with a fully executed notice in substantially the form attached hereto and, if required by the Indenture, an amount equal to accrued interest payable on this Security.] </w:t>
      </w:r>
    </w:p>
    <w:p>
      <w:pPr>
        <w:pStyle w:val="TextBody"/>
        <w:spacing w:before="180" w:after="0"/>
        <w:rPr>
          <w:rFonts w:ascii="Times New Roman" w:hAnsi="Times New Roman"/>
          <w:sz w:val="20"/>
        </w:rPr>
      </w:pPr>
      <w:r>
        <w:rPr>
          <w:rFonts w:ascii="Times New Roman" w:hAnsi="Times New Roman"/>
          <w:sz w:val="20"/>
        </w:rPr>
        <w:t xml:space="preserve">[If applicable, insert  As provided in the Indenture and subject to certain limitations therein set forth, the obligations of the Company under this Security are guaranteed pursuant to the Indenture as indicated in the notation of Subsidiary Guarantee endorsed hereon. The Indenture provides that a Subsidiary Guarantor shall be released from its Subsidiary Guarantee upon compliance with certain conditions.] </w:t>
      </w:r>
    </w:p>
    <w:p>
      <w:pPr>
        <w:pStyle w:val="TextBody"/>
        <w:spacing w:before="180" w:after="0"/>
        <w:rPr>
          <w:rFonts w:ascii="Times New Roman" w:hAnsi="Times New Roman"/>
          <w:sz w:val="20"/>
        </w:rPr>
      </w:pPr>
      <w:r>
        <w:rPr>
          <w:rFonts w:ascii="Times New Roman" w:hAnsi="Times New Roman"/>
          <w:sz w:val="20"/>
        </w:rPr>
        <w:t xml:space="preserve">[If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 </w:t>
      </w:r>
    </w:p>
    <w:p>
      <w:pPr>
        <w:pStyle w:val="TextBody"/>
        <w:spacing w:before="180" w:after="0"/>
        <w:rPr>
          <w:rFonts w:ascii="Times New Roman" w:hAnsi="Times New Roman"/>
          <w:sz w:val="20"/>
        </w:rPr>
      </w:pPr>
      <w:r>
        <w:rPr>
          <w:rFonts w:ascii="Times New Roman" w:hAnsi="Times New Roman"/>
          <w:sz w:val="20"/>
        </w:rPr>
        <w:t xml:space="preserve">[If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 </w:t>
      </w:r>
    </w:p>
    <w:p>
      <w:pPr>
        <w:pStyle w:val="TextBody"/>
        <w:spacing w:before="180" w:after="0"/>
        <w:rPr>
          <w:rFonts w:ascii="Times New Roman" w:hAnsi="Times New Roman"/>
          <w:sz w:val="20"/>
        </w:rPr>
      </w:pPr>
      <w:r>
        <w:rPr>
          <w:rFonts w:ascii="Times New Roman" w:hAnsi="Times New Roman"/>
          <w:sz w:val="20"/>
        </w:rPr>
        <w:t xml:space="preserve">[If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 </w:t>
      </w:r>
    </w:p>
    <w:p>
      <w:pPr>
        <w:pStyle w:val="TextBody"/>
        <w:spacing w:before="180" w:after="0"/>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security or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[if applicable, insert  or the right to convert this Security in accordance with its terms]. </w:t>
      </w:r>
    </w:p>
    <w:p>
      <w:pPr>
        <w:pStyle w:val="TextBody"/>
        <w:spacing w:before="180" w:after="0"/>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[insert if applicable  and to convert such Security in accordance with its terms]. </w:t>
      </w:r>
    </w:p>
    <w:p>
      <w:pPr>
        <w:pStyle w:val="TextBody"/>
        <w:spacing w:before="180" w:after="0"/>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spacing w:before="180" w:after="0"/>
        <w:rPr>
          <w:rFonts w:ascii="Times New Roman" w:hAnsi="Times New Roman"/>
          <w:sz w:val="20"/>
        </w:rPr>
      </w:pPr>
      <w:r>
        <w:rPr>
          <w:rFonts w:ascii="Times New Roman" w:hAnsi="Times New Roman"/>
          <w:sz w:val="20"/>
        </w:rPr>
        <w:t xml:space="preserve">The Securities of this series are issuable only in registered form without coupons in denominations of $ </w:t>
      </w:r>
      <w:r>
        <w:rPr>
          <w:rFonts w:ascii="Times New Roman" w:hAnsi="Times New Roman"/>
          <w:sz w:val="20"/>
          <w:u w:val="single"/>
        </w:rPr>
        <w:t>            </w:t>
      </w:r>
      <w:r>
        <w:rPr>
          <w:rFonts w:ascii="Times New Roman" w:hAnsi="Times New Roman"/>
          <w:sz w:val="20"/>
        </w:rPr>
        <w:t xml:space="preserve">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spacing w:before="180" w:after="0"/>
        <w:rPr>
          <w:rFonts w:ascii="Times New Roman" w:hAnsi="Times New Roman"/>
          <w:sz w:val="20"/>
        </w:rPr>
      </w:pPr>
      <w:r>
        <w:rPr>
          <w:rFonts w:ascii="Times New Roman" w:hAnsi="Times New Roman"/>
          <w:sz w:val="20"/>
        </w:rPr>
        <w:t xml:space="preserve">No service charge shall be made for any such registration of transfer or exchange, but the Company may require payment of a sum sufficient to cover any tax or other governmental charge payable in connection therewith. </w:t>
      </w:r>
    </w:p>
    <w:p>
      <w:pPr>
        <w:pStyle w:val="TextBody"/>
        <w:spacing w:before="180" w:after="0"/>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p>
    <w:p>
      <w:pPr>
        <w:pStyle w:val="TextBody"/>
        <w:spacing w:before="180" w:after="0"/>
        <w:rPr>
          <w:rFonts w:ascii="Times New Roman" w:hAnsi="Times New Roman"/>
          <w:sz w:val="20"/>
        </w:rPr>
      </w:pPr>
      <w:r>
        <w:rPr>
          <w:rFonts w:ascii="Times New Roman" w:hAnsi="Times New Roman"/>
          <w:sz w:val="20"/>
        </w:rPr>
        <w:t xml:space="preserve">SECTION 204. </w:t>
      </w:r>
      <w:r>
        <w:rPr>
          <w:rFonts w:ascii="Times New Roman" w:hAnsi="Times New Roman"/>
          <w:b/>
          <w:sz w:val="20"/>
          <w:u w:val="single"/>
        </w:rPr>
        <w:t>Form of Notation of Subsidiary Guarantee</w:t>
      </w:r>
      <w:r>
        <w:rPr>
          <w:rFonts w:ascii="Times New Roman" w:hAnsi="Times New Roman"/>
          <w:sz w:val="20"/>
        </w:rPr>
        <w:t xml:space="preserve">. </w:t>
      </w:r>
    </w:p>
    <w:p>
      <w:pPr>
        <w:pStyle w:val="TextBody"/>
        <w:spacing w:before="270" w:after="0"/>
        <w:jc w:val="center"/>
        <w:rPr>
          <w:rFonts w:ascii="Times New Roman" w:hAnsi="Times New Roman"/>
          <w:sz w:val="20"/>
          <w:u w:val="single"/>
        </w:rPr>
      </w:pPr>
      <w:r>
        <w:rPr>
          <w:rFonts w:ascii="Times New Roman" w:hAnsi="Times New Roman"/>
          <w:sz w:val="20"/>
          <w:u w:val="single"/>
        </w:rPr>
        <w:t xml:space="preserve">NOTATION OF SUBSIDIARY GUARANTEE </w:t>
      </w:r>
    </w:p>
    <w:p>
      <w:pPr>
        <w:pStyle w:val="TextBody"/>
        <w:spacing w:before="180" w:after="0"/>
        <w:rPr>
          <w:rFonts w:ascii="Times New Roman" w:hAnsi="Times New Roman"/>
          <w:sz w:val="20"/>
        </w:rPr>
      </w:pPr>
      <w:r>
        <w:rPr>
          <w:rFonts w:ascii="Times New Roman" w:hAnsi="Times New Roman"/>
          <w:sz w:val="20"/>
        </w:rPr>
        <w:t xml:space="preserve">Each of the Subsidiary Guarantors (which term includes any successor Person under the Indenture) has fully, unconditionally and absolutely guaranteed, to the extent set forth in the Indenture and subject to the provisions in the Indenture, the due and punctual payment of the principal of, and premium, if any, and interest on the Securities and all other amounts due and payable under the Indenture and the Securities by the Company. </w:t>
      </w:r>
    </w:p>
    <w:p>
      <w:pPr>
        <w:pStyle w:val="TextBody"/>
        <w:spacing w:before="180" w:after="0"/>
        <w:rPr>
          <w:rFonts w:ascii="Times New Roman" w:hAnsi="Times New Roman"/>
          <w:sz w:val="20"/>
        </w:rPr>
      </w:pPr>
      <w:r>
        <w:rPr>
          <w:rFonts w:ascii="Times New Roman" w:hAnsi="Times New Roman"/>
          <w:sz w:val="20"/>
        </w:rPr>
        <w:t xml:space="preserve">The obligations of the Subsidiary Guarantors to the Holders of Securities and to the Trustee pursuant to the Subsidiary Guarantee and the Indenture are expressly set forth in Article Thirteen of the Indenture and reference is hereby made to the Indenture for the precise terms of the Subsidiary Guarantee.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830"/>
        <w:gridCol w:w="105"/>
        <w:gridCol w:w="3147"/>
      </w:tblGrid>
      <w:tr>
        <w:trPr/>
        <w:tc>
          <w:tcPr>
            <w:tcW w:w="83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14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[Insert Names of Subsidiary Guarantors]</w:t>
            </w:r>
          </w:p>
        </w:tc>
      </w:tr>
      <w:tr>
        <w:trPr>
          <w:trHeight w:val="240" w:hRule="atLeast"/>
        </w:trPr>
        <w:tc>
          <w:tcPr>
            <w:tcW w:w="830" w:type="dxa"/>
            <w:tcBorders/>
            <w:shd w:fill="auto" w:val="clear"/>
            <w:vAlign w:val="center"/>
          </w:tcPr>
          <w:p>
            <w:pPr>
              <w:pStyle w:val="TableContents"/>
              <w:spacing w:before="0" w:after="283"/>
              <w:rPr>
                <w:sz w:val="4"/>
                <w:szCs w:val="4"/>
              </w:rPr>
            </w:pPr>
            <w:r>
              <w:rPr>
                <w:sz w:val="4"/>
                <w:szCs w:val="4"/>
              </w:rPr>
            </w:r>
          </w:p>
        </w:tc>
        <w:tc>
          <w:tcPr>
            <w:tcW w:w="3252" w:type="dxa"/>
            <w:gridSpan w:val="2"/>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5" w:type="dxa"/>
            <w:tcBorders>
              <w:bottom w:val="single" w:sz="2" w:space="0" w:color="000000"/>
            </w:tcBorders>
            <w:shd w:fill="auto" w:val="clear"/>
            <w:tcMar>
              <w:bottom w:w="28" w:type="dxa"/>
            </w:tcMar>
            <w:vAlign w:val="bottom"/>
          </w:tcPr>
          <w:p>
            <w:pPr>
              <w:pStyle w:val="TableContents"/>
              <w:spacing w:before="0" w:after="283"/>
              <w:rPr/>
            </w:pPr>
            <w:r>
              <w:rPr/>
              <w:t> </w:t>
            </w:r>
          </w:p>
        </w:tc>
        <w:tc>
          <w:tcPr>
            <w:tcW w:w="3147" w:type="dxa"/>
            <w:tcBorders>
              <w:bottom w:val="single" w:sz="2" w:space="0" w:color="000000"/>
            </w:tcBorders>
            <w:shd w:fill="auto" w:val="clear"/>
            <w:tcMar>
              <w:bottom w:w="28" w:type="dxa"/>
            </w:tcMar>
          </w:tcPr>
          <w:p>
            <w:pPr>
              <w:pStyle w:val="TableContents"/>
              <w:spacing w:before="0" w:after="283"/>
              <w:rPr/>
            </w:pPr>
            <w:r>
              <w:rPr/>
              <w:t> </w:t>
            </w:r>
          </w:p>
        </w:tc>
      </w:tr>
      <w:tr>
        <w:trPr/>
        <w:tc>
          <w:tcPr>
            <w:tcW w:w="83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05" w:type="dxa"/>
            <w:tcBorders>
              <w:bottom w:val="single" w:sz="2" w:space="0" w:color="000000"/>
            </w:tcBorders>
            <w:shd w:fill="auto" w:val="clear"/>
            <w:tcMar>
              <w:bottom w:w="28" w:type="dxa"/>
            </w:tcMar>
            <w:vAlign w:val="bottom"/>
          </w:tcPr>
          <w:p>
            <w:pPr>
              <w:pStyle w:val="TableContents"/>
              <w:spacing w:before="0" w:after="283"/>
              <w:rPr/>
            </w:pPr>
            <w:r>
              <w:rPr/>
              <w:t> </w:t>
            </w:r>
          </w:p>
        </w:tc>
        <w:tc>
          <w:tcPr>
            <w:tcW w:w="3147" w:type="dxa"/>
            <w:tcBorders>
              <w:bottom w:val="single" w:sz="2" w:space="0" w:color="000000"/>
            </w:tcBorders>
            <w:shd w:fill="auto" w:val="clear"/>
            <w:tcMar>
              <w:bottom w:w="28" w:type="dxa"/>
            </w:tcM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SECTION 205. </w:t>
      </w:r>
      <w:r>
        <w:rPr>
          <w:rFonts w:ascii="Times New Roman" w:hAnsi="Times New Roman"/>
          <w:b/>
          <w:sz w:val="20"/>
          <w:u w:val="single"/>
        </w:rPr>
        <w:t>Form of Legend for Global Securities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Unless otherwise specified as contemplated by Section 301 for the Securities evidenced thereby, every Global Security authenticated and delivered hereunder shall bear a legend in substantially the following form: </w:t>
      </w:r>
    </w:p>
    <w:p>
      <w:pPr>
        <w:pStyle w:val="TextBody"/>
        <w:spacing w:before="90" w:after="0"/>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206. </w:t>
      </w:r>
      <w:r>
        <w:rPr>
          <w:rFonts w:ascii="Times New Roman" w:hAnsi="Times New Roman"/>
          <w:b/>
          <w:sz w:val="20"/>
          <w:u w:val="single"/>
        </w:rPr>
        <w:t>Form of Trustees Certificate of Authentication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Trustees certificates of authentication shall be in substantially the following form: </w:t>
      </w:r>
    </w:p>
    <w:p>
      <w:pPr>
        <w:pStyle w:val="TextBody"/>
        <w:spacing w:before="180" w:after="0"/>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06"/>
        <w:gridCol w:w="90"/>
        <w:gridCol w:w="3686"/>
      </w:tblGrid>
      <w:tr>
        <w:trPr/>
        <w:tc>
          <w:tcPr>
            <w:tcW w:w="30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8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As Trustee</w:t>
            </w:r>
          </w:p>
        </w:tc>
      </w:tr>
      <w:tr>
        <w:trPr>
          <w:trHeight w:val="240" w:hRule="atLeast"/>
        </w:trPr>
        <w:tc>
          <w:tcPr>
            <w:tcW w:w="306"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bottom w:val="single" w:sz="2" w:space="0" w:color="000000"/>
            </w:tcBorders>
            <w:shd w:fill="auto" w:val="clear"/>
            <w:tcMar>
              <w:bottom w:w="28" w:type="dxa"/>
            </w:tcMar>
            <w:vAlign w:val="bottom"/>
          </w:tcPr>
          <w:p>
            <w:pPr>
              <w:pStyle w:val="TableContents"/>
              <w:spacing w:before="0" w:after="283"/>
              <w:rPr/>
            </w:pPr>
            <w:r>
              <w:rPr/>
              <w:t> </w:t>
            </w:r>
          </w:p>
        </w:tc>
        <w:tc>
          <w:tcPr>
            <w:tcW w:w="3686" w:type="dxa"/>
            <w:tcBorders>
              <w:bottom w:val="single" w:sz="2" w:space="0" w:color="000000"/>
            </w:tcBorders>
            <w:shd w:fill="auto" w:val="clear"/>
            <w:tcMar>
              <w:bottom w:w="28" w:type="dxa"/>
            </w:tcMar>
          </w:tcPr>
          <w:p>
            <w:pPr>
              <w:pStyle w:val="TableContents"/>
              <w:spacing w:before="0" w:after="283"/>
              <w:rPr/>
            </w:pPr>
            <w:r>
              <w:rPr/>
              <w:t> </w:t>
            </w:r>
          </w:p>
        </w:tc>
      </w:tr>
      <w:tr>
        <w:trPr/>
        <w:tc>
          <w:tcPr>
            <w:tcW w:w="306"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Authorized Officer</w:t>
            </w:r>
          </w:p>
        </w:tc>
      </w:tr>
    </w:tbl>
    <w:p>
      <w:pPr>
        <w:pStyle w:val="TextBody"/>
        <w:spacing w:before="180" w:after="0"/>
        <w:rPr>
          <w:rFonts w:ascii="Times New Roman" w:hAnsi="Times New Roman"/>
          <w:sz w:val="20"/>
        </w:rPr>
      </w:pPr>
      <w:r>
        <w:rPr>
          <w:rFonts w:ascii="Times New Roman" w:hAnsi="Times New Roman"/>
          <w:sz w:val="20"/>
        </w:rPr>
        <w:t xml:space="preserve">SECTION 207. </w:t>
      </w:r>
      <w:r>
        <w:rPr>
          <w:rFonts w:ascii="Times New Roman" w:hAnsi="Times New Roman"/>
          <w:b/>
          <w:sz w:val="20"/>
          <w:u w:val="single"/>
        </w:rPr>
        <w:t>Form of Conversion Notice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Each convertible Security shall have attached thereto, or set forth on the reverse of the Security, a notice of conversion in substantially the following form: </w:t>
      </w:r>
    </w:p>
    <w:p>
      <w:pPr>
        <w:pStyle w:val="TextBody"/>
        <w:spacing w:before="270" w:after="0"/>
        <w:jc w:val="center"/>
        <w:rPr>
          <w:rFonts w:ascii="Times New Roman" w:hAnsi="Times New Roman"/>
          <w:sz w:val="20"/>
          <w:u w:val="single"/>
        </w:rPr>
      </w:pPr>
      <w:r>
        <w:rPr>
          <w:rFonts w:ascii="Times New Roman" w:hAnsi="Times New Roman"/>
          <w:sz w:val="20"/>
          <w:u w:val="single"/>
        </w:rPr>
        <w:t xml:space="preserve">Conversion Notice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To:</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EZCORP, Inc. </w:t>
            </w:r>
          </w:p>
        </w:tc>
      </w:tr>
    </w:tbl>
    <w:p>
      <w:pPr>
        <w:pStyle w:val="TextBody"/>
        <w:spacing w:before="180" w:after="0"/>
        <w:rPr>
          <w:rFonts w:ascii="Times New Roman" w:hAnsi="Times New Roman"/>
          <w:sz w:val="20"/>
        </w:rPr>
      </w:pPr>
      <w:r>
        <w:rPr>
          <w:rFonts w:ascii="Times New Roman" w:hAnsi="Times New Roman"/>
          <w:sz w:val="20"/>
        </w:rPr>
        <w:t xml:space="preserve">The undersigned owner of this Security hereby: (i) irrevocably exercises the option to convert this Security, or the portion hereof below designated, for shares of Common Stock of EZCORP, Inc. in accordance with the terms of the Indenture referred to in this Security and (ii) directs that such shares of Common Stock deliverable upon the conversion, together with any check in payment for fractional shares and any Security(ies) representing any unconverted principal amount hereof, be issued and delivered to the registered holder hereof unless a different name has been indicated below. If shares are to be delivered registered in the name of a Person other than the undersigned, the undersigned will pay all transfer taxes payable with respect thereto. Any amount required to be paid by the undersigned on account of interest accompanies this Security.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6"/>
        <w:gridCol w:w="102"/>
        <w:gridCol w:w="408"/>
        <w:gridCol w:w="102"/>
        <w:gridCol w:w="4797"/>
      </w:tblGrid>
      <w:tr>
        <w:trPr/>
        <w:tc>
          <w:tcPr>
            <w:tcW w:w="479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rFonts w:ascii="Times New Roman" w:hAnsi="Times New Roman"/>
                <w:sz w:val="20"/>
              </w:rPr>
            </w:pPr>
            <w:r>
              <w:rPr>
                <w:rFonts w:ascii="Times New Roman" w:hAnsi="Times New Roman"/>
                <w:sz w:val="20"/>
              </w:rPr>
              <w:t>Dated:____________________</w:t>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4797" w:type="dxa"/>
            <w:tcBorders>
              <w:bottom w:val="single" w:sz="2" w:space="0" w:color="000000"/>
            </w:tcBorders>
            <w:shd w:fill="auto" w:val="clear"/>
            <w:tcMar>
              <w:bottom w:w="28" w:type="dxa"/>
            </w:tcMar>
          </w:tcPr>
          <w:p>
            <w:pPr>
              <w:pStyle w:val="TableContents"/>
              <w:spacing w:before="0" w:after="283"/>
              <w:rPr/>
            </w:pPr>
            <w:r>
              <w:rPr/>
              <w:t>  </w:t>
            </w:r>
          </w:p>
        </w:tc>
      </w:tr>
      <w:tr>
        <w:trPr/>
        <w:tc>
          <w:tcPr>
            <w:tcW w:w="479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Signature</w:t>
            </w:r>
          </w:p>
        </w:tc>
      </w:tr>
    </w:tbl>
    <w:p>
      <w:pPr>
        <w:pStyle w:val="TextBody"/>
        <w:spacing w:before="180" w:after="0"/>
        <w:rPr>
          <w:rFonts w:ascii="Times New Roman" w:hAnsi="Times New Roman"/>
          <w:sz w:val="20"/>
        </w:rPr>
      </w:pPr>
      <w:r>
        <w:rPr>
          <w:rFonts w:ascii="Times New Roman" w:hAnsi="Times New Roman"/>
          <w:sz w:val="20"/>
        </w:rPr>
        <w:t xml:space="preserve">Fill in for registration of shares if to be delivered, and of Securities if to be issued, otherwise than to and in the name of the registered holder.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  </w:t>
            </w:r>
          </w:p>
        </w:tc>
      </w:tr>
      <w:tr>
        <w:trPr/>
        <w:tc>
          <w:tcPr>
            <w:tcW w:w="40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Social Security or other Taxpayer</w:t>
            </w:r>
          </w:p>
          <w:p>
            <w:pPr>
              <w:pStyle w:val="TableContents"/>
              <w:spacing w:before="0" w:after="15"/>
              <w:rPr>
                <w:rFonts w:ascii="Times New Roman" w:hAnsi="Times New Roman"/>
                <w:sz w:val="20"/>
              </w:rPr>
            </w:pPr>
            <w:r>
              <w:rPr>
                <w:rFonts w:ascii="Times New Roman" w:hAnsi="Times New Roman"/>
                <w:sz w:val="20"/>
              </w:rPr>
              <w:t>Identification Number</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  </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  </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(Please print name and address)</w:t>
            </w:r>
          </w:p>
        </w:tc>
      </w:tr>
    </w:tbl>
    <w:p>
      <w:pPr>
        <w:pStyle w:val="TextBody"/>
        <w:spacing w:before="180" w:after="0"/>
        <w:rPr>
          <w:rFonts w:ascii="Times New Roman" w:hAnsi="Times New Roman"/>
          <w:sz w:val="20"/>
        </w:rPr>
      </w:pPr>
      <w:r>
        <w:rPr>
          <w:rFonts w:ascii="Times New Roman" w:hAnsi="Times New Roman"/>
          <w:sz w:val="20"/>
        </w:rPr>
        <w:t xml:space="preserve">Principal amount to be converted: (if less than all)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142"/>
        <w:gridCol w:w="70"/>
        <w:gridCol w:w="3870"/>
      </w:tblGrid>
      <w:tr>
        <w:trPr/>
        <w:tc>
          <w:tcPr>
            <w:tcW w:w="14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3870" w:type="dxa"/>
            <w:tcBorders/>
            <w:shd w:fill="auto" w:val="clear"/>
            <w:vAlign w:val="center"/>
          </w:tcPr>
          <w:p>
            <w:pPr>
              <w:pStyle w:val="TableContents"/>
              <w:spacing w:before="0" w:after="283"/>
              <w:rPr>
                <w:sz w:val="4"/>
                <w:szCs w:val="4"/>
              </w:rPr>
            </w:pPr>
            <w:r>
              <w:rPr>
                <w:sz w:val="4"/>
                <w:szCs w:val="4"/>
              </w:rPr>
            </w:r>
          </w:p>
        </w:tc>
      </w:tr>
      <w:tr>
        <w:trPr/>
        <w:tc>
          <w:tcPr>
            <w:tcW w:w="14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0" w:type="dxa"/>
            <w:tcBorders>
              <w:bottom w:val="single" w:sz="2" w:space="0" w:color="000000"/>
            </w:tcBorders>
            <w:shd w:fill="auto" w:val="clear"/>
            <w:tcMar>
              <w:bottom w:w="28" w:type="dxa"/>
            </w:tcMar>
            <w:vAlign w:val="bottom"/>
          </w:tcPr>
          <w:p>
            <w:pPr>
              <w:pStyle w:val="TableContents"/>
              <w:spacing w:before="0" w:after="283"/>
              <w:rPr/>
            </w:pPr>
            <w:r>
              <w:rPr/>
              <w:t> </w:t>
            </w:r>
          </w:p>
        </w:tc>
        <w:tc>
          <w:tcPr>
            <w:tcW w:w="3870" w:type="dxa"/>
            <w:tcBorders>
              <w:bottom w:val="single" w:sz="2" w:space="0" w:color="000000"/>
            </w:tcBorders>
            <w:shd w:fill="auto" w:val="clear"/>
            <w:tcMar>
              <w:bottom w:w="28" w:type="dxa"/>
            </w:tcMa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Signature Guarantee*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Participant in a recognized Signature Guarantee Medallion Program (or other signature acceptable to the Trustee). </w:t>
            </w:r>
          </w:p>
        </w:tc>
      </w:tr>
    </w:tbl>
    <w:p>
      <w:pPr>
        <w:pStyle w:val="TextBody"/>
        <w:spacing w:before="270" w:after="0"/>
        <w:jc w:val="center"/>
        <w:rPr>
          <w:rFonts w:ascii="Times New Roman" w:hAnsi="Times New Roman"/>
          <w:b/>
          <w:sz w:val="20"/>
        </w:rPr>
      </w:pPr>
      <w:r>
        <w:rPr>
          <w:rFonts w:ascii="Times New Roman" w:hAnsi="Times New Roman"/>
          <w:b/>
          <w:sz w:val="20"/>
        </w:rPr>
        <w:t xml:space="preserve">ARTICLE THREE </w:t>
      </w:r>
    </w:p>
    <w:p>
      <w:pPr>
        <w:pStyle w:val="TextBody"/>
        <w:spacing w:before="0" w:after="0"/>
        <w:jc w:val="center"/>
        <w:rPr>
          <w:rFonts w:ascii="Times New Roman" w:hAnsi="Times New Roman"/>
          <w:b/>
          <w:sz w:val="20"/>
        </w:rPr>
      </w:pPr>
      <w:r>
        <w:rPr>
          <w:rFonts w:ascii="Times New Roman" w:hAnsi="Times New Roman"/>
          <w:b/>
          <w:sz w:val="20"/>
        </w:rPr>
        <w:t xml:space="preserve">THE SECURITIES </w:t>
      </w:r>
    </w:p>
    <w:p>
      <w:pPr>
        <w:pStyle w:val="TextBody"/>
        <w:spacing w:before="180" w:after="0"/>
        <w:rPr>
          <w:rFonts w:ascii="Times New Roman" w:hAnsi="Times New Roman"/>
          <w:sz w:val="20"/>
        </w:rPr>
      </w:pPr>
      <w:r>
        <w:rPr>
          <w:rFonts w:ascii="Times New Roman" w:hAnsi="Times New Roman"/>
          <w:sz w:val="20"/>
        </w:rPr>
        <w:t xml:space="preserve">SECTION 301. </w:t>
      </w:r>
      <w:r>
        <w:rPr>
          <w:rFonts w:ascii="Times New Roman" w:hAnsi="Times New Roman"/>
          <w:b/>
          <w:sz w:val="20"/>
          <w:u w:val="single"/>
        </w:rPr>
        <w:t>Amount Unlimited; Issuable in Series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aggregate principal amount of Securities which may be authenticated and delivered under this Indenture is unlimited. </w:t>
      </w:r>
    </w:p>
    <w:p>
      <w:pPr>
        <w:pStyle w:val="TextBody"/>
        <w:spacing w:before="180" w:after="0"/>
        <w:rPr>
          <w:rFonts w:ascii="Times New Roman" w:hAnsi="Times New Roman"/>
          <w:sz w:val="20"/>
        </w:rPr>
      </w:pPr>
      <w:r>
        <w:rPr>
          <w:rFonts w:ascii="Times New Roman" w:hAnsi="Times New Roman"/>
          <w:sz w:val="20"/>
        </w:rPr>
        <w:t xml:space="preserve">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 </w:t>
      </w:r>
    </w:p>
    <w:p>
      <w:pPr>
        <w:pStyle w:val="TextBody"/>
        <w:spacing w:before="180" w:after="0"/>
        <w:rPr>
          <w:rFonts w:ascii="Times New Roman" w:hAnsi="Times New Roman"/>
          <w:sz w:val="20"/>
        </w:rPr>
      </w:pPr>
      <w:r>
        <w:rPr>
          <w:rFonts w:ascii="Times New Roman" w:hAnsi="Times New Roman"/>
          <w:sz w:val="20"/>
        </w:rPr>
        <w:t xml:space="preserve">(1) the title of the Securities of the series (which shall distinguish the Securities of the series from Securities of any other series); </w:t>
      </w:r>
    </w:p>
    <w:p>
      <w:pPr>
        <w:pStyle w:val="TextBody"/>
        <w:spacing w:before="180" w:after="0"/>
        <w:rPr>
          <w:rFonts w:ascii="Times New Roman" w:hAnsi="Times New Roman"/>
          <w:sz w:val="20"/>
        </w:rPr>
      </w:pPr>
      <w:r>
        <w:rPr>
          <w:rFonts w:ascii="Times New Roman" w:hAnsi="Times New Roman"/>
          <w:sz w:val="20"/>
        </w:rPr>
        <w:t xml:space="preserve">(2) if the Securities of the series will not have the benefit of the Subsidiary Guarantees of the Subsidiary Guarantors; </w:t>
      </w:r>
    </w:p>
    <w:p>
      <w:pPr>
        <w:pStyle w:val="TextBody"/>
        <w:spacing w:before="180" w:after="0"/>
        <w:rPr>
          <w:rFonts w:ascii="Times New Roman" w:hAnsi="Times New Roman"/>
          <w:sz w:val="20"/>
        </w:rPr>
      </w:pPr>
      <w:r>
        <w:rPr>
          <w:rFonts w:ascii="Times New Roman" w:hAnsi="Times New Roman"/>
          <w:sz w:val="20"/>
        </w:rPr>
        <w:t xml:space="preserve">(3)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 </w:t>
      </w:r>
    </w:p>
    <w:p>
      <w:pPr>
        <w:pStyle w:val="TextBody"/>
        <w:spacing w:before="180" w:after="0"/>
        <w:rPr>
          <w:rFonts w:ascii="Times New Roman" w:hAnsi="Times New Roman"/>
          <w:sz w:val="20"/>
        </w:rPr>
      </w:pPr>
      <w:r>
        <w:rPr>
          <w:rFonts w:ascii="Times New Roman" w:hAnsi="Times New Roman"/>
          <w:sz w:val="20"/>
        </w:rPr>
        <w:t xml:space="preserve">(4) the Person to whom any interest on a Security of the series shall be payable, if other than the Person in whose name that Security (or one or more Predecessor Securities) is registered at the close of business on the Regular Record Date for such interest; </w:t>
      </w:r>
    </w:p>
    <w:p>
      <w:pPr>
        <w:pStyle w:val="TextBody"/>
        <w:spacing w:before="180" w:after="0"/>
        <w:rPr>
          <w:rFonts w:ascii="Times New Roman" w:hAnsi="Times New Roman"/>
          <w:sz w:val="20"/>
        </w:rPr>
      </w:pPr>
      <w:r>
        <w:rPr>
          <w:rFonts w:ascii="Times New Roman" w:hAnsi="Times New Roman"/>
          <w:sz w:val="20"/>
        </w:rPr>
        <w:t xml:space="preserve">(5) the date or dates on which the principal of any Securities of the series is payable; </w:t>
      </w:r>
    </w:p>
    <w:p>
      <w:pPr>
        <w:pStyle w:val="TextBody"/>
        <w:spacing w:before="180" w:after="0"/>
        <w:rPr>
          <w:rFonts w:ascii="Times New Roman" w:hAnsi="Times New Roman"/>
          <w:sz w:val="20"/>
        </w:rPr>
      </w:pPr>
      <w:r>
        <w:rPr>
          <w:rFonts w:ascii="Times New Roman" w:hAnsi="Times New Roman"/>
          <w:sz w:val="20"/>
        </w:rPr>
        <w:t xml:space="preserve">(6) 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(7) the place or places where the principal of and any premium and interest on any Securities of the series shall be payable; </w:t>
      </w:r>
    </w:p>
    <w:p>
      <w:pPr>
        <w:pStyle w:val="TextBody"/>
        <w:spacing w:before="180" w:after="0"/>
        <w:rPr>
          <w:rFonts w:ascii="Times New Roman" w:hAnsi="Times New Roman"/>
          <w:sz w:val="20"/>
        </w:rPr>
      </w:pPr>
      <w:r>
        <w:rPr>
          <w:rFonts w:ascii="Times New Roman" w:hAnsi="Times New Roman"/>
          <w:sz w:val="20"/>
        </w:rPr>
        <w:t xml:space="preserve">(8) 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 </w:t>
      </w:r>
    </w:p>
    <w:p>
      <w:pPr>
        <w:pStyle w:val="TextBody"/>
        <w:spacing w:before="180" w:after="0"/>
        <w:rPr>
          <w:rFonts w:ascii="Times New Roman" w:hAnsi="Times New Roman"/>
          <w:sz w:val="20"/>
        </w:rPr>
      </w:pPr>
      <w:r>
        <w:rPr>
          <w:rFonts w:ascii="Times New Roman" w:hAnsi="Times New Roman"/>
          <w:sz w:val="20"/>
        </w:rPr>
        <w:t xml:space="preserve">(9) 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 </w:t>
      </w:r>
    </w:p>
    <w:p>
      <w:pPr>
        <w:pStyle w:val="TextBody"/>
        <w:spacing w:before="180" w:after="0"/>
        <w:rPr>
          <w:rFonts w:ascii="Times New Roman" w:hAnsi="Times New Roman"/>
          <w:sz w:val="20"/>
        </w:rPr>
      </w:pPr>
      <w:r>
        <w:rPr>
          <w:rFonts w:ascii="Times New Roman" w:hAnsi="Times New Roman"/>
          <w:sz w:val="20"/>
        </w:rPr>
        <w:t xml:space="preserve">(10) if other than denominations of $1,000 and any integral multiple thereof, the denominations in which any Securities of the series shall be issuable; </w:t>
      </w:r>
    </w:p>
    <w:p>
      <w:pPr>
        <w:pStyle w:val="TextBody"/>
        <w:spacing w:before="180" w:after="0"/>
        <w:rPr>
          <w:rFonts w:ascii="Times New Roman" w:hAnsi="Times New Roman"/>
          <w:sz w:val="20"/>
        </w:rPr>
      </w:pPr>
      <w:r>
        <w:rPr>
          <w:rFonts w:ascii="Times New Roman" w:hAnsi="Times New Roman"/>
          <w:sz w:val="20"/>
        </w:rPr>
        <w:t xml:space="preserve">(11) if the amount of principal of or any premium or interest on any Securities of the series may be determined with reference to an index or pursuant to a formula, the manner in which such amounts shall be determined; </w:t>
      </w:r>
    </w:p>
    <w:p>
      <w:pPr>
        <w:pStyle w:val="TextBody"/>
        <w:spacing w:before="180" w:after="0"/>
        <w:rPr>
          <w:rFonts w:ascii="Times New Roman" w:hAnsi="Times New Roman"/>
          <w:sz w:val="20"/>
        </w:rPr>
      </w:pPr>
      <w:r>
        <w:rPr>
          <w:rFonts w:ascii="Times New Roman" w:hAnsi="Times New Roman"/>
          <w:sz w:val="20"/>
        </w:rPr>
        <w:t xml:space="preserve">(12) 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 </w:t>
      </w:r>
    </w:p>
    <w:p>
      <w:pPr>
        <w:pStyle w:val="TextBody"/>
        <w:spacing w:before="180" w:after="0"/>
        <w:rPr>
          <w:rFonts w:ascii="Times New Roman" w:hAnsi="Times New Roman"/>
          <w:sz w:val="20"/>
        </w:rPr>
      </w:pPr>
      <w:r>
        <w:rPr>
          <w:rFonts w:ascii="Times New Roman" w:hAnsi="Times New Roman"/>
          <w:sz w:val="20"/>
        </w:rPr>
        <w:t xml:space="preserve">(13) 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 </w:t>
      </w:r>
    </w:p>
    <w:p>
      <w:pPr>
        <w:pStyle w:val="TextBody"/>
        <w:spacing w:before="180" w:after="0"/>
        <w:rPr>
          <w:rFonts w:ascii="Times New Roman" w:hAnsi="Times New Roman"/>
          <w:sz w:val="20"/>
        </w:rPr>
      </w:pPr>
      <w:r>
        <w:rPr>
          <w:rFonts w:ascii="Times New Roman" w:hAnsi="Times New Roman"/>
          <w:sz w:val="20"/>
        </w:rPr>
        <w:t xml:space="preserve">(14) if other than the entire principal amount thereof, the portion of the principal amount of any Securities of the series which shall be payable upon declaration of acceleration of the Maturity thereof pursuant to Section 502; </w:t>
      </w:r>
    </w:p>
    <w:p>
      <w:pPr>
        <w:pStyle w:val="TextBody"/>
        <w:spacing w:before="180" w:after="0"/>
        <w:rPr>
          <w:rFonts w:ascii="Times New Roman" w:hAnsi="Times New Roman"/>
          <w:sz w:val="20"/>
        </w:rPr>
      </w:pPr>
      <w:r>
        <w:rPr>
          <w:rFonts w:ascii="Times New Roman" w:hAnsi="Times New Roman"/>
          <w:sz w:val="20"/>
        </w:rPr>
        <w:t xml:space="preserve">(15) 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(16) if applicable, that the Securities of the series, in whole or any specified part, shall be defeasible pursuant to Section 1502 or Section 1503 or both such Sections and, if other than by a Board Resolution, the manner in which any election by the Company to defease such Securities shall be evidenced; </w:t>
      </w:r>
    </w:p>
    <w:p>
      <w:pPr>
        <w:pStyle w:val="TextBody"/>
        <w:spacing w:before="180" w:after="0"/>
        <w:rPr>
          <w:rFonts w:ascii="Times New Roman" w:hAnsi="Times New Roman"/>
          <w:sz w:val="20"/>
        </w:rPr>
      </w:pPr>
      <w:r>
        <w:rPr>
          <w:rFonts w:ascii="Times New Roman" w:hAnsi="Times New Roman"/>
          <w:sz w:val="20"/>
        </w:rPr>
        <w:t xml:space="preserve">(17) if applicable, that any Securities of the series shall be issuable in whole or in part in the form of one or more Global Securities and, in such case, the respective Depositories for such Global Securities, the form of any legend or legends which shall be borne by any such Global Security in addition to or in lieu of that set forth in Section 205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w:t>
      </w:r>
    </w:p>
    <w:p>
      <w:pPr>
        <w:pStyle w:val="TextBody"/>
        <w:spacing w:before="180" w:after="0"/>
        <w:rPr>
          <w:rFonts w:ascii="Times New Roman" w:hAnsi="Times New Roman"/>
          <w:sz w:val="20"/>
        </w:rPr>
      </w:pPr>
      <w:r>
        <w:rPr>
          <w:rFonts w:ascii="Times New Roman" w:hAnsi="Times New Roman"/>
          <w:sz w:val="20"/>
        </w:rPr>
        <w:t xml:space="preserve">(18) any addition to or change in the Events of Default which applies to any Securities of the series and any change in the right of the Trustee or the requisite Holders of such Securities to declare the principal amount thereof due and payable pursuant to Section 502; </w:t>
      </w:r>
    </w:p>
    <w:p>
      <w:pPr>
        <w:pStyle w:val="TextBody"/>
        <w:spacing w:before="180" w:after="0"/>
        <w:rPr>
          <w:rFonts w:ascii="Times New Roman" w:hAnsi="Times New Roman"/>
          <w:sz w:val="20"/>
        </w:rPr>
      </w:pPr>
      <w:r>
        <w:rPr>
          <w:rFonts w:ascii="Times New Roman" w:hAnsi="Times New Roman"/>
          <w:sz w:val="20"/>
        </w:rPr>
        <w:t xml:space="preserve">(19) any addition to or change in the covenants set forth in Article Ten which applies to Securities of the series; </w:t>
      </w:r>
    </w:p>
    <w:p>
      <w:pPr>
        <w:pStyle w:val="TextBody"/>
        <w:spacing w:before="180" w:after="0"/>
        <w:rPr>
          <w:rFonts w:ascii="Times New Roman" w:hAnsi="Times New Roman"/>
          <w:sz w:val="20"/>
        </w:rPr>
      </w:pPr>
      <w:r>
        <w:rPr>
          <w:rFonts w:ascii="Times New Roman" w:hAnsi="Times New Roman"/>
          <w:sz w:val="20"/>
        </w:rPr>
        <w:t xml:space="preserve">(20) whether the Securities of the series will be convertible into Common Stock (or cash in lieu thereof) and, if so, the terms and conditions upon which such conversion will be effected; and </w:t>
      </w:r>
    </w:p>
    <w:p>
      <w:pPr>
        <w:pStyle w:val="TextBody"/>
        <w:spacing w:before="180" w:after="0"/>
        <w:rPr>
          <w:rFonts w:ascii="Times New Roman" w:hAnsi="Times New Roman"/>
          <w:sz w:val="20"/>
        </w:rPr>
      </w:pPr>
      <w:r>
        <w:rPr>
          <w:rFonts w:ascii="Times New Roman" w:hAnsi="Times New Roman"/>
          <w:sz w:val="20"/>
        </w:rPr>
        <w:t xml:space="preserve">(21) any other terms of the series (which terms shall not be inconsistent with the provisions of this Indenture, except as permitted by Section 901(5)). </w:t>
      </w:r>
    </w:p>
    <w:p>
      <w:pPr>
        <w:pStyle w:val="TextBody"/>
        <w:spacing w:before="180" w:after="0"/>
        <w:rPr>
          <w:rFonts w:ascii="Times New Roman" w:hAnsi="Times New Roman"/>
          <w:sz w:val="20"/>
        </w:rPr>
      </w:pPr>
      <w:r>
        <w:rPr>
          <w:rFonts w:ascii="Times New Roman" w:hAnsi="Times New Roman"/>
          <w:sz w:val="20"/>
        </w:rPr>
        <w:t xml:space="preserve">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 </w:t>
      </w:r>
    </w:p>
    <w:p>
      <w:pPr>
        <w:pStyle w:val="TextBody"/>
        <w:spacing w:before="180" w:after="0"/>
        <w:rPr>
          <w:rFonts w:ascii="Times New Roman" w:hAnsi="Times New Roman"/>
          <w:sz w:val="20"/>
        </w:rPr>
      </w:pPr>
      <w:r>
        <w:rPr>
          <w:rFonts w:ascii="Times New Roman" w:hAnsi="Times New Roman"/>
          <w:sz w:val="20"/>
        </w:rPr>
        <w:t xml:space="preserve">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 </w:t>
      </w:r>
    </w:p>
    <w:p>
      <w:pPr>
        <w:pStyle w:val="TextBody"/>
        <w:spacing w:before="180" w:after="0"/>
        <w:rPr>
          <w:rFonts w:ascii="Times New Roman" w:hAnsi="Times New Roman"/>
          <w:sz w:val="20"/>
        </w:rPr>
      </w:pPr>
      <w:r>
        <w:rPr>
          <w:rFonts w:ascii="Times New Roman" w:hAnsi="Times New Roman"/>
          <w:sz w:val="20"/>
        </w:rPr>
        <w:t xml:space="preserve">The Securities of each series shall have the benefit of the Subsidiary Guarantees unless the Company elects otherwise upon the establishment of a series pursuant to this Section 301.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302. </w:t>
      </w:r>
      <w:r>
        <w:rPr>
          <w:rFonts w:ascii="Times New Roman" w:hAnsi="Times New Roman"/>
          <w:b/>
          <w:sz w:val="20"/>
          <w:u w:val="single"/>
        </w:rPr>
        <w:t>Denominations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 </w:t>
      </w:r>
    </w:p>
    <w:p>
      <w:pPr>
        <w:pStyle w:val="TextBody"/>
        <w:spacing w:before="180" w:after="0"/>
        <w:rPr>
          <w:rFonts w:ascii="Times New Roman" w:hAnsi="Times New Roman"/>
          <w:sz w:val="20"/>
        </w:rPr>
      </w:pPr>
      <w:r>
        <w:rPr>
          <w:rFonts w:ascii="Times New Roman" w:hAnsi="Times New Roman"/>
          <w:sz w:val="20"/>
        </w:rPr>
        <w:t xml:space="preserve">SECTION 303. </w:t>
      </w:r>
      <w:r>
        <w:rPr>
          <w:rFonts w:ascii="Times New Roman" w:hAnsi="Times New Roman"/>
          <w:b/>
          <w:sz w:val="20"/>
          <w:u w:val="single"/>
        </w:rPr>
        <w:t>Execution, Authentication, Delivery and Dating</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Securities shall be executed on behalf of the Company by its Chairman of the Board of Directors, its Vice Chairman of the Board of Directors, its President or one of its Vice Presidents. If its corporate seal is reproduced thereon, then it shall be attested by its Secretary or one of its Assistant Secretaries. The signature of any of these officers on the Securities may be manual or facsimile. </w:t>
      </w:r>
    </w:p>
    <w:p>
      <w:pPr>
        <w:pStyle w:val="TextBody"/>
        <w:spacing w:before="180" w:after="0"/>
        <w:rPr>
          <w:rFonts w:ascii="Times New Roman" w:hAnsi="Times New Roman"/>
          <w:sz w:val="20"/>
        </w:rPr>
      </w:pPr>
      <w:r>
        <w:rPr>
          <w:rFonts w:ascii="Times New Roman" w:hAnsi="Times New Roman"/>
          <w:sz w:val="20"/>
        </w:rPr>
        <w:t xml:space="preserve">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w:t>
      </w:r>
    </w:p>
    <w:p>
      <w:pPr>
        <w:pStyle w:val="TextBody"/>
        <w:spacing w:before="180" w:after="0"/>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executed by the Company and, if applicable, having endorsed thereon the notations of Subsidiary Guarantees executed as provided in Section 1303 by the Subsidiary Guarantors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 </w:t>
      </w:r>
    </w:p>
    <w:p>
      <w:pPr>
        <w:pStyle w:val="TextBody"/>
        <w:spacing w:before="180" w:after="0"/>
        <w:rPr>
          <w:rFonts w:ascii="Times New Roman" w:hAnsi="Times New Roman"/>
          <w:sz w:val="20"/>
        </w:rPr>
      </w:pPr>
      <w:r>
        <w:rPr>
          <w:rFonts w:ascii="Times New Roman" w:hAnsi="Times New Roman"/>
          <w:sz w:val="20"/>
        </w:rPr>
        <w:t xml:space="preserve">(1) if the form of such Securities has been established by or pursuant to Board Resolution as permitted by Section 201, that such form has been established in conformity with the provisions of this Indenture; </w:t>
      </w:r>
    </w:p>
    <w:p>
      <w:pPr>
        <w:pStyle w:val="TextBody"/>
        <w:spacing w:before="180" w:after="0"/>
        <w:rPr>
          <w:rFonts w:ascii="Times New Roman" w:hAnsi="Times New Roman"/>
          <w:sz w:val="20"/>
        </w:rPr>
      </w:pPr>
      <w:r>
        <w:rPr>
          <w:rFonts w:ascii="Times New Roman" w:hAnsi="Times New Roman"/>
          <w:sz w:val="20"/>
        </w:rPr>
        <w:t xml:space="preserve">(2) if the terms of such Securities have been established by or pursuant to Board Resolution as permitted by Section 301, that such terms have been established in conformity with the provisions of this Indenture; and </w:t>
      </w:r>
    </w:p>
    <w:p>
      <w:pPr>
        <w:pStyle w:val="TextBody"/>
        <w:spacing w:before="180" w:after="0"/>
        <w:rPr>
          <w:rFonts w:ascii="Times New Roman" w:hAnsi="Times New Roman"/>
          <w:sz w:val="20"/>
        </w:rPr>
      </w:pPr>
      <w:r>
        <w:rPr>
          <w:rFonts w:ascii="Times New Roman" w:hAnsi="Times New Roman"/>
          <w:sz w:val="20"/>
        </w:rPr>
        <w:t xml:space="preserve">(3) that such Securities, when authenticated and delivered by the Trustee and issued by the Company in the manner and subject to any conditions specified in such Opinion of Counsel, will constitute valid and legally binding obligations of the Company, and, if applicable, the notations of Subsidiary Guarantees endorsed thereon will constitute valid and legally binding obligations of the Subsidiary Guarantors, enforceable in accordance with their terms, subject to bankruptcy, insolvency, fraudulent transfer, reorganization, moratorium and similar laws of general applicability relating to or affecting creditors rights and to general equity principles.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 </w:t>
      </w:r>
    </w:p>
    <w:p>
      <w:pPr>
        <w:pStyle w:val="TextBody"/>
        <w:spacing w:before="180" w:after="0"/>
        <w:rPr>
          <w:rFonts w:ascii="Times New Roman" w:hAnsi="Times New Roman"/>
          <w:sz w:val="20"/>
        </w:rPr>
      </w:pPr>
      <w:r>
        <w:rPr>
          <w:rFonts w:ascii="Times New Roman" w:hAnsi="Times New Roman"/>
          <w:sz w:val="20"/>
        </w:rPr>
        <w:t xml:space="preserve">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 </w:t>
      </w:r>
    </w:p>
    <w:p>
      <w:pPr>
        <w:pStyle w:val="TextBody"/>
        <w:spacing w:before="180" w:after="0"/>
        <w:rPr>
          <w:rFonts w:ascii="Times New Roman" w:hAnsi="Times New Roman"/>
          <w:sz w:val="20"/>
        </w:rPr>
      </w:pPr>
      <w:r>
        <w:rPr>
          <w:rFonts w:ascii="Times New Roman" w:hAnsi="Times New Roman"/>
          <w:sz w:val="20"/>
        </w:rPr>
        <w:t xml:space="preserve">Each Security shall be dated the date of its authentication. </w:t>
      </w:r>
    </w:p>
    <w:p>
      <w:pPr>
        <w:pStyle w:val="TextBody"/>
        <w:spacing w:before="180" w:after="0"/>
        <w:rPr>
          <w:rFonts w:ascii="Times New Roman" w:hAnsi="Times New Roman"/>
          <w:sz w:val="20"/>
        </w:rPr>
      </w:pPr>
      <w:r>
        <w:rPr>
          <w:rFonts w:ascii="Times New Roman" w:hAnsi="Times New Roman"/>
          <w:sz w:val="20"/>
        </w:rPr>
        <w:t xml:space="preserve">No Security or Subsidiary Guarantee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 </w:t>
      </w:r>
    </w:p>
    <w:p>
      <w:pPr>
        <w:pStyle w:val="TextBody"/>
        <w:spacing w:before="180" w:after="0"/>
        <w:rPr>
          <w:rFonts w:ascii="Times New Roman" w:hAnsi="Times New Roman"/>
          <w:sz w:val="20"/>
        </w:rPr>
      </w:pPr>
      <w:r>
        <w:rPr>
          <w:rFonts w:ascii="Times New Roman" w:hAnsi="Times New Roman"/>
          <w:sz w:val="20"/>
        </w:rPr>
        <w:t xml:space="preserve">SECTION 304. </w:t>
      </w:r>
      <w:r>
        <w:rPr>
          <w:rFonts w:ascii="Times New Roman" w:hAnsi="Times New Roman"/>
          <w:b/>
          <w:sz w:val="20"/>
          <w:u w:val="single"/>
        </w:rPr>
        <w:t>Temporary Securities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and, if applicable, having endorsed thereon the notations of Subsidiary Guarantees in lieu of which they are issued and with such appropriate insertions, omissions, substitutions and other variations as the officers executing such Securities and, if applicable, notations of Subsidiary Guarantees may determine, as evidenced by their execution of such Securities and notations of Subsidiary Guarantees. </w:t>
      </w:r>
    </w:p>
    <w:p>
      <w:pPr>
        <w:pStyle w:val="TextBody"/>
        <w:spacing w:before="180" w:after="0"/>
        <w:rPr>
          <w:rFonts w:ascii="Times New Roman" w:hAnsi="Times New Roman"/>
          <w:sz w:val="20"/>
        </w:rPr>
      </w:pPr>
      <w:r>
        <w:rPr>
          <w:rFonts w:ascii="Times New Roman" w:hAnsi="Times New Roman"/>
          <w:sz w:val="20"/>
        </w:rPr>
        <w:t xml:space="preserve">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and, if applicable, having endorsed thereon notations of Subsidiary Guarantees executed by the Subsidiary Guarantors. Until so exchanged, the temporary Securities of any series shall in all respects be entitled to the same benefits under this Indenture as definitive Securities of such series and tenor.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305. </w:t>
      </w:r>
      <w:r>
        <w:rPr>
          <w:rFonts w:ascii="Times New Roman" w:hAnsi="Times New Roman"/>
          <w:b/>
          <w:sz w:val="20"/>
          <w:u w:val="single"/>
        </w:rPr>
        <w:t>Registration, Registration of Transfer and Exchange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The Company shall cause to be kept at the Corporate Trust Office of the Trustee a register (the register maintained in such office and in any other office or agency of the Company in a Place of Payment being herein sometimes collectively referred to as the </w:t>
      </w:r>
      <w:r>
        <w:rPr>
          <w:rFonts w:ascii="Times New Roman" w:hAnsi="Times New Roman"/>
          <w:b/>
          <w:sz w:val="20"/>
        </w:rPr>
        <w:t>Security Register</w:t>
      </w:r>
      <w:r>
        <w:rPr>
          <w:rFonts w:ascii="Times New Roman" w:hAnsi="Times New Roman"/>
          <w:sz w:val="20"/>
        </w:rPr>
        <w:t>) in which, subject to such reasonable regulations as it may prescribe, the Company shall provide for the registration of Securities and of transfers of Securities. The Trustee is hereby appointed </w:t>
      </w:r>
      <w:r>
        <w:rPr>
          <w:rFonts w:ascii="Times New Roman" w:hAnsi="Times New Roman"/>
          <w:b/>
          <w:sz w:val="20"/>
        </w:rPr>
        <w:t>Security Registrar</w:t>
      </w:r>
      <w:r>
        <w:rPr>
          <w:rFonts w:ascii="Times New Roman" w:hAnsi="Times New Roman"/>
          <w:sz w:val="20"/>
        </w:rPr>
        <w:t xml:space="preserve"> for the purpose of registering Securities and transfers of Securities as herein provided. </w:t>
      </w:r>
    </w:p>
    <w:p>
      <w:pPr>
        <w:pStyle w:val="TextBody"/>
        <w:spacing w:before="180" w:after="0"/>
        <w:rPr>
          <w:rFonts w:ascii="Times New Roman" w:hAnsi="Times New Roman"/>
          <w:sz w:val="20"/>
        </w:rPr>
      </w:pPr>
      <w:r>
        <w:rPr>
          <w:rFonts w:ascii="Times New Roman" w:hAnsi="Times New Roman"/>
          <w:sz w:val="20"/>
        </w:rPr>
        <w:t xml:space="preserve">Upon surrender for registration of transfer of any Security of a series at the office or agency of the Company in a Place of Payment for that series, the Company shall execute, if applicable the Subsidiary Guarantors shall execute the notations of Subsidiary Guarantees endorsed thereon and the Trustee shall authenticate and deliver, in the name of the designated transferee or transferees, one or more new Securities of the same series, of any authorized denominations and of like tenor and aggregate principal amount. </w:t>
      </w:r>
    </w:p>
    <w:p>
      <w:pPr>
        <w:pStyle w:val="TextBody"/>
        <w:spacing w:before="180" w:after="0"/>
        <w:rPr>
          <w:rFonts w:ascii="Times New Roman" w:hAnsi="Times New Roman"/>
          <w:sz w:val="20"/>
        </w:rPr>
      </w:pPr>
      <w:r>
        <w:rPr>
          <w:rFonts w:ascii="Times New Roman" w:hAnsi="Times New Roman"/>
          <w:sz w:val="20"/>
        </w:rPr>
        <w:t xml:space="preserve">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if applicable the Subsidiary Guarantors shall execute the notations of Subsidiary Guarantees endorsed thereon and the Trustee shall authenticate and deliver, the Securities which the Holder making the exchange is entitled to receive. </w:t>
      </w:r>
    </w:p>
    <w:p>
      <w:pPr>
        <w:pStyle w:val="TextBody"/>
        <w:spacing w:before="180" w:after="0"/>
        <w:rPr>
          <w:rFonts w:ascii="Times New Roman" w:hAnsi="Times New Roman"/>
          <w:sz w:val="20"/>
        </w:rPr>
      </w:pPr>
      <w:r>
        <w:rPr>
          <w:rFonts w:ascii="Times New Roman" w:hAnsi="Times New Roman"/>
          <w:sz w:val="20"/>
        </w:rPr>
        <w:t xml:space="preserve">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w:t>
      </w:r>
    </w:p>
    <w:p>
      <w:pPr>
        <w:pStyle w:val="TextBody"/>
        <w:spacing w:before="180" w:after="0"/>
        <w:rPr>
          <w:rFonts w:ascii="Times New Roman" w:hAnsi="Times New Roman"/>
          <w:sz w:val="20"/>
        </w:rPr>
      </w:pPr>
      <w:r>
        <w:rPr>
          <w:rFonts w:ascii="Times New Roman" w:hAnsi="Times New Roman"/>
          <w:sz w:val="20"/>
        </w:rPr>
        <w:t xml:space="preserve">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 </w:t>
      </w:r>
    </w:p>
    <w:p>
      <w:pPr>
        <w:pStyle w:val="TextBody"/>
        <w:spacing w:before="180" w:after="0"/>
        <w:rPr>
          <w:rFonts w:ascii="Times New Roman" w:hAnsi="Times New Roman"/>
          <w:sz w:val="20"/>
        </w:rPr>
      </w:pPr>
      <w:r>
        <w:rPr>
          <w:rFonts w:ascii="Times New Roman" w:hAnsi="Times New Roman"/>
          <w:sz w:val="20"/>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1107 or otherwise not involving any transfer. </w:t>
      </w:r>
    </w:p>
    <w:p>
      <w:pPr>
        <w:pStyle w:val="TextBody"/>
        <w:spacing w:before="180" w:after="0"/>
        <w:rPr>
          <w:rFonts w:ascii="Times New Roman" w:hAnsi="Times New Roman"/>
          <w:sz w:val="20"/>
        </w:rPr>
      </w:pPr>
      <w:r>
        <w:rPr>
          <w:rFonts w:ascii="Times New Roman" w:hAnsi="Times New Roman"/>
          <w:sz w:val="20"/>
        </w:rPr>
        <w:t xml:space="preserve">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provisions of clauses (1), (2), (3) and (4) below shall apply only to Global Securities: </w:t>
      </w:r>
    </w:p>
    <w:p>
      <w:pPr>
        <w:pStyle w:val="TextBody"/>
        <w:spacing w:before="180" w:after="0"/>
        <w:rPr>
          <w:rFonts w:ascii="Times New Roman" w:hAnsi="Times New Roman"/>
          <w:sz w:val="20"/>
        </w:rPr>
      </w:pPr>
      <w:r>
        <w:rPr>
          <w:rFonts w:ascii="Times New Roman" w:hAnsi="Times New Roman"/>
          <w:sz w:val="20"/>
        </w:rPr>
        <w:t xml:space="preserve">(1) 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 </w:t>
      </w:r>
    </w:p>
    <w:p>
      <w:pPr>
        <w:pStyle w:val="TextBody"/>
        <w:spacing w:before="180" w:after="0"/>
        <w:rPr>
          <w:rFonts w:ascii="Times New Roman" w:hAnsi="Times New Roman"/>
          <w:sz w:val="20"/>
        </w:rPr>
      </w:pPr>
      <w:r>
        <w:rPr>
          <w:rFonts w:ascii="Times New Roman" w:hAnsi="Times New Roman"/>
          <w:sz w:val="20"/>
        </w:rPr>
        <w:t xml:space="preserve">(2) 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and in either case the Company fails to appoint a successor Depositary within 90 days, (B) there shall have occurred and be continuing an Event of Default with respect to such Global Security and the Depositary shall have notified the Trustee of its decision to exchange such Global Security for Securities in certificated form, (C) subject to the rules of the Depositary, the Company shall have elected to terminate the book-entry system through the Depositary, or (D) there shall exist such circumstances, if any, in addition to or in lieu of the foregoing as have been specified for this purpose as contemplated by Section 301. </w:t>
      </w:r>
    </w:p>
    <w:p>
      <w:pPr>
        <w:pStyle w:val="TextBody"/>
        <w:spacing w:before="180" w:after="0"/>
        <w:rPr>
          <w:rFonts w:ascii="Times New Roman" w:hAnsi="Times New Roman"/>
          <w:sz w:val="20"/>
        </w:rPr>
      </w:pPr>
      <w:r>
        <w:rPr>
          <w:rFonts w:ascii="Times New Roman" w:hAnsi="Times New Roman"/>
          <w:sz w:val="20"/>
        </w:rPr>
        <w:t xml:space="preserve">(3) 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 </w:t>
      </w:r>
    </w:p>
    <w:p>
      <w:pPr>
        <w:pStyle w:val="TextBody"/>
        <w:spacing w:before="180" w:after="0"/>
        <w:rPr>
          <w:rFonts w:ascii="Times New Roman" w:hAnsi="Times New Roman"/>
          <w:sz w:val="20"/>
        </w:rPr>
      </w:pPr>
      <w:r>
        <w:rPr>
          <w:rFonts w:ascii="Times New Roman" w:hAnsi="Times New Roman"/>
          <w:sz w:val="20"/>
        </w:rPr>
        <w:t xml:space="preserve">(4) 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 </w:t>
      </w:r>
    </w:p>
    <w:p>
      <w:pPr>
        <w:pStyle w:val="TextBody"/>
        <w:spacing w:before="180" w:after="0"/>
        <w:rPr>
          <w:rFonts w:ascii="Times New Roman" w:hAnsi="Times New Roman"/>
          <w:sz w:val="20"/>
        </w:rPr>
      </w:pPr>
      <w:r>
        <w:rPr>
          <w:rFonts w:ascii="Times New Roman" w:hAnsi="Times New Roman"/>
          <w:sz w:val="20"/>
        </w:rPr>
        <w:t xml:space="preserve">SECTION 306. </w:t>
      </w:r>
      <w:r>
        <w:rPr>
          <w:rFonts w:ascii="Times New Roman" w:hAnsi="Times New Roman"/>
          <w:b/>
          <w:sz w:val="20"/>
          <w:u w:val="single"/>
        </w:rPr>
        <w:t>Mutilated, Destroyed, Lost and Stolen Securities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and, if applicable, the Subsidiary Guarantors shall execute the notation of Subsidiary Guarantee endorsed thereon. </w:t>
      </w:r>
    </w:p>
    <w:p>
      <w:pPr>
        <w:pStyle w:val="TextBody"/>
        <w:spacing w:before="180" w:after="0"/>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as may be required by them to save each of them and any agent of either of them harmless from any loss that any of them may suffer if a Security is replaced, then, in the absence of notice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Company or the Trustee that such Security has been acquired by a protected purchaser, the Company shall execute, and the Trustee shall authenticate and deliver, in lieu of any such destroyed, lost or stolen Security, a new Security of the same series and of like tenor and principal amount and bearing a number not contemporaneously outstanding, and, if applicable, the Subsidiary Guarantors shall execute the notation of Subsidiary Guarantee endorsed thereon. In case any such mutilated, destroyed, lost or stolen Security has become or is about to become due and payable or is to be converted, the Company in its discretion may, instead of issuing a new Security, pay or authorize the conversion of such Security (without surrender thereof save in the case of a mutilated Security). </w:t>
      </w:r>
    </w:p>
    <w:p>
      <w:pPr>
        <w:pStyle w:val="TextBody"/>
        <w:spacing w:before="180" w:after="0"/>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spacing w:before="180" w:after="0"/>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spacing w:before="180" w:after="0"/>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payment or conversion of mutilated, destroyed, lost or stolen Securities. </w:t>
      </w:r>
    </w:p>
    <w:p>
      <w:pPr>
        <w:pStyle w:val="TextBody"/>
        <w:spacing w:before="180" w:after="0"/>
        <w:rPr>
          <w:rFonts w:ascii="Times New Roman" w:hAnsi="Times New Roman"/>
          <w:sz w:val="20"/>
        </w:rPr>
      </w:pPr>
      <w:r>
        <w:rPr>
          <w:rFonts w:ascii="Times New Roman" w:hAnsi="Times New Roman"/>
          <w:sz w:val="20"/>
        </w:rPr>
        <w:t xml:space="preserve">SECTION 307. </w:t>
      </w:r>
      <w:r>
        <w:rPr>
          <w:rFonts w:ascii="Times New Roman" w:hAnsi="Times New Roman"/>
          <w:b/>
          <w:sz w:val="20"/>
          <w:u w:val="single"/>
        </w:rPr>
        <w:t>Payment of Interest; Interest Rights Preserved</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w:t>
      </w:r>
    </w:p>
    <w:p>
      <w:pPr>
        <w:pStyle w:val="TextBody"/>
        <w:spacing w:before="180" w:after="0"/>
        <w:rPr>
          <w:rFonts w:ascii="Times New Roman" w:hAnsi="Times New Roman"/>
          <w:sz w:val="20"/>
        </w:rPr>
      </w:pPr>
      <w:r>
        <w:rPr>
          <w:rFonts w:ascii="Times New Roman" w:hAnsi="Times New Roman"/>
          <w:sz w:val="20"/>
        </w:rPr>
        <w:t>Any interest on any Security of any series which is payable, but is not punctually paid or duly provided for, on any Interest Payment Date (herein called </w:t>
      </w:r>
      <w:r>
        <w:rPr>
          <w:rFonts w:ascii="Times New Roman" w:hAnsi="Times New Roman"/>
          <w:b/>
          <w:sz w:val="20"/>
        </w:rPr>
        <w:t>Defaulted Interest</w:t>
      </w:r>
      <w:r>
        <w:rPr>
          <w:rFonts w:ascii="Times New Roman" w:hAnsi="Times New Roman"/>
          <w:sz w:val="20"/>
        </w:rPr>
        <w:t xml:space="preserve">) shall forthwith cease to be payable to the Holder on the relevant Regular Record Date by virtue of having been such Holder, and such Defaulted Interest may be paid by the Company, at its election in each case, as provided in clause (1) or (2) below: </w:t>
      </w:r>
    </w:p>
    <w:p>
      <w:pPr>
        <w:pStyle w:val="TextBody"/>
        <w:spacing w:before="180" w:after="0"/>
        <w:rPr>
          <w:rFonts w:ascii="Times New Roman" w:hAnsi="Times New Roman"/>
          <w:sz w:val="20"/>
        </w:rPr>
      </w:pPr>
      <w:r>
        <w:rPr>
          <w:rFonts w:ascii="Times New Roman" w:hAnsi="Times New Roman"/>
          <w:sz w:val="20"/>
        </w:rPr>
        <w:t xml:space="preserve">(1) 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 </w:t>
      </w:r>
    </w:p>
    <w:p>
      <w:pPr>
        <w:pStyle w:val="TextBody"/>
        <w:spacing w:before="180" w:after="0"/>
        <w:rPr>
          <w:rFonts w:ascii="Times New Roman" w:hAnsi="Times New Roman"/>
          <w:sz w:val="20"/>
        </w:rPr>
      </w:pPr>
      <w:r>
        <w:rPr>
          <w:rFonts w:ascii="Times New Roman" w:hAnsi="Times New Roman"/>
          <w:sz w:val="20"/>
        </w:rPr>
        <w:t xml:space="preserve">(2) 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spacing w:before="180" w:after="0"/>
        <w:rPr>
          <w:rFonts w:ascii="Times New Roman" w:hAnsi="Times New Roman"/>
          <w:sz w:val="20"/>
        </w:rPr>
      </w:pPr>
      <w:r>
        <w:rPr>
          <w:rFonts w:ascii="Times New Roman" w:hAnsi="Times New Roman"/>
          <w:sz w:val="20"/>
        </w:rPr>
        <w:t xml:space="preserve">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spacing w:before="180" w:after="0"/>
        <w:rPr>
          <w:rFonts w:ascii="Times New Roman" w:hAnsi="Times New Roman"/>
          <w:sz w:val="20"/>
        </w:rPr>
      </w:pPr>
      <w:r>
        <w:rPr>
          <w:rFonts w:ascii="Times New Roman" w:hAnsi="Times New Roman"/>
          <w:sz w:val="20"/>
        </w:rPr>
        <w:t xml:space="preserve">SECTION 308. </w:t>
      </w:r>
      <w:r>
        <w:rPr>
          <w:rFonts w:ascii="Times New Roman" w:hAnsi="Times New Roman"/>
          <w:b/>
          <w:sz w:val="20"/>
          <w:u w:val="single"/>
        </w:rPr>
        <w:t>Persons Deemed Owners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Prior to due presentment of a Security for registration of transfer, the Company, the Subsidiary Guarantors, the Trustee and any agent of the Company, the Subsidiary Guarantors,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any Subsidiary Guarantor, the Trustee nor any agent of the Company, any Subsidiary Guarantor, or the Trustee shall be affected by notice to the contrary. </w:t>
      </w:r>
    </w:p>
    <w:p>
      <w:pPr>
        <w:pStyle w:val="TextBody"/>
        <w:spacing w:before="180" w:after="0"/>
        <w:rPr>
          <w:rFonts w:ascii="Times New Roman" w:hAnsi="Times New Roman"/>
          <w:sz w:val="20"/>
        </w:rPr>
      </w:pPr>
      <w:r>
        <w:rPr>
          <w:rFonts w:ascii="Times New Roman" w:hAnsi="Times New Roman"/>
          <w:sz w:val="20"/>
        </w:rPr>
        <w:t xml:space="preserve">SECTION 309. </w:t>
      </w:r>
      <w:r>
        <w:rPr>
          <w:rFonts w:ascii="Times New Roman" w:hAnsi="Times New Roman"/>
          <w:b/>
          <w:sz w:val="20"/>
          <w:u w:val="single"/>
        </w:rPr>
        <w:t>Cancellation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All Securities surrendered for payment, redemption, purchase,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Securities shall be authenticated in lieu of or in exchange for any Securities cancelled as provided in this Section, except as expressly permitted by this Indenture. All cancelled Securities held by the Trustee shall be disposed of in accordance with its standard procedures, unless as otherwise directed by a Company Order. </w:t>
      </w:r>
    </w:p>
    <w:p>
      <w:pPr>
        <w:pStyle w:val="TextBody"/>
        <w:spacing w:before="180" w:after="0"/>
        <w:rPr>
          <w:rFonts w:ascii="Times New Roman" w:hAnsi="Times New Roman"/>
          <w:sz w:val="20"/>
        </w:rPr>
      </w:pPr>
      <w:r>
        <w:rPr>
          <w:rFonts w:ascii="Times New Roman" w:hAnsi="Times New Roman"/>
          <w:sz w:val="20"/>
        </w:rPr>
        <w:t xml:space="preserve">SECTION 310. </w:t>
      </w:r>
      <w:r>
        <w:rPr>
          <w:rFonts w:ascii="Times New Roman" w:hAnsi="Times New Roman"/>
          <w:b/>
          <w:sz w:val="20"/>
          <w:u w:val="single"/>
        </w:rPr>
        <w:t>Computation of Interest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Except as otherwise specified as contemplated by Section 301 for Securities of any series, interest on the Securities of each series shall be computed on the basis of a 360-day year of twelve 30-day months. </w:t>
      </w:r>
    </w:p>
    <w:p>
      <w:pPr>
        <w:pStyle w:val="TextBody"/>
        <w:spacing w:before="270" w:after="0"/>
        <w:jc w:val="center"/>
        <w:rPr>
          <w:rFonts w:ascii="Times New Roman" w:hAnsi="Times New Roman"/>
          <w:b/>
          <w:sz w:val="20"/>
        </w:rPr>
      </w:pPr>
      <w:r>
        <w:rPr>
          <w:rFonts w:ascii="Times New Roman" w:hAnsi="Times New Roman"/>
          <w:b/>
          <w:sz w:val="20"/>
        </w:rPr>
        <w:t xml:space="preserve">ARTICLE FOUR </w:t>
      </w:r>
    </w:p>
    <w:p>
      <w:pPr>
        <w:pStyle w:val="TextBody"/>
        <w:spacing w:before="0" w:after="0"/>
        <w:jc w:val="center"/>
        <w:rPr>
          <w:rFonts w:ascii="Times New Roman" w:hAnsi="Times New Roman"/>
          <w:b/>
          <w:sz w:val="20"/>
        </w:rPr>
      </w:pPr>
      <w:r>
        <w:rPr>
          <w:rFonts w:ascii="Times New Roman" w:hAnsi="Times New Roman"/>
          <w:b/>
          <w:sz w:val="20"/>
        </w:rPr>
        <w:t xml:space="preserve">SATISFACTION AND DISCHARGE </w:t>
      </w:r>
    </w:p>
    <w:p>
      <w:pPr>
        <w:pStyle w:val="TextBody"/>
        <w:spacing w:before="180" w:after="0"/>
        <w:rPr>
          <w:rFonts w:ascii="Times New Roman" w:hAnsi="Times New Roman"/>
          <w:sz w:val="20"/>
        </w:rPr>
      </w:pPr>
      <w:r>
        <w:rPr>
          <w:rFonts w:ascii="Times New Roman" w:hAnsi="Times New Roman"/>
          <w:sz w:val="20"/>
        </w:rPr>
        <w:t xml:space="preserve">SECTION 401. </w:t>
      </w:r>
      <w:r>
        <w:rPr>
          <w:rFonts w:ascii="Times New Roman" w:hAnsi="Times New Roman"/>
          <w:b/>
          <w:sz w:val="20"/>
          <w:u w:val="single"/>
        </w:rPr>
        <w:t>Satisfaction and Discharge of Indenture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This Indenture shall upon Company Request cease to be of further effect with respect to the Securities of any series, and the Trustee, at the expense of the Company, shall execute proper instruments acknowledging satisfaction and discharge of this Indenture, when </w:t>
      </w:r>
    </w:p>
    <w:p>
      <w:pPr>
        <w:pStyle w:val="TextBody"/>
        <w:spacing w:before="180" w:after="0"/>
        <w:rPr>
          <w:rFonts w:ascii="Times New Roman" w:hAnsi="Times New Roman"/>
          <w:sz w:val="20"/>
        </w:rPr>
      </w:pPr>
      <w:r>
        <w:rPr>
          <w:rFonts w:ascii="Times New Roman" w:hAnsi="Times New Roman"/>
          <w:sz w:val="20"/>
        </w:rPr>
        <w:t xml:space="preserve">(1) either </w:t>
      </w:r>
    </w:p>
    <w:p>
      <w:pPr>
        <w:pStyle w:val="TextBody"/>
        <w:spacing w:before="90" w:after="0"/>
        <w:rPr>
          <w:rFonts w:ascii="Times New Roman" w:hAnsi="Times New Roman"/>
          <w:sz w:val="20"/>
        </w:rPr>
      </w:pPr>
      <w:r>
        <w:rPr>
          <w:rFonts w:ascii="Times New Roman" w:hAnsi="Times New Roman"/>
          <w:sz w:val="20"/>
        </w:rPr>
        <w:t xml:space="preserve">(A) all Securities of such series theretofore authenticated and delivered (other than (i) Securities of such series which have been destroyed, lost or stolen and which have been replaced or paid as provided in Section 306 and (ii) Securities of such series for whose payment money has theretofore been deposited in trust or segregated and held in trust by the Company and thereafter repaid to the Company or discharged from such trust, as provided in Section 1003) have been delivered to the Trustee for cancellation; or </w:t>
      </w:r>
    </w:p>
    <w:p>
      <w:pPr>
        <w:pStyle w:val="TextBody"/>
        <w:spacing w:before="90" w:after="0"/>
        <w:rPr>
          <w:rFonts w:ascii="Times New Roman" w:hAnsi="Times New Roman"/>
          <w:sz w:val="20"/>
        </w:rPr>
      </w:pPr>
      <w:r>
        <w:rPr>
          <w:rFonts w:ascii="Times New Roman" w:hAnsi="Times New Roman"/>
          <w:sz w:val="20"/>
        </w:rPr>
        <w:t xml:space="preserve">(B) all such Securities of such series not theretofore delivered to the Trustee for cancellation </w:t>
      </w:r>
    </w:p>
    <w:p>
      <w:pPr>
        <w:pStyle w:val="TextBody"/>
        <w:spacing w:before="90" w:after="0"/>
        <w:rPr>
          <w:rFonts w:ascii="Times New Roman" w:hAnsi="Times New Roman"/>
          <w:sz w:val="20"/>
        </w:rPr>
      </w:pPr>
      <w:r>
        <w:rPr>
          <w:rFonts w:ascii="Times New Roman" w:hAnsi="Times New Roman"/>
          <w:sz w:val="20"/>
        </w:rPr>
        <w:t xml:space="preserve">(i) have become due and payable, or </w:t>
      </w:r>
    </w:p>
    <w:p>
      <w:pPr>
        <w:pStyle w:val="TextBody"/>
        <w:spacing w:before="90" w:after="0"/>
        <w:rPr>
          <w:rFonts w:ascii="Times New Roman" w:hAnsi="Times New Roman"/>
          <w:sz w:val="20"/>
        </w:rPr>
      </w:pPr>
      <w:r>
        <w:rPr>
          <w:rFonts w:ascii="Times New Roman" w:hAnsi="Times New Roman"/>
          <w:sz w:val="20"/>
        </w:rPr>
        <w:t xml:space="preserve">(ii) will become due and payable at their Stated Maturity within one year, or </w:t>
      </w:r>
    </w:p>
    <w:p>
      <w:pPr>
        <w:pStyle w:val="TextBody"/>
        <w:spacing w:before="90" w:after="0"/>
        <w:rPr>
          <w:rFonts w:ascii="Times New Roman" w:hAnsi="Times New Roman"/>
          <w:sz w:val="20"/>
        </w:rPr>
      </w:pPr>
      <w:r>
        <w:rPr>
          <w:rFonts w:ascii="Times New Roman" w:hAnsi="Times New Roman"/>
          <w:sz w:val="20"/>
        </w:rPr>
        <w:t xml:space="preserve">(iii) are to be called for redemption within one year under arrangements satisfactory to the Trustee for the giving of notice of redemption by the Trustee in the name, and at the expense, of the Company, </w:t>
      </w:r>
    </w:p>
    <w:p>
      <w:pPr>
        <w:pStyle w:val="TextBody"/>
        <w:spacing w:before="180" w:after="0"/>
        <w:rPr>
          <w:rFonts w:ascii="Times New Roman" w:hAnsi="Times New Roman"/>
          <w:sz w:val="20"/>
        </w:rPr>
      </w:pPr>
      <w:r>
        <w:rPr>
          <w:rFonts w:ascii="Times New Roman" w:hAnsi="Times New Roman"/>
          <w:sz w:val="20"/>
        </w:rPr>
        <w:t xml:space="preserve">and the Company or, if applicable, a Subsidiary Guarantor, in the case of (i), (ii) or (iii) above, has irrevocably deposited or caused to be deposited with the Trustee as trust funds in trust for the purpose money in an amount sufficient, without consideration of any reinvestment of interest,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(2) the Company or a Subsidiary Guarantor has paid or caused to be paid all other sums payable hereunder by the Company and the Subsidiary Guarantors with respect to the Securities of such series; and </w:t>
      </w:r>
    </w:p>
    <w:p>
      <w:pPr>
        <w:pStyle w:val="TextBody"/>
        <w:spacing w:before="180" w:after="0"/>
        <w:rPr>
          <w:rFonts w:ascii="Times New Roman" w:hAnsi="Times New Roman"/>
          <w:sz w:val="20"/>
        </w:rPr>
      </w:pPr>
      <w:r>
        <w:rPr>
          <w:rFonts w:ascii="Times New Roman" w:hAnsi="Times New Roman"/>
          <w:sz w:val="20"/>
        </w:rPr>
        <w:t xml:space="preserve">(3) 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 </w:t>
      </w:r>
    </w:p>
    <w:p>
      <w:pPr>
        <w:pStyle w:val="TextBody"/>
        <w:spacing w:before="180" w:after="0"/>
        <w:rPr>
          <w:rFonts w:ascii="Times New Roman" w:hAnsi="Times New Roman"/>
          <w:sz w:val="20"/>
        </w:rPr>
      </w:pPr>
      <w:r>
        <w:rPr>
          <w:rFonts w:ascii="Times New Roman" w:hAnsi="Times New Roman"/>
          <w:sz w:val="20"/>
        </w:rPr>
        <w:t xml:space="preserve">Notwithstanding the satisfaction and discharge of this Indenture, the obligations of the Company to the Trustee under Section 607, the obligations of the Company with respect to the Securities of such series under Sections 304, 305, 306, 1002 and 1003, any surviving rights of conversion,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 </w:t>
      </w:r>
    </w:p>
    <w:p>
      <w:pPr>
        <w:pStyle w:val="TextBody"/>
        <w:spacing w:before="180" w:after="0"/>
        <w:rPr>
          <w:rFonts w:ascii="Times New Roman" w:hAnsi="Times New Roman"/>
          <w:sz w:val="20"/>
        </w:rPr>
      </w:pPr>
      <w:r>
        <w:rPr>
          <w:rFonts w:ascii="Times New Roman" w:hAnsi="Times New Roman"/>
          <w:sz w:val="20"/>
        </w:rPr>
        <w:t xml:space="preserve">SECTION 402. </w:t>
      </w:r>
      <w:r>
        <w:rPr>
          <w:rFonts w:ascii="Times New Roman" w:hAnsi="Times New Roman"/>
          <w:b/>
          <w:sz w:val="20"/>
          <w:u w:val="single"/>
        </w:rPr>
        <w:t>Application of Trust Money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w:t>
      </w:r>
    </w:p>
    <w:p>
      <w:pPr>
        <w:pStyle w:val="TextBody"/>
        <w:spacing w:before="270" w:after="0"/>
        <w:jc w:val="center"/>
        <w:rPr>
          <w:rFonts w:ascii="Times New Roman" w:hAnsi="Times New Roman"/>
          <w:b/>
          <w:sz w:val="20"/>
        </w:rPr>
      </w:pPr>
      <w:r>
        <w:rPr>
          <w:rFonts w:ascii="Times New Roman" w:hAnsi="Times New Roman"/>
          <w:b/>
          <w:sz w:val="20"/>
        </w:rPr>
        <w:t xml:space="preserve">ARTICLE FIVE </w:t>
      </w:r>
    </w:p>
    <w:p>
      <w:pPr>
        <w:pStyle w:val="TextBody"/>
        <w:spacing w:before="0" w:after="0"/>
        <w:jc w:val="center"/>
        <w:rPr>
          <w:rFonts w:ascii="Times New Roman" w:hAnsi="Times New Roman"/>
          <w:b/>
          <w:sz w:val="20"/>
        </w:rPr>
      </w:pPr>
      <w:r>
        <w:rPr>
          <w:rFonts w:ascii="Times New Roman" w:hAnsi="Times New Roman"/>
          <w:b/>
          <w:sz w:val="20"/>
        </w:rPr>
        <w:t xml:space="preserve">REMEDIES </w:t>
      </w:r>
    </w:p>
    <w:p>
      <w:pPr>
        <w:pStyle w:val="TextBody"/>
        <w:spacing w:before="180" w:after="0"/>
        <w:rPr>
          <w:rFonts w:ascii="Times New Roman" w:hAnsi="Times New Roman"/>
          <w:sz w:val="20"/>
        </w:rPr>
      </w:pPr>
      <w:r>
        <w:rPr>
          <w:rFonts w:ascii="Times New Roman" w:hAnsi="Times New Roman"/>
          <w:sz w:val="20"/>
        </w:rPr>
        <w:t xml:space="preserve">SECTION 501. </w:t>
      </w:r>
      <w:r>
        <w:rPr>
          <w:rFonts w:ascii="Times New Roman" w:hAnsi="Times New Roman"/>
          <w:b/>
          <w:sz w:val="20"/>
          <w:u w:val="single"/>
        </w:rPr>
        <w:t>Events of Default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Event of Default</w:t>
      </w:r>
      <w:r>
        <w:rPr>
          <w:rFonts w:ascii="Times New Roman" w:hAnsi="Times New Roman"/>
          <w:sz w:val="20"/>
        </w:rPr>
        <w:t xml:space="preserve">,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spacing w:before="180" w:after="0"/>
        <w:rPr>
          <w:rFonts w:ascii="Times New Roman" w:hAnsi="Times New Roman"/>
          <w:sz w:val="20"/>
        </w:rPr>
      </w:pPr>
      <w:r>
        <w:rPr>
          <w:rFonts w:ascii="Times New Roman" w:hAnsi="Times New Roman"/>
          <w:sz w:val="20"/>
        </w:rPr>
        <w:t xml:space="preserve">(1) default in the payment of any interest upon any Security of that series when it becomes due and payable, and continuance of such default for a period of 30 days; or </w:t>
      </w:r>
    </w:p>
    <w:p>
      <w:pPr>
        <w:pStyle w:val="TextBody"/>
        <w:spacing w:before="180" w:after="0"/>
        <w:rPr>
          <w:rFonts w:ascii="Times New Roman" w:hAnsi="Times New Roman"/>
          <w:sz w:val="20"/>
        </w:rPr>
      </w:pPr>
      <w:r>
        <w:rPr>
          <w:rFonts w:ascii="Times New Roman" w:hAnsi="Times New Roman"/>
          <w:sz w:val="20"/>
        </w:rPr>
        <w:t xml:space="preserve">(2) default in the payment of the principal of or any premium on any Security of that series at its Maturity; or </w:t>
      </w:r>
    </w:p>
    <w:p>
      <w:pPr>
        <w:pStyle w:val="TextBody"/>
        <w:spacing w:before="180" w:after="0"/>
        <w:rPr>
          <w:rFonts w:ascii="Times New Roman" w:hAnsi="Times New Roman"/>
          <w:sz w:val="20"/>
        </w:rPr>
      </w:pPr>
      <w:r>
        <w:rPr>
          <w:rFonts w:ascii="Times New Roman" w:hAnsi="Times New Roman"/>
          <w:sz w:val="20"/>
        </w:rPr>
        <w:t xml:space="preserve">(3) default in the deposit of any sinking fund payment, when and as due by the terms of a Security of that series;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(4) default in the performance, or breach, of any covenant of the Company or, if the Subsidiary Guarantors have issued Subsidiary Guarantees with respect to the Securities of such series, any Subsidiary Guarantor in Article Eight of this Indenture; or </w:t>
      </w:r>
    </w:p>
    <w:p>
      <w:pPr>
        <w:pStyle w:val="TextBody"/>
        <w:spacing w:before="180" w:after="0"/>
        <w:rPr>
          <w:rFonts w:ascii="Times New Roman" w:hAnsi="Times New Roman"/>
          <w:sz w:val="20"/>
        </w:rPr>
      </w:pPr>
      <w:r>
        <w:rPr>
          <w:rFonts w:ascii="Times New Roman" w:hAnsi="Times New Roman"/>
          <w:sz w:val="20"/>
        </w:rPr>
        <w:t>(5) default in the performance, or breach, of any covenant or warranty of the Company or, if the Subsidiary Guarantors have issued Subsidiary Guarantees with respect to the Securities of such series, any Subsidiary Guarantor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w:t>
      </w:r>
      <w:r>
        <w:rPr>
          <w:rFonts w:ascii="Times New Roman" w:hAnsi="Times New Roman"/>
          <w:b/>
          <w:sz w:val="20"/>
        </w:rPr>
        <w:t>Notice of Default</w:t>
      </w:r>
      <w:r>
        <w:rPr>
          <w:rFonts w:ascii="Times New Roman" w:hAnsi="Times New Roman"/>
          <w:sz w:val="20"/>
        </w:rPr>
        <w:t xml:space="preserve"> hereunder; or </w:t>
      </w:r>
    </w:p>
    <w:p>
      <w:pPr>
        <w:pStyle w:val="TextBody"/>
        <w:spacing w:before="180" w:after="0"/>
        <w:rPr>
          <w:rFonts w:ascii="Times New Roman" w:hAnsi="Times New Roman"/>
          <w:sz w:val="20"/>
        </w:rPr>
      </w:pPr>
      <w:r>
        <w:rPr>
          <w:rFonts w:ascii="Times New Roman" w:hAnsi="Times New Roman"/>
          <w:sz w:val="20"/>
        </w:rPr>
        <w:t xml:space="preserve">(6) any Debt of the Company, any Significant Subsidiary or, if the Subsidiary Guarantors have issued Subsidiary Guarantees with respect to the Securities of such series, any Subsidiary Guarantor is not paid within any applicable grace period after final maturity or is accelerated by the holders thereof because of a default and the total amount of such Debt unpaid or accelerated exceeds $20.0 million, or its foreign currency equivalent at the time; or </w:t>
      </w:r>
    </w:p>
    <w:p>
      <w:pPr>
        <w:pStyle w:val="TextBody"/>
        <w:spacing w:before="180" w:after="0"/>
        <w:rPr>
          <w:rFonts w:ascii="Times New Roman" w:hAnsi="Times New Roman"/>
          <w:sz w:val="20"/>
        </w:rPr>
      </w:pPr>
      <w:r>
        <w:rPr>
          <w:rFonts w:ascii="Times New Roman" w:hAnsi="Times New Roman"/>
          <w:sz w:val="20"/>
        </w:rPr>
        <w:t xml:space="preserve">(7) any judgment or decree for the payment of money in excess of $20.0 million or its foreign currency equivalent at the time it is entered against the Company, any Significant Subsidiary or, if the Subsidiary Guarantors have issued Subsidiary Guarantees with respect to the Securities of such series, any Subsidiary Guarantor, remains outstanding for a period of 60 consecutive days following the entry of such judgment or decree and is not discharged, waived or the execution thereof stayed; or </w:t>
      </w:r>
    </w:p>
    <w:p>
      <w:pPr>
        <w:pStyle w:val="TextBody"/>
        <w:spacing w:before="180" w:after="0"/>
        <w:rPr>
          <w:rFonts w:ascii="Times New Roman" w:hAnsi="Times New Roman"/>
          <w:sz w:val="20"/>
        </w:rPr>
      </w:pPr>
      <w:r>
        <w:rPr>
          <w:rFonts w:ascii="Times New Roman" w:hAnsi="Times New Roman"/>
          <w:sz w:val="20"/>
        </w:rPr>
        <w:t xml:space="preserve">(8) the entry by a court having jurisdiction in the premises of (A) a decree or order for relief in respect of the Company, any Significant Subsidiary or, if the Subsidiary Guarantors have issued Subsidiary Guarantees with respect to the Securities of such series, any Subsidiary Guarantor in an involuntary case or proceeding under any applicable Federal or State bankruptcy, insolvency, reorganization or other similar law or (B) a decree or order adjudging the Company, any Significant Subsidiary or any such Subsidiary Guarantor a bankrupt or insolvent, or approving as properly filed a petition seeking reorganization, arrangement, adjustment or composition of or in respect of the Company, any Significant Subsidiary or any such Subsidiary Guarantor under any applicable Federal or State law, or appointing a custodian, receiver, liquidator, assignee, trustee, sequestrator or other similar official of the Company, any Significant Subsidiary or any such Subsidiary Guarantor or of any substantial part of its or their property, or ordering the winding up or liquidation of its or their affairs, and the continuance of any such decree or order for relief or any such other decree or order unstayed and in effect for a period of 60 consecutive days;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(9) the commencement by the Company, any Significant Subsidiary or, if the Subsidiary Guarantors have issued Subsidiary Guarantees with respect to the Securities of such series, any Subsidiary Guarantor of a voluntary case or proceeding under any applicable Federal or State bankruptcy, insolvency, reorganization or other similar law or of any other case or proceeding to be adjudicated a bankrupt or insolvent, or the consent by it or them to the entry of a decree or order for relief in respect of the Company, any Significant Subsidiary or any such Subsidiary Guarantor in an involuntary case or proceeding under any applicable Federal or State bankruptcy, insolvency, reorganization or other similar law or to the commencement of any bankruptcy or insolvency case or proceeding against it or them, or the filing by it or them of a petition or answer or consent seeking reorganization or relief under any applicable Federal or State law, or the consent by it or them to the filing of such petition or to the appointment of or taking possession by a custodian, receiver, liquidator, assignee, trustee, sequestrator or other similar official of the Company, any Significant Subsidiary or any such Subsidiary Guarantor or of any substantial part of its or their property, or the making by it or them of an assignment for the benefit of creditors, or the admission by it or them in writing of its or their inability to pay its or their debts generally as they become due, or the taking of corporate action by the Company, any Significant Subsidiary or any such Subsidiary Guarantor in furtherance of any such action; or </w:t>
      </w:r>
    </w:p>
    <w:p>
      <w:pPr>
        <w:pStyle w:val="TextBody"/>
        <w:spacing w:before="180" w:after="0"/>
        <w:rPr>
          <w:rFonts w:ascii="Times New Roman" w:hAnsi="Times New Roman"/>
          <w:sz w:val="20"/>
        </w:rPr>
      </w:pPr>
      <w:r>
        <w:rPr>
          <w:rFonts w:ascii="Times New Roman" w:hAnsi="Times New Roman"/>
          <w:sz w:val="20"/>
        </w:rPr>
        <w:t xml:space="preserve">(10) in the event the Subsidiary Guarantors have issued Subsidiary Guarantees with respect to the Securities of such series, the Subsidiary Guarantee of any Subsidiary Guarantor is held by a final non-appealable order or judgment of a court of competent jurisdiction to be unenforceable or invalid or ceases for any reason to be in full force and effect (other than in accordance with the terms of this Indenture) or any Subsidiary Guarantor or any Person acting on behalf of any Subsidiary Guarantor denies or disaffirms such Subsidiary Guarantors obligations under its Subsidiary Guarantee (other than by reason of a release of such Subsidiary Guarantor from its Subsidiary Guarantee in accordance with the terms of this Indenture); or </w:t>
      </w:r>
    </w:p>
    <w:p>
      <w:pPr>
        <w:pStyle w:val="TextBody"/>
        <w:spacing w:before="180" w:after="0"/>
        <w:rPr>
          <w:rFonts w:ascii="Times New Roman" w:hAnsi="Times New Roman"/>
          <w:sz w:val="20"/>
        </w:rPr>
      </w:pPr>
      <w:r>
        <w:rPr>
          <w:rFonts w:ascii="Times New Roman" w:hAnsi="Times New Roman"/>
          <w:sz w:val="20"/>
        </w:rPr>
        <w:t xml:space="preserve">(11) any other Event of Default provided with respect to Securities of that series. </w:t>
      </w:r>
    </w:p>
    <w:p>
      <w:pPr>
        <w:pStyle w:val="TextBody"/>
        <w:spacing w:before="180" w:after="0"/>
        <w:rPr>
          <w:rFonts w:ascii="Times New Roman" w:hAnsi="Times New Roman"/>
          <w:sz w:val="20"/>
        </w:rPr>
      </w:pPr>
      <w:r>
        <w:rPr>
          <w:rFonts w:ascii="Times New Roman" w:hAnsi="Times New Roman"/>
          <w:sz w:val="20"/>
        </w:rPr>
        <w:t xml:space="preserve">SECTION 502. </w:t>
      </w:r>
      <w:r>
        <w:rPr>
          <w:rFonts w:ascii="Times New Roman" w:hAnsi="Times New Roman"/>
          <w:b/>
          <w:sz w:val="20"/>
          <w:u w:val="single"/>
        </w:rPr>
        <w:t>Acceleration of Maturity; Rescission and Annulment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an Event of Default (other than an Event of Default with respect to the Company specified in Section 501(8) or 501(9))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together with any accrued and unpaid interest thereon, shall become immediately due and payable. If an Event of Default with respect to the Company specified in Section 501(8) or 501 (9)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together with any accrued and unpaid interest thereon, shall automatically, and without any declaration or other action on the part of the Trustee or any Holder, become immediately due and payable.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w:t>
      </w:r>
    </w:p>
    <w:p>
      <w:pPr>
        <w:pStyle w:val="TextBody"/>
        <w:spacing w:before="180" w:after="0"/>
        <w:rPr>
          <w:rFonts w:ascii="Times New Roman" w:hAnsi="Times New Roman"/>
          <w:sz w:val="20"/>
        </w:rPr>
      </w:pPr>
      <w:r>
        <w:rPr>
          <w:rFonts w:ascii="Times New Roman" w:hAnsi="Times New Roman"/>
          <w:sz w:val="20"/>
        </w:rPr>
        <w:t xml:space="preserve">(1) the Company or, if applicable, any Subsidiary Guarantor has paid or deposited with the Trustee a sum sufficient to pay </w:t>
      </w:r>
    </w:p>
    <w:p>
      <w:pPr>
        <w:pStyle w:val="TextBody"/>
        <w:spacing w:before="90" w:after="0"/>
        <w:rPr>
          <w:rFonts w:ascii="Times New Roman" w:hAnsi="Times New Roman"/>
          <w:sz w:val="20"/>
        </w:rPr>
      </w:pPr>
      <w:r>
        <w:rPr>
          <w:rFonts w:ascii="Times New Roman" w:hAnsi="Times New Roman"/>
          <w:sz w:val="20"/>
        </w:rPr>
        <w:t xml:space="preserve">(A) all overdue interest on all Securities of that series, </w:t>
      </w:r>
    </w:p>
    <w:p>
      <w:pPr>
        <w:pStyle w:val="TextBody"/>
        <w:spacing w:before="90" w:after="0"/>
        <w:rPr>
          <w:rFonts w:ascii="Times New Roman" w:hAnsi="Times New Roman"/>
          <w:sz w:val="20"/>
        </w:rPr>
      </w:pPr>
      <w:r>
        <w:rPr>
          <w:rFonts w:ascii="Times New Roman" w:hAnsi="Times New Roman"/>
          <w:sz w:val="20"/>
        </w:rPr>
        <w:t xml:space="preserve">(B) the principal of (and premium, if any, on) any Securities of that series which have become due otherwise than by such declaration of acceleration and any interest thereon at the rate or rates prescribed therefor in such Securities, </w:t>
      </w:r>
    </w:p>
    <w:p>
      <w:pPr>
        <w:pStyle w:val="TextBody"/>
        <w:spacing w:before="90" w:after="0"/>
        <w:rPr>
          <w:rFonts w:ascii="Times New Roman" w:hAnsi="Times New Roman"/>
          <w:sz w:val="20"/>
        </w:rPr>
      </w:pPr>
      <w:r>
        <w:rPr>
          <w:rFonts w:ascii="Times New Roman" w:hAnsi="Times New Roman"/>
          <w:sz w:val="20"/>
        </w:rPr>
        <w:t xml:space="preserve">(C) to the extent that payment of such interest is lawful, interest upon overdue interest at the rate or rates prescribed therefor in such Securities, and </w:t>
      </w:r>
    </w:p>
    <w:p>
      <w:pPr>
        <w:pStyle w:val="TextBody"/>
        <w:spacing w:before="90" w:after="0"/>
        <w:rPr>
          <w:rFonts w:ascii="Times New Roman" w:hAnsi="Times New Roman"/>
          <w:sz w:val="20"/>
        </w:rPr>
      </w:pPr>
      <w:r>
        <w:rPr>
          <w:rFonts w:ascii="Times New Roman" w:hAnsi="Times New Roman"/>
          <w:sz w:val="20"/>
        </w:rPr>
        <w:t xml:space="preserve">(D) all sums paid or advanced by the Trustee hereunder and the reasonable compensation, expenses, disbursements and advances of the Trustee, its agents and counsel; and </w:t>
      </w:r>
    </w:p>
    <w:p>
      <w:pPr>
        <w:pStyle w:val="TextBody"/>
        <w:spacing w:before="180" w:after="0"/>
        <w:rPr>
          <w:rFonts w:ascii="Times New Roman" w:hAnsi="Times New Roman"/>
          <w:sz w:val="20"/>
        </w:rPr>
      </w:pPr>
      <w:r>
        <w:rPr>
          <w:rFonts w:ascii="Times New Roman" w:hAnsi="Times New Roman"/>
          <w:sz w:val="20"/>
        </w:rPr>
        <w:t xml:space="preserve">(2) all Events of Default with respect to Securities of that series, other than the non-payment of the principal of Securities of that series which has become due solely by such declaration of acceleration, have been cured or waived as provided in Section 513. </w:t>
      </w:r>
    </w:p>
    <w:p>
      <w:pPr>
        <w:pStyle w:val="TextBody"/>
        <w:spacing w:before="180" w:after="0"/>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spacing w:before="180" w:after="0"/>
        <w:rPr>
          <w:rFonts w:ascii="Times New Roman" w:hAnsi="Times New Roman"/>
          <w:sz w:val="20"/>
        </w:rPr>
      </w:pPr>
      <w:r>
        <w:rPr>
          <w:rFonts w:ascii="Times New Roman" w:hAnsi="Times New Roman"/>
          <w:sz w:val="20"/>
        </w:rPr>
        <w:t xml:space="preserve">SECTION 503. </w:t>
      </w:r>
      <w:r>
        <w:rPr>
          <w:rFonts w:ascii="Times New Roman" w:hAnsi="Times New Roman"/>
          <w:b/>
          <w:sz w:val="20"/>
          <w:u w:val="single"/>
        </w:rPr>
        <w:t>Collection of Indebtedness and Suits for Enforcement by Trustee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covenants that if </w:t>
      </w:r>
    </w:p>
    <w:p>
      <w:pPr>
        <w:pStyle w:val="TextBody"/>
        <w:spacing w:before="180" w:after="0"/>
        <w:rPr>
          <w:rFonts w:ascii="Times New Roman" w:hAnsi="Times New Roman"/>
          <w:sz w:val="20"/>
        </w:rPr>
      </w:pPr>
      <w:r>
        <w:rPr>
          <w:rFonts w:ascii="Times New Roman" w:hAnsi="Times New Roman"/>
          <w:sz w:val="20"/>
        </w:rPr>
        <w:t xml:space="preserve">(1) default is made in the payment of any interest on any Security when such interest becomes due and payable and such default continues for a period of 30 days, or </w:t>
      </w:r>
    </w:p>
    <w:p>
      <w:pPr>
        <w:pStyle w:val="TextBody"/>
        <w:spacing w:before="180" w:after="0"/>
        <w:rPr>
          <w:rFonts w:ascii="Times New Roman" w:hAnsi="Times New Roman"/>
          <w:sz w:val="20"/>
        </w:rPr>
      </w:pPr>
      <w:r>
        <w:rPr>
          <w:rFonts w:ascii="Times New Roman" w:hAnsi="Times New Roman"/>
          <w:sz w:val="20"/>
        </w:rPr>
        <w:t xml:space="preserve">(2) default is made in the payment of the principal of (or premium, if any, on) any Security at the Maturity thereof, </w:t>
      </w:r>
    </w:p>
    <w:p>
      <w:pPr>
        <w:pStyle w:val="TextBody"/>
        <w:spacing w:before="180" w:after="0"/>
        <w:rPr>
          <w:rFonts w:ascii="Times New Roman" w:hAnsi="Times New Roman"/>
          <w:sz w:val="20"/>
        </w:rPr>
      </w:pPr>
      <w:r>
        <w:rPr>
          <w:rFonts w:ascii="Times New Roman" w:hAnsi="Times New Roman"/>
          <w:sz w:val="20"/>
        </w:rPr>
        <w:t xml:space="preserve">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spacing w:before="180" w:after="0"/>
        <w:rPr>
          <w:rFonts w:ascii="Times New Roman" w:hAnsi="Times New Roman"/>
          <w:sz w:val="20"/>
        </w:rPr>
      </w:pPr>
      <w:r>
        <w:rPr>
          <w:rFonts w:ascii="Times New Roman" w:hAnsi="Times New Roman"/>
          <w:sz w:val="20"/>
        </w:rPr>
        <w:t xml:space="preserve">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504. </w:t>
      </w:r>
      <w:r>
        <w:rPr>
          <w:rFonts w:ascii="Times New Roman" w:hAnsi="Times New Roman"/>
          <w:b/>
          <w:sz w:val="20"/>
          <w:u w:val="single"/>
        </w:rPr>
        <w:t>Trustee May File Proofs of Claim</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case of any judicial proceeding relative to the Company, any Subsidiary Guarantor or any other obligor upon the Securities, or the property or creditors of the Company, any Subsidiary Guarantor or any other obligor upon the Securities,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 </w:t>
      </w:r>
    </w:p>
    <w:p>
      <w:pPr>
        <w:pStyle w:val="TextBody"/>
        <w:spacing w:before="180" w:after="0"/>
        <w:rPr>
          <w:rFonts w:ascii="Times New Roman" w:hAnsi="Times New Roman"/>
          <w:sz w:val="20"/>
        </w:rPr>
      </w:pPr>
      <w:r>
        <w:rPr>
          <w:rFonts w:ascii="Times New Roman" w:hAnsi="Times New Roman"/>
          <w:sz w:val="20"/>
        </w:rPr>
        <w:t xml:space="preserve">No provision of this Indenture shall be deemed to authorize the Trustee to authorize or consent to or accept or adopt on behalf of any Holder any plan of reorganization, arrangement, adjustment or composition affecting the Securities or any Subsidiary Guarantee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 </w:t>
      </w:r>
    </w:p>
    <w:p>
      <w:pPr>
        <w:pStyle w:val="TextBody"/>
        <w:spacing w:before="180" w:after="0"/>
        <w:rPr>
          <w:rFonts w:ascii="Times New Roman" w:hAnsi="Times New Roman"/>
          <w:sz w:val="20"/>
        </w:rPr>
      </w:pPr>
      <w:r>
        <w:rPr>
          <w:rFonts w:ascii="Times New Roman" w:hAnsi="Times New Roman"/>
          <w:sz w:val="20"/>
        </w:rPr>
        <w:t xml:space="preserve">SECTION 505. </w:t>
      </w:r>
      <w:r>
        <w:rPr>
          <w:rFonts w:ascii="Times New Roman" w:hAnsi="Times New Roman"/>
          <w:b/>
          <w:sz w:val="20"/>
          <w:u w:val="single"/>
        </w:rPr>
        <w:t>Trustee May Enforce Claims Without Possession of Securities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All rights of action and claims under this Indenture or the Securities or any Subsidiary Guarantee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w:t>
      </w:r>
    </w:p>
    <w:p>
      <w:pPr>
        <w:pStyle w:val="TextBody"/>
        <w:spacing w:before="180" w:after="0"/>
        <w:rPr>
          <w:rFonts w:ascii="Times New Roman" w:hAnsi="Times New Roman"/>
          <w:sz w:val="20"/>
        </w:rPr>
      </w:pPr>
      <w:r>
        <w:rPr>
          <w:rFonts w:ascii="Times New Roman" w:hAnsi="Times New Roman"/>
          <w:sz w:val="20"/>
        </w:rPr>
        <w:t xml:space="preserve">SECTION 506. </w:t>
      </w:r>
      <w:r>
        <w:rPr>
          <w:rFonts w:ascii="Times New Roman" w:hAnsi="Times New Roman"/>
          <w:b/>
          <w:sz w:val="20"/>
          <w:u w:val="single"/>
        </w:rPr>
        <w:t>Application of Money Collected</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 </w:t>
      </w:r>
    </w:p>
    <w:p>
      <w:pPr>
        <w:pStyle w:val="TextBody"/>
        <w:spacing w:before="180" w:after="0"/>
        <w:rPr>
          <w:rFonts w:ascii="Times New Roman" w:hAnsi="Times New Roman"/>
          <w:sz w:val="20"/>
        </w:rPr>
      </w:pPr>
      <w:r>
        <w:rPr>
          <w:rFonts w:ascii="Times New Roman" w:hAnsi="Times New Roman"/>
          <w:sz w:val="20"/>
        </w:rPr>
        <w:t xml:space="preserve">FIRST: To the payment of all amounts due the Trustee under Section 607;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 </w:t>
      </w:r>
    </w:p>
    <w:p>
      <w:pPr>
        <w:pStyle w:val="TextBody"/>
        <w:spacing w:before="180" w:after="0"/>
        <w:rPr>
          <w:rFonts w:ascii="Times New Roman" w:hAnsi="Times New Roman"/>
          <w:sz w:val="20"/>
        </w:rPr>
      </w:pPr>
      <w:r>
        <w:rPr>
          <w:rFonts w:ascii="Times New Roman" w:hAnsi="Times New Roman"/>
          <w:sz w:val="20"/>
        </w:rPr>
        <w:t xml:space="preserve">THIRD: The balance, if any, to the Company or to such other Person as a court of competent jurisdiction shall direct. </w:t>
      </w:r>
    </w:p>
    <w:p>
      <w:pPr>
        <w:pStyle w:val="TextBody"/>
        <w:spacing w:before="180" w:after="0"/>
        <w:rPr>
          <w:rFonts w:ascii="Times New Roman" w:hAnsi="Times New Roman"/>
          <w:sz w:val="20"/>
        </w:rPr>
      </w:pPr>
      <w:r>
        <w:rPr>
          <w:rFonts w:ascii="Times New Roman" w:hAnsi="Times New Roman"/>
          <w:sz w:val="20"/>
        </w:rPr>
        <w:t xml:space="preserve">SECTION 507. </w:t>
      </w:r>
      <w:r>
        <w:rPr>
          <w:rFonts w:ascii="Times New Roman" w:hAnsi="Times New Roman"/>
          <w:b/>
          <w:sz w:val="20"/>
          <w:u w:val="single"/>
        </w:rPr>
        <w:t>Limitation on Suits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spacing w:before="180" w:after="0"/>
        <w:rPr>
          <w:rFonts w:ascii="Times New Roman" w:hAnsi="Times New Roman"/>
          <w:sz w:val="20"/>
        </w:rPr>
      </w:pPr>
      <w:r>
        <w:rPr>
          <w:rFonts w:ascii="Times New Roman" w:hAnsi="Times New Roman"/>
          <w:sz w:val="20"/>
        </w:rPr>
        <w:t xml:space="preserve">(1) such Holder has previously given written notice to the Trustee of a continuing Event of Default with respect to the Securities of that series; </w:t>
      </w:r>
    </w:p>
    <w:p>
      <w:pPr>
        <w:pStyle w:val="TextBody"/>
        <w:spacing w:before="180" w:after="0"/>
        <w:rPr>
          <w:rFonts w:ascii="Times New Roman" w:hAnsi="Times New Roman"/>
          <w:sz w:val="20"/>
        </w:rPr>
      </w:pPr>
      <w:r>
        <w:rPr>
          <w:rFonts w:ascii="Times New Roman" w:hAnsi="Times New Roman"/>
          <w:sz w:val="20"/>
        </w:rPr>
        <w:t xml:space="preserve">(2)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spacing w:before="180" w:after="0"/>
        <w:rPr>
          <w:rFonts w:ascii="Times New Roman" w:hAnsi="Times New Roman"/>
          <w:sz w:val="20"/>
        </w:rPr>
      </w:pPr>
      <w:r>
        <w:rPr>
          <w:rFonts w:ascii="Times New Roman" w:hAnsi="Times New Roman"/>
          <w:sz w:val="20"/>
        </w:rPr>
        <w:t xml:space="preserve">(3) such Holder or Holders have offered to the Trustee reasonable security or indemnity against the costs, expenses and liabilities to be incurred in compliance with such request; </w:t>
      </w:r>
    </w:p>
    <w:p>
      <w:pPr>
        <w:pStyle w:val="TextBody"/>
        <w:spacing w:before="180" w:after="0"/>
        <w:rPr>
          <w:rFonts w:ascii="Times New Roman" w:hAnsi="Times New Roman"/>
          <w:sz w:val="20"/>
        </w:rPr>
      </w:pPr>
      <w:r>
        <w:rPr>
          <w:rFonts w:ascii="Times New Roman" w:hAnsi="Times New Roman"/>
          <w:sz w:val="20"/>
        </w:rPr>
        <w:t xml:space="preserve">(4) the Trustee for 60 days after its receipt of such notice, request and offer of security or indemnity has failed to institute any such proceeding; and </w:t>
      </w:r>
    </w:p>
    <w:p>
      <w:pPr>
        <w:pStyle w:val="TextBody"/>
        <w:spacing w:before="180" w:after="0"/>
        <w:rPr>
          <w:rFonts w:ascii="Times New Roman" w:hAnsi="Times New Roman"/>
          <w:sz w:val="20"/>
        </w:rPr>
      </w:pPr>
      <w:r>
        <w:rPr>
          <w:rFonts w:ascii="Times New Roman" w:hAnsi="Times New Roman"/>
          <w:sz w:val="20"/>
        </w:rPr>
        <w:t xml:space="preserve">(5) no direction inconsistent with such written request has been given to the Trustee during such 60-day period by the Holders of a majority in principal amount of the Outstanding Securities of that series; </w:t>
      </w:r>
    </w:p>
    <w:p>
      <w:pPr>
        <w:pStyle w:val="TextBody"/>
        <w:spacing w:before="180" w:after="0"/>
        <w:rPr>
          <w:rFonts w:ascii="Times New Roman" w:hAnsi="Times New Roman"/>
          <w:sz w:val="20"/>
        </w:rPr>
      </w:pPr>
      <w:r>
        <w:rPr>
          <w:rFonts w:ascii="Times New Roman" w:hAnsi="Times New Roman"/>
          <w:sz w:val="20"/>
        </w:rPr>
        <w:t xml:space="preserve">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 </w:t>
      </w:r>
    </w:p>
    <w:p>
      <w:pPr>
        <w:pStyle w:val="TextBody"/>
        <w:spacing w:before="180" w:after="0"/>
        <w:rPr>
          <w:rFonts w:ascii="Times New Roman" w:hAnsi="Times New Roman"/>
          <w:sz w:val="20"/>
        </w:rPr>
      </w:pPr>
      <w:r>
        <w:rPr>
          <w:rFonts w:ascii="Times New Roman" w:hAnsi="Times New Roman"/>
          <w:sz w:val="20"/>
        </w:rPr>
        <w:t xml:space="preserve">SECTION 508. </w:t>
      </w:r>
      <w:r>
        <w:rPr>
          <w:rFonts w:ascii="Times New Roman" w:hAnsi="Times New Roman"/>
          <w:b/>
          <w:sz w:val="20"/>
          <w:u w:val="single"/>
        </w:rPr>
        <w:t>Unconditional Right of Holders to Receive Principal, Premium and Interest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or offer by the Company to purchase the Securities pursuant to the terms of this Indenture, on the Redemption Date or purchase date, as applicable) and, if applicable, to convert such Security in accordance with its terms, and to institute suit for the enforcement of any such right, and such rights shall not be impaired without the consent of such Holder.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509. </w:t>
      </w:r>
      <w:r>
        <w:rPr>
          <w:rFonts w:ascii="Times New Roman" w:hAnsi="Times New Roman"/>
          <w:b/>
          <w:sz w:val="20"/>
          <w:u w:val="single"/>
        </w:rPr>
        <w:t>Restoration of Rights and Remedies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Subsidiary Guarantors,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spacing w:before="180" w:after="0"/>
        <w:rPr>
          <w:rFonts w:ascii="Times New Roman" w:hAnsi="Times New Roman"/>
          <w:sz w:val="20"/>
        </w:rPr>
      </w:pPr>
      <w:r>
        <w:rPr>
          <w:rFonts w:ascii="Times New Roman" w:hAnsi="Times New Roman"/>
          <w:sz w:val="20"/>
        </w:rPr>
        <w:t xml:space="preserve">SECTION 510. </w:t>
      </w:r>
      <w:r>
        <w:rPr>
          <w:rFonts w:ascii="Times New Roman" w:hAnsi="Times New Roman"/>
          <w:b/>
          <w:sz w:val="20"/>
          <w:u w:val="single"/>
        </w:rPr>
        <w:t>Rights and Remedies Cumulative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spacing w:before="180" w:after="0"/>
        <w:rPr>
          <w:rFonts w:ascii="Times New Roman" w:hAnsi="Times New Roman"/>
          <w:sz w:val="20"/>
        </w:rPr>
      </w:pPr>
      <w:r>
        <w:rPr>
          <w:rFonts w:ascii="Times New Roman" w:hAnsi="Times New Roman"/>
          <w:sz w:val="20"/>
        </w:rPr>
        <w:t xml:space="preserve">SECTION 511. </w:t>
      </w:r>
      <w:r>
        <w:rPr>
          <w:rFonts w:ascii="Times New Roman" w:hAnsi="Times New Roman"/>
          <w:b/>
          <w:sz w:val="20"/>
          <w:u w:val="single"/>
        </w:rPr>
        <w:t>Delay or Omission Not Waiver</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spacing w:before="180" w:after="0"/>
        <w:rPr>
          <w:rFonts w:ascii="Times New Roman" w:hAnsi="Times New Roman"/>
          <w:sz w:val="20"/>
        </w:rPr>
      </w:pPr>
      <w:r>
        <w:rPr>
          <w:rFonts w:ascii="Times New Roman" w:hAnsi="Times New Roman"/>
          <w:sz w:val="20"/>
        </w:rPr>
        <w:t xml:space="preserve">SECTION 512. </w:t>
      </w:r>
      <w:r>
        <w:rPr>
          <w:rFonts w:ascii="Times New Roman" w:hAnsi="Times New Roman"/>
          <w:b/>
          <w:sz w:val="20"/>
          <w:u w:val="single"/>
        </w:rPr>
        <w:t>Control by Holders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spacing w:before="180" w:after="0"/>
        <w:rPr>
          <w:rFonts w:ascii="Times New Roman" w:hAnsi="Times New Roman"/>
          <w:sz w:val="20"/>
        </w:rPr>
      </w:pPr>
      <w:r>
        <w:rPr>
          <w:rFonts w:ascii="Times New Roman" w:hAnsi="Times New Roman"/>
          <w:sz w:val="20"/>
        </w:rPr>
        <w:t xml:space="preserve">(1) such direction shall not be in conflict with any rule of law or with this Indenture, and </w:t>
      </w:r>
    </w:p>
    <w:p>
      <w:pPr>
        <w:pStyle w:val="TextBody"/>
        <w:spacing w:before="180" w:after="0"/>
        <w:rPr>
          <w:rFonts w:ascii="Times New Roman" w:hAnsi="Times New Roman"/>
          <w:sz w:val="20"/>
        </w:rPr>
      </w:pPr>
      <w:r>
        <w:rPr>
          <w:rFonts w:ascii="Times New Roman" w:hAnsi="Times New Roman"/>
          <w:sz w:val="20"/>
        </w:rPr>
        <w:t xml:space="preserve">(2) the Trustee may take any other action deemed proper by the Trustee which is not inconsistent with such direction.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513. </w:t>
      </w:r>
      <w:r>
        <w:rPr>
          <w:rFonts w:ascii="Times New Roman" w:hAnsi="Times New Roman"/>
          <w:b/>
          <w:sz w:val="20"/>
          <w:u w:val="single"/>
        </w:rPr>
        <w:t>Waiver of Past Defaults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Holders of a majority in principal amount of the Outstanding Securities of any series may on behalf of the Holders of all the Securities of such series waive any past default hereunder with respect to such series and its consequences, except a default </w:t>
      </w:r>
    </w:p>
    <w:p>
      <w:pPr>
        <w:pStyle w:val="TextBody"/>
        <w:spacing w:before="180" w:after="0"/>
        <w:rPr>
          <w:rFonts w:ascii="Times New Roman" w:hAnsi="Times New Roman"/>
          <w:sz w:val="20"/>
        </w:rPr>
      </w:pPr>
      <w:r>
        <w:rPr>
          <w:rFonts w:ascii="Times New Roman" w:hAnsi="Times New Roman"/>
          <w:sz w:val="20"/>
        </w:rPr>
        <w:t xml:space="preserve">(1) in the payment of the principal of or any premium or interest on any Security of such series (including any Security which is required to have been purchased by the Company pursuant to an offer to purchase by the Company made pursuant to the terms of this Indenture), or </w:t>
      </w:r>
    </w:p>
    <w:p>
      <w:pPr>
        <w:pStyle w:val="TextBody"/>
        <w:spacing w:before="180" w:after="0"/>
        <w:rPr>
          <w:rFonts w:ascii="Times New Roman" w:hAnsi="Times New Roman"/>
          <w:sz w:val="20"/>
        </w:rPr>
      </w:pPr>
      <w:r>
        <w:rPr>
          <w:rFonts w:ascii="Times New Roman" w:hAnsi="Times New Roman"/>
          <w:sz w:val="20"/>
        </w:rPr>
        <w:t xml:space="preserve">(2) in respect of a covenant or provision hereof which under Article Nine cannot be modified or amended without the consent of the Holder of each Outstanding Security of such series. </w:t>
      </w:r>
    </w:p>
    <w:p>
      <w:pPr>
        <w:pStyle w:val="TextBody"/>
        <w:spacing w:before="180" w:after="0"/>
        <w:rPr>
          <w:rFonts w:ascii="Times New Roman" w:hAnsi="Times New Roman"/>
          <w:sz w:val="20"/>
        </w:rPr>
      </w:pPr>
      <w:r>
        <w:rPr>
          <w:rFonts w:ascii="Times New Roman" w:hAnsi="Times New Roman"/>
          <w:sz w:val="20"/>
        </w:rPr>
        <w:t xml:space="preserve">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spacing w:before="180" w:after="0"/>
        <w:rPr>
          <w:rFonts w:ascii="Times New Roman" w:hAnsi="Times New Roman"/>
          <w:sz w:val="20"/>
        </w:rPr>
      </w:pPr>
      <w:r>
        <w:rPr>
          <w:rFonts w:ascii="Times New Roman" w:hAnsi="Times New Roman"/>
          <w:sz w:val="20"/>
        </w:rPr>
        <w:t xml:space="preserve">SECTION 514. </w:t>
      </w:r>
      <w:r>
        <w:rPr>
          <w:rFonts w:ascii="Times New Roman" w:hAnsi="Times New Roman"/>
          <w:b/>
          <w:sz w:val="20"/>
          <w:u w:val="single"/>
        </w:rPr>
        <w:t>Undertaking for Costs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however, that neither this Section nor the Trust Indenture Act shall be deemed to authorize any court to require such an undertaking or to make such an assessment in any suit instituted by the Company or any Subsidiary Guarantor. </w:t>
      </w:r>
    </w:p>
    <w:p>
      <w:pPr>
        <w:pStyle w:val="TextBody"/>
        <w:spacing w:before="180" w:after="0"/>
        <w:rPr>
          <w:rFonts w:ascii="Times New Roman" w:hAnsi="Times New Roman"/>
          <w:sz w:val="20"/>
        </w:rPr>
      </w:pPr>
      <w:r>
        <w:rPr>
          <w:rFonts w:ascii="Times New Roman" w:hAnsi="Times New Roman"/>
          <w:sz w:val="20"/>
        </w:rPr>
        <w:t xml:space="preserve">SECTION 515. </w:t>
      </w:r>
      <w:r>
        <w:rPr>
          <w:rFonts w:ascii="Times New Roman" w:hAnsi="Times New Roman"/>
          <w:b/>
          <w:sz w:val="20"/>
          <w:u w:val="single"/>
        </w:rPr>
        <w:t>Waiver of Usury, Stay or Extension Laws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Each of the Company and the Subsidiary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each of the Company and the Subsidiary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SIX </w:t>
      </w:r>
    </w:p>
    <w:p>
      <w:pPr>
        <w:pStyle w:val="TextBody"/>
        <w:spacing w:before="0" w:after="0"/>
        <w:jc w:val="center"/>
        <w:rPr>
          <w:rFonts w:ascii="Times New Roman" w:hAnsi="Times New Roman"/>
          <w:b/>
          <w:sz w:val="20"/>
        </w:rPr>
      </w:pPr>
      <w:r>
        <w:rPr>
          <w:rFonts w:ascii="Times New Roman" w:hAnsi="Times New Roman"/>
          <w:b/>
          <w:sz w:val="20"/>
        </w:rPr>
        <w:t xml:space="preserve">THE TRUSTEE </w:t>
      </w:r>
    </w:p>
    <w:p>
      <w:pPr>
        <w:pStyle w:val="TextBody"/>
        <w:spacing w:before="180" w:after="0"/>
        <w:rPr>
          <w:rFonts w:ascii="Times New Roman" w:hAnsi="Times New Roman"/>
          <w:sz w:val="20"/>
        </w:rPr>
      </w:pPr>
      <w:r>
        <w:rPr>
          <w:rFonts w:ascii="Times New Roman" w:hAnsi="Times New Roman"/>
          <w:sz w:val="20"/>
        </w:rPr>
        <w:t xml:space="preserve">SECTION 601. </w:t>
      </w:r>
      <w:r>
        <w:rPr>
          <w:rFonts w:ascii="Times New Roman" w:hAnsi="Times New Roman"/>
          <w:b/>
          <w:sz w:val="20"/>
          <w:u w:val="single"/>
        </w:rPr>
        <w:t>Certain Duties and Responsibilities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duties and responsibilities of the Trustee shall be as expressly set forth in this Indenture and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 </w:t>
      </w:r>
    </w:p>
    <w:p>
      <w:pPr>
        <w:pStyle w:val="TextBody"/>
        <w:spacing w:before="180" w:after="0"/>
        <w:rPr>
          <w:rFonts w:ascii="Times New Roman" w:hAnsi="Times New Roman"/>
          <w:sz w:val="20"/>
        </w:rPr>
      </w:pPr>
      <w:r>
        <w:rPr>
          <w:rFonts w:ascii="Times New Roman" w:hAnsi="Times New Roman"/>
          <w:sz w:val="20"/>
        </w:rPr>
        <w:t xml:space="preserve">SECTION 602. </w:t>
      </w:r>
      <w:r>
        <w:rPr>
          <w:rFonts w:ascii="Times New Roman" w:hAnsi="Times New Roman"/>
          <w:b/>
          <w:sz w:val="20"/>
          <w:u w:val="single"/>
        </w:rPr>
        <w:t>Notice of Defaults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501(5)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 </w:t>
      </w:r>
    </w:p>
    <w:p>
      <w:pPr>
        <w:pStyle w:val="TextBody"/>
        <w:spacing w:before="180" w:after="0"/>
        <w:rPr>
          <w:rFonts w:ascii="Times New Roman" w:hAnsi="Times New Roman"/>
          <w:sz w:val="20"/>
        </w:rPr>
      </w:pPr>
      <w:r>
        <w:rPr>
          <w:rFonts w:ascii="Times New Roman" w:hAnsi="Times New Roman"/>
          <w:sz w:val="20"/>
        </w:rPr>
        <w:t xml:space="preserve">SECTION 603. </w:t>
      </w:r>
      <w:r>
        <w:rPr>
          <w:rFonts w:ascii="Times New Roman" w:hAnsi="Times New Roman"/>
          <w:b/>
          <w:sz w:val="20"/>
          <w:u w:val="single"/>
        </w:rPr>
        <w:t>Certain Rights of Trustee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Subject to the provisions of Section 601: </w:t>
      </w:r>
    </w:p>
    <w:p>
      <w:pPr>
        <w:pStyle w:val="TextBody"/>
        <w:spacing w:before="180" w:after="0"/>
        <w:rPr>
          <w:rFonts w:ascii="Times New Roman" w:hAnsi="Times New Roman"/>
          <w:sz w:val="20"/>
        </w:rPr>
      </w:pPr>
      <w:r>
        <w:rPr>
          <w:rFonts w:ascii="Times New Roman" w:hAnsi="Times New Roman"/>
          <w:sz w:val="20"/>
        </w:rPr>
        <w:t xml:space="preserve">(1)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w:t>
      </w:r>
    </w:p>
    <w:p>
      <w:pPr>
        <w:pStyle w:val="TextBody"/>
        <w:spacing w:before="180" w:after="0"/>
        <w:rPr>
          <w:rFonts w:ascii="Times New Roman" w:hAnsi="Times New Roman"/>
          <w:sz w:val="20"/>
        </w:rPr>
      </w:pPr>
      <w:r>
        <w:rPr>
          <w:rFonts w:ascii="Times New Roman" w:hAnsi="Times New Roman"/>
          <w:sz w:val="20"/>
        </w:rPr>
        <w:t xml:space="preserve">(2) any request or direction of the Company mentioned herein shall be sufficiently evidenced by a Company Request or Company Order, and any resolution of the Board of Directors shall be sufficiently evidenced by a Board Resolution; </w:t>
      </w:r>
    </w:p>
    <w:p>
      <w:pPr>
        <w:pStyle w:val="TextBody"/>
        <w:spacing w:before="180" w:after="0"/>
        <w:rPr>
          <w:rFonts w:ascii="Times New Roman" w:hAnsi="Times New Roman"/>
          <w:sz w:val="20"/>
        </w:rPr>
      </w:pPr>
      <w:r>
        <w:rPr>
          <w:rFonts w:ascii="Times New Roman" w:hAnsi="Times New Roman"/>
          <w:sz w:val="20"/>
        </w:rPr>
        <w:t xml:space="preserve">(3)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w:t>
      </w:r>
    </w:p>
    <w:p>
      <w:pPr>
        <w:pStyle w:val="TextBody"/>
        <w:spacing w:before="180" w:after="0"/>
        <w:rPr>
          <w:rFonts w:ascii="Times New Roman" w:hAnsi="Times New Roman"/>
          <w:sz w:val="20"/>
        </w:rPr>
      </w:pPr>
      <w:r>
        <w:rPr>
          <w:rFonts w:ascii="Times New Roman" w:hAnsi="Times New Roman"/>
          <w:sz w:val="20"/>
        </w:rPr>
        <w:t xml:space="preserve">(4) the Trustee may consult with counsel and the written advice of such counsel or any Opinion of Counsel shall be full and complete authorization and protection in respect of any action taken, suffered or omitted by it hereunder in good faith and in reliance thereon; </w:t>
      </w:r>
    </w:p>
    <w:p>
      <w:pPr>
        <w:pStyle w:val="TextBody"/>
        <w:spacing w:before="180" w:after="0"/>
        <w:rPr>
          <w:rFonts w:ascii="Times New Roman" w:hAnsi="Times New Roman"/>
          <w:sz w:val="20"/>
        </w:rPr>
      </w:pPr>
      <w:r>
        <w:rPr>
          <w:rFonts w:ascii="Times New Roman" w:hAnsi="Times New Roman"/>
          <w:sz w:val="20"/>
        </w:rPr>
        <w:t xml:space="preserve">(5) 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(6)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 </w:t>
      </w:r>
    </w:p>
    <w:p>
      <w:pPr>
        <w:pStyle w:val="TextBody"/>
        <w:spacing w:before="180" w:after="0"/>
        <w:rPr>
          <w:rFonts w:ascii="Times New Roman" w:hAnsi="Times New Roman"/>
          <w:sz w:val="20"/>
        </w:rPr>
      </w:pPr>
      <w:r>
        <w:rPr>
          <w:rFonts w:ascii="Times New Roman" w:hAnsi="Times New Roman"/>
          <w:sz w:val="20"/>
        </w:rPr>
        <w:t xml:space="preserve">(7)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spacing w:before="180" w:after="0"/>
        <w:rPr>
          <w:rFonts w:ascii="Times New Roman" w:hAnsi="Times New Roman"/>
          <w:sz w:val="20"/>
        </w:rPr>
      </w:pPr>
      <w:r>
        <w:rPr>
          <w:rFonts w:ascii="Times New Roman" w:hAnsi="Times New Roman"/>
          <w:sz w:val="20"/>
        </w:rPr>
        <w:t xml:space="preserve">SECTION 604. </w:t>
      </w:r>
      <w:r>
        <w:rPr>
          <w:rFonts w:ascii="Times New Roman" w:hAnsi="Times New Roman"/>
          <w:b/>
          <w:sz w:val="20"/>
          <w:u w:val="single"/>
        </w:rPr>
        <w:t>Not Responsible for Recitals or Issuance of Securities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recitals contained herein and in the Securities and the notations of Subsidiary Guarantees, except the Trustees certificates of authentication, shall be taken as the statements of the Company or the Subsidiary Guarantors, as the case may be, and neither the Trustee nor any Authenticating Agent assumes any responsibility for their correctness. The Trustee makes no representations as to the validity or sufficiency of this Indenture or of the Securities or the Subsidiary Guarantees. Neither the Trustee nor any Authenticating Agent shall be accountable for the use or application by the Company of Securities or the proceeds thereof. </w:t>
      </w:r>
    </w:p>
    <w:p>
      <w:pPr>
        <w:pStyle w:val="TextBody"/>
        <w:spacing w:before="180" w:after="0"/>
        <w:rPr>
          <w:rFonts w:ascii="Times New Roman" w:hAnsi="Times New Roman"/>
          <w:sz w:val="20"/>
        </w:rPr>
      </w:pPr>
      <w:r>
        <w:rPr>
          <w:rFonts w:ascii="Times New Roman" w:hAnsi="Times New Roman"/>
          <w:sz w:val="20"/>
        </w:rPr>
        <w:t>SECTION 605. </w:t>
      </w:r>
      <w:r>
        <w:rPr>
          <w:rFonts w:ascii="Times New Roman" w:hAnsi="Times New Roman"/>
          <w:b/>
          <w:sz w:val="20"/>
          <w:u w:val="single"/>
        </w:rPr>
        <w:t>May Hold Securities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any Authenticating Agent, any Paying Agent, any Security Registrar or any other agent of the Company or any Subsidiary Guarantor, in its individual or any other capacity, may become the owner or pledgee of Securities and, subject to Sections 608 and 613, may otherwise deal with the Company and any Subsidiary Guarantor with the same rights it would have if it were not Trustee, Authenticating Agent, Paying Agent, Security Registrar or such other agent. </w:t>
      </w:r>
    </w:p>
    <w:p>
      <w:pPr>
        <w:pStyle w:val="TextBody"/>
        <w:spacing w:before="180" w:after="0"/>
        <w:rPr>
          <w:rFonts w:ascii="Times New Roman" w:hAnsi="Times New Roman"/>
          <w:sz w:val="20"/>
        </w:rPr>
      </w:pPr>
      <w:r>
        <w:rPr>
          <w:rFonts w:ascii="Times New Roman" w:hAnsi="Times New Roman"/>
          <w:sz w:val="20"/>
        </w:rPr>
        <w:t xml:space="preserve">SECTION 606. </w:t>
      </w:r>
      <w:r>
        <w:rPr>
          <w:rFonts w:ascii="Times New Roman" w:hAnsi="Times New Roman"/>
          <w:b/>
          <w:sz w:val="20"/>
          <w:u w:val="single"/>
        </w:rPr>
        <w:t>Money Held in Trust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Money held by the Trustee in trust hereunder need not be segregated from other funds except to the extent required by law. The Trustee shall be under no liability for interest on any money received by it hereunder except as otherwise agreed with the Company or any Subsidiary Guarantor, as the case may be. </w:t>
      </w:r>
    </w:p>
    <w:p>
      <w:pPr>
        <w:pStyle w:val="TextBody"/>
        <w:spacing w:before="180" w:after="0"/>
        <w:rPr>
          <w:rFonts w:ascii="Times New Roman" w:hAnsi="Times New Roman"/>
          <w:sz w:val="20"/>
        </w:rPr>
      </w:pPr>
      <w:r>
        <w:rPr>
          <w:rFonts w:ascii="Times New Roman" w:hAnsi="Times New Roman"/>
          <w:sz w:val="20"/>
        </w:rPr>
        <w:t xml:space="preserve">SECTION 607. </w:t>
      </w:r>
      <w:r>
        <w:rPr>
          <w:rFonts w:ascii="Times New Roman" w:hAnsi="Times New Roman"/>
          <w:b/>
          <w:sz w:val="20"/>
          <w:u w:val="single"/>
        </w:rPr>
        <w:t>Compensation and Reimbursement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and each Subsidiary Guarantor jointly and severally agree </w:t>
      </w:r>
    </w:p>
    <w:p>
      <w:pPr>
        <w:pStyle w:val="TextBody"/>
        <w:spacing w:before="180" w:after="0"/>
        <w:rPr>
          <w:rFonts w:ascii="Times New Roman" w:hAnsi="Times New Roman"/>
          <w:sz w:val="20"/>
        </w:rPr>
      </w:pPr>
      <w:r>
        <w:rPr>
          <w:rFonts w:ascii="Times New Roman" w:hAnsi="Times New Roman"/>
          <w:sz w:val="20"/>
        </w:rPr>
        <w:t xml:space="preserve">(1) to pay to the Trustee from time to time reasonable compensation for all services rendered by it hereunder (which compensation shall not be limited by any provision of law in regard to the compensation of a trustee of an express trust); </w:t>
      </w:r>
    </w:p>
    <w:p>
      <w:pPr>
        <w:pStyle w:val="TextBody"/>
        <w:spacing w:before="180" w:after="0"/>
        <w:rPr>
          <w:rFonts w:ascii="Times New Roman" w:hAnsi="Times New Roman"/>
          <w:sz w:val="20"/>
        </w:rPr>
      </w:pPr>
      <w:r>
        <w:rPr>
          <w:rFonts w:ascii="Times New Roman" w:hAnsi="Times New Roman"/>
          <w:sz w:val="20"/>
        </w:rPr>
        <w:t xml:space="preserve">(2) 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(3) 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w:t>
      </w:r>
    </w:p>
    <w:p>
      <w:pPr>
        <w:pStyle w:val="TextBody"/>
        <w:spacing w:before="180" w:after="0"/>
        <w:rPr>
          <w:rFonts w:ascii="Times New Roman" w:hAnsi="Times New Roman"/>
          <w:sz w:val="20"/>
        </w:rPr>
      </w:pPr>
      <w:r>
        <w:rPr>
          <w:rFonts w:ascii="Times New Roman" w:hAnsi="Times New Roman"/>
          <w:sz w:val="20"/>
        </w:rPr>
        <w:t xml:space="preserve">SECTION 608. </w:t>
      </w:r>
      <w:r>
        <w:rPr>
          <w:rFonts w:ascii="Times New Roman" w:hAnsi="Times New Roman"/>
          <w:b/>
          <w:sz w:val="20"/>
          <w:u w:val="single"/>
        </w:rPr>
        <w:t>Conflicting Interests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 </w:t>
      </w:r>
    </w:p>
    <w:p>
      <w:pPr>
        <w:pStyle w:val="TextBody"/>
        <w:spacing w:before="180" w:after="0"/>
        <w:rPr>
          <w:rFonts w:ascii="Times New Roman" w:hAnsi="Times New Roman"/>
          <w:sz w:val="20"/>
        </w:rPr>
      </w:pPr>
      <w:r>
        <w:rPr>
          <w:rFonts w:ascii="Times New Roman" w:hAnsi="Times New Roman"/>
          <w:sz w:val="20"/>
        </w:rPr>
        <w:t xml:space="preserve">SECTION 609. </w:t>
      </w:r>
      <w:r>
        <w:rPr>
          <w:rFonts w:ascii="Times New Roman" w:hAnsi="Times New Roman"/>
          <w:b/>
          <w:sz w:val="20"/>
          <w:u w:val="single"/>
        </w:rPr>
        <w:t>Corporate Trustee Required; Eligibility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 </w:t>
      </w:r>
    </w:p>
    <w:p>
      <w:pPr>
        <w:pStyle w:val="TextBody"/>
        <w:spacing w:before="180" w:after="0"/>
        <w:rPr>
          <w:rFonts w:ascii="Times New Roman" w:hAnsi="Times New Roman"/>
          <w:sz w:val="20"/>
        </w:rPr>
      </w:pPr>
      <w:r>
        <w:rPr>
          <w:rFonts w:ascii="Times New Roman" w:hAnsi="Times New Roman"/>
          <w:sz w:val="20"/>
        </w:rPr>
        <w:t xml:space="preserve">SECTION 610.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 resignation or removal of the Trustee and no appointment of a successor Trustee pursuant to this Article shall become effective until the acceptance of appointment by the successor Trustee in accordance with the applicable requirements of Section 611. </w:t>
      </w:r>
    </w:p>
    <w:p>
      <w:pPr>
        <w:pStyle w:val="TextBody"/>
        <w:spacing w:before="180" w:after="0"/>
        <w:rPr>
          <w:rFonts w:ascii="Times New Roman" w:hAnsi="Times New Roman"/>
          <w:sz w:val="20"/>
        </w:rPr>
      </w:pPr>
      <w:r>
        <w:rPr>
          <w:rFonts w:ascii="Times New Roman" w:hAnsi="Times New Roman"/>
          <w:sz w:val="20"/>
        </w:rPr>
        <w:t xml:space="preserve">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 </w:t>
      </w:r>
    </w:p>
    <w:p>
      <w:pPr>
        <w:pStyle w:val="TextBody"/>
        <w:spacing w:before="180" w:after="0"/>
        <w:rPr>
          <w:rFonts w:ascii="Times New Roman" w:hAnsi="Times New Roman"/>
          <w:sz w:val="20"/>
        </w:rPr>
      </w:pPr>
      <w:r>
        <w:rPr>
          <w:rFonts w:ascii="Times New Roman" w:hAnsi="Times New Roman"/>
          <w:sz w:val="20"/>
        </w:rPr>
        <w:t xml:space="preserve">The Trustee may be removed at any time with respect to the Securities of any series by Act of the Holders of a majority in principal amount of the Outstanding Securities of such series, delivered to the Trustee and to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at any time: </w:t>
      </w:r>
    </w:p>
    <w:p>
      <w:pPr>
        <w:pStyle w:val="TextBody"/>
        <w:spacing w:before="180" w:after="0"/>
        <w:rPr>
          <w:rFonts w:ascii="Times New Roman" w:hAnsi="Times New Roman"/>
          <w:sz w:val="20"/>
        </w:rPr>
      </w:pPr>
      <w:r>
        <w:rPr>
          <w:rFonts w:ascii="Times New Roman" w:hAnsi="Times New Roman"/>
          <w:sz w:val="20"/>
        </w:rPr>
        <w:t xml:space="preserve">(1) the Trustee shall fail to comply with Section 608 after written request therefor by the Company or by any Holder who has been a bona fide Holder of a Security for at least six months, or </w:t>
      </w:r>
    </w:p>
    <w:p>
      <w:pPr>
        <w:pStyle w:val="TextBody"/>
        <w:spacing w:before="180" w:after="0"/>
        <w:rPr>
          <w:rFonts w:ascii="Times New Roman" w:hAnsi="Times New Roman"/>
          <w:sz w:val="20"/>
        </w:rPr>
      </w:pPr>
      <w:r>
        <w:rPr>
          <w:rFonts w:ascii="Times New Roman" w:hAnsi="Times New Roman"/>
          <w:sz w:val="20"/>
        </w:rPr>
        <w:t xml:space="preserve">(2) the Trustee shall cease to be eligible under Section 609 and shall fail to resign after written request therefor by the Company or by any such Holder, or </w:t>
      </w:r>
    </w:p>
    <w:p>
      <w:pPr>
        <w:pStyle w:val="TextBody"/>
        <w:spacing w:before="180" w:after="0"/>
        <w:rPr>
          <w:rFonts w:ascii="Times New Roman" w:hAnsi="Times New Roman"/>
          <w:sz w:val="20"/>
        </w:rPr>
      </w:pPr>
      <w:r>
        <w:rPr>
          <w:rFonts w:ascii="Times New Roman" w:hAnsi="Times New Roman"/>
          <w:sz w:val="20"/>
        </w:rPr>
        <w:t xml:space="preserve">(3)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spacing w:before="180" w:after="0"/>
        <w:rPr>
          <w:rFonts w:ascii="Times New Roman" w:hAnsi="Times New Roman"/>
          <w:sz w:val="20"/>
        </w:rPr>
      </w:pPr>
      <w:r>
        <w:rPr>
          <w:rFonts w:ascii="Times New Roman" w:hAnsi="Times New Roman"/>
          <w:sz w:val="20"/>
        </w:rPr>
        <w:t xml:space="preserve">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 </w:t>
      </w:r>
    </w:p>
    <w:p>
      <w:pPr>
        <w:pStyle w:val="TextBody"/>
        <w:spacing w:before="180" w:after="0"/>
        <w:rPr>
          <w:rFonts w:ascii="Times New Roman" w:hAnsi="Times New Roman"/>
          <w:sz w:val="20"/>
        </w:rPr>
      </w:pPr>
      <w:r>
        <w:rPr>
          <w:rFonts w:ascii="Times New Roman" w:hAnsi="Times New Roman"/>
          <w:sz w:val="20"/>
        </w:rPr>
        <w:t xml:space="preserve">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 </w:t>
      </w:r>
    </w:p>
    <w:p>
      <w:pPr>
        <w:pStyle w:val="TextBody"/>
        <w:spacing w:before="180" w:after="0"/>
        <w:rPr>
          <w:rFonts w:ascii="Times New Roman" w:hAnsi="Times New Roman"/>
          <w:sz w:val="20"/>
        </w:rPr>
      </w:pPr>
      <w:r>
        <w:rPr>
          <w:rFonts w:ascii="Times New Roman" w:hAnsi="Times New Roman"/>
          <w:sz w:val="20"/>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611. </w:t>
      </w:r>
      <w:r>
        <w:rPr>
          <w:rFonts w:ascii="Times New Roman" w:hAnsi="Times New Roman"/>
          <w:b/>
          <w:sz w:val="20"/>
          <w:u w:val="single"/>
        </w:rPr>
        <w:t>Acceptance of Appointment by Successor</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case of the appointment hereunder of a successor Trustee with respect to all Securities, every such successor Trustee so appointed shall execute, acknowledge and deliver to the Company, the Subsidiary Guarantors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spacing w:before="180" w:after="0"/>
        <w:rPr>
          <w:rFonts w:ascii="Times New Roman" w:hAnsi="Times New Roman"/>
          <w:sz w:val="20"/>
        </w:rPr>
      </w:pPr>
      <w:r>
        <w:rPr>
          <w:rFonts w:ascii="Times New Roman" w:hAnsi="Times New Roman"/>
          <w:sz w:val="20"/>
        </w:rPr>
        <w:t xml:space="preserve">In case of the appointment hereunder of a successor Trustee with respect to the Securities of one or more (but not all) series, the Company, the Subsidiary Guarantors,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t>
      </w:r>
    </w:p>
    <w:p>
      <w:pPr>
        <w:pStyle w:val="TextBody"/>
        <w:spacing w:before="180" w:after="0"/>
        <w:rPr>
          <w:rFonts w:ascii="Times New Roman" w:hAnsi="Times New Roman"/>
          <w:sz w:val="20"/>
        </w:rPr>
      </w:pPr>
      <w:r>
        <w:rPr>
          <w:rFonts w:ascii="Times New Roman" w:hAnsi="Times New Roman"/>
          <w:sz w:val="20"/>
        </w:rPr>
        <w:t xml:space="preserve">Upon request of any such successor Trustee, the Company and the Subsidiary Guarantors shall execute any and all instruments for more fully and certainly vesting in and confirming to such successor Trustee all such rights, powers and trusts referred to in the first or second preceding paragraph, as the case may be. </w:t>
      </w:r>
    </w:p>
    <w:p>
      <w:pPr>
        <w:pStyle w:val="TextBody"/>
        <w:spacing w:before="180" w:after="0"/>
        <w:rPr>
          <w:rFonts w:ascii="Times New Roman" w:hAnsi="Times New Roman"/>
          <w:sz w:val="20"/>
        </w:rPr>
      </w:pPr>
      <w:r>
        <w:rPr>
          <w:rFonts w:ascii="Times New Roman" w:hAnsi="Times New Roman"/>
          <w:sz w:val="20"/>
        </w:rPr>
        <w:t xml:space="preserve">No successor Trustee shall accept its appointment unless at the time of such acceptance such successor Trustee shall be qualified and eligible under this Article.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612. </w:t>
      </w:r>
      <w:r>
        <w:rPr>
          <w:rFonts w:ascii="Times New Roman" w:hAnsi="Times New Roman"/>
          <w:b/>
          <w:sz w:val="20"/>
          <w:u w:val="single"/>
        </w:rPr>
        <w:t>Merger, Conversion, Consolidation or Succession to Business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Any Person into which the Trustee may be merged or converted or with which it may be consolidated, or any Person resulting from any merger, conversion or consolidation to which the Trustee shall be a party, or any Person succeeding to all or substantially all the corporate trust business of the Trustee, shall be the successor of the Trustee hereunder, provided such Person shall be otherwise qualified and eligible under this Article, without the execution or filing of any paper or any further act on the part of any of the parties hereto. As soon as practicable, the successor Trustee shall mail a notice of its succession to the Company and the Holders of the Securities then Outstanding.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spacing w:before="180" w:after="0"/>
        <w:rPr>
          <w:rFonts w:ascii="Times New Roman" w:hAnsi="Times New Roman"/>
          <w:sz w:val="20"/>
        </w:rPr>
      </w:pPr>
      <w:r>
        <w:rPr>
          <w:rFonts w:ascii="Times New Roman" w:hAnsi="Times New Roman"/>
          <w:sz w:val="20"/>
        </w:rPr>
        <w:t xml:space="preserve">SECTION 613. </w:t>
      </w:r>
      <w:r>
        <w:rPr>
          <w:rFonts w:ascii="Times New Roman" w:hAnsi="Times New Roman"/>
          <w:b/>
          <w:sz w:val="20"/>
          <w:u w:val="single"/>
        </w:rPr>
        <w:t>Preferential Collection of Claims Against Company and Subsidiary Guarantors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and when the Trustee shall be or become a creditor of the Company, any Subsidiary Guarantor or any other obligor upon the Securities, the Trustee shall be subject to the provisions of the Trust Indenture Act regarding the collection of claims against the Company, such Subsidiary Guarantor or any such other obligor. </w:t>
      </w:r>
    </w:p>
    <w:p>
      <w:pPr>
        <w:pStyle w:val="TextBody"/>
        <w:spacing w:before="180" w:after="0"/>
        <w:rPr>
          <w:rFonts w:ascii="Times New Roman" w:hAnsi="Times New Roman"/>
          <w:sz w:val="20"/>
        </w:rPr>
      </w:pPr>
      <w:r>
        <w:rPr>
          <w:rFonts w:ascii="Times New Roman" w:hAnsi="Times New Roman"/>
          <w:sz w:val="20"/>
        </w:rPr>
        <w:t xml:space="preserve">SECTION 614. </w:t>
      </w:r>
      <w:r>
        <w:rPr>
          <w:rFonts w:ascii="Times New Roman" w:hAnsi="Times New Roman"/>
          <w:b/>
          <w:sz w:val="20"/>
          <w:u w:val="single"/>
        </w:rPr>
        <w:t>Appointment of Authenticating Agent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may appoint an Authenticating Agent or Agents with respect to one or more series of Securities which shall be authorized to act on behalf of the Trustee to authenticate Securities of such series issued upon original issue and upon exchange, registration of transfer, conversion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Any Person into which an Authenticating Agent may be merged or converted or with which it may be consolidated, or any Person resulting from any merger, conversion or consolidation to which such Authenticating Agent shall be a party, or any Person succeeding to the corporate agency or corporate trust business of an Authenticating Agent, shall continue to be an Authenticating Agent, provided such Person shall be otherwise eligible under this Section, without the execution or filing of any paper or any further act on the part of the Trustee or the Authenticating Agent. </w:t>
      </w:r>
    </w:p>
    <w:p>
      <w:pPr>
        <w:pStyle w:val="TextBody"/>
        <w:spacing w:before="180" w:after="0"/>
        <w:rPr>
          <w:rFonts w:ascii="Times New Roman" w:hAnsi="Times New Roman"/>
          <w:sz w:val="20"/>
        </w:rPr>
      </w:pPr>
      <w:r>
        <w:rPr>
          <w:rFonts w:ascii="Times New Roman" w:hAnsi="Times New Roman"/>
          <w:sz w:val="20"/>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w:t>
      </w:r>
    </w:p>
    <w:p>
      <w:pPr>
        <w:pStyle w:val="TextBody"/>
        <w:spacing w:before="180" w:after="0"/>
        <w:rPr>
          <w:rFonts w:ascii="Times New Roman" w:hAnsi="Times New Roman"/>
          <w:sz w:val="20"/>
        </w:rPr>
      </w:pPr>
      <w:r>
        <w:rPr>
          <w:rFonts w:ascii="Times New Roman" w:hAnsi="Times New Roman"/>
          <w:sz w:val="20"/>
        </w:rPr>
        <w:t xml:space="preserve">The Trustee agrees to pay to each Authenticating Agent from time to time reasonable compensation for its services under this Section, and the Trustee shall be entitled to be reimbursed for such payments, subject to the provisions of Section 607. </w:t>
      </w:r>
    </w:p>
    <w:p>
      <w:pPr>
        <w:pStyle w:val="TextBody"/>
        <w:spacing w:before="180" w:after="0"/>
        <w:rPr>
          <w:rFonts w:ascii="Times New Roman" w:hAnsi="Times New Roman"/>
          <w:sz w:val="20"/>
        </w:rPr>
      </w:pPr>
      <w:r>
        <w:rPr>
          <w:rFonts w:ascii="Times New Roman" w:hAnsi="Times New Roman"/>
          <w:sz w:val="20"/>
        </w:rPr>
        <w:t xml:space="preserve">If an appointment with respect to one or more series is made pursuant to this Section, the Securities of such series may have endorsed thereon, in addition to the Trustees certificate of authentication, an alternative certificate of authentication in the following form: </w:t>
      </w:r>
    </w:p>
    <w:p>
      <w:pPr>
        <w:pStyle w:val="TextBody"/>
        <w:spacing w:before="90" w:after="0"/>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19"/>
        <w:gridCol w:w="90"/>
        <w:gridCol w:w="3673"/>
      </w:tblGrid>
      <w:tr>
        <w:trPr/>
        <w:tc>
          <w:tcPr>
            <w:tcW w:w="31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7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w:t>
            </w:r>
          </w:p>
          <w:p>
            <w:pPr>
              <w:pStyle w:val="TableContents"/>
              <w:spacing w:before="0" w:after="15"/>
              <w:rPr>
                <w:rFonts w:ascii="Times New Roman" w:hAnsi="Times New Roman"/>
                <w:sz w:val="20"/>
              </w:rPr>
            </w:pPr>
            <w:r>
              <w:rPr>
                <w:rFonts w:ascii="Times New Roman" w:hAnsi="Times New Roman"/>
                <w:sz w:val="20"/>
              </w:rPr>
              <w:t>As Trustee</w:t>
            </w:r>
          </w:p>
        </w:tc>
      </w:tr>
      <w:tr>
        <w:trPr>
          <w:trHeight w:val="240" w:hRule="atLeast"/>
        </w:trPr>
        <w:tc>
          <w:tcPr>
            <w:tcW w:w="319" w:type="dxa"/>
            <w:tcBorders/>
            <w:shd w:fill="auto" w:val="clear"/>
            <w:vAlign w:val="center"/>
          </w:tcPr>
          <w:p>
            <w:pPr>
              <w:pStyle w:val="TableContents"/>
              <w:spacing w:before="0" w:after="283"/>
              <w:rPr>
                <w:sz w:val="4"/>
                <w:szCs w:val="4"/>
              </w:rPr>
            </w:pPr>
            <w:r>
              <w:rPr>
                <w:sz w:val="4"/>
                <w:szCs w:val="4"/>
              </w:rPr>
            </w:r>
          </w:p>
        </w:tc>
        <w:tc>
          <w:tcPr>
            <w:tcW w:w="3763" w:type="dxa"/>
            <w:gridSpan w:val="2"/>
            <w:tcBorders/>
            <w:shd w:fill="auto" w:val="clear"/>
            <w:vAlign w:val="center"/>
          </w:tcPr>
          <w:p>
            <w:pPr>
              <w:pStyle w:val="TableContents"/>
              <w:spacing w:before="0" w:after="283"/>
              <w:rPr>
                <w:sz w:val="4"/>
                <w:szCs w:val="4"/>
              </w:rPr>
            </w:pPr>
            <w:r>
              <w:rPr>
                <w:sz w:val="4"/>
                <w:szCs w:val="4"/>
              </w:rPr>
            </w:r>
          </w:p>
        </w:tc>
      </w:tr>
      <w:tr>
        <w:trPr/>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bottom w:val="single" w:sz="2" w:space="0" w:color="000000"/>
            </w:tcBorders>
            <w:shd w:fill="auto" w:val="clear"/>
            <w:tcMar>
              <w:bottom w:w="28" w:type="dxa"/>
            </w:tcMar>
            <w:vAlign w:val="bottom"/>
          </w:tcPr>
          <w:p>
            <w:pPr>
              <w:pStyle w:val="TableContents"/>
              <w:spacing w:before="0" w:after="283"/>
              <w:rPr/>
            </w:pPr>
            <w:r>
              <w:rPr/>
              <w:t> </w:t>
            </w:r>
          </w:p>
        </w:tc>
        <w:tc>
          <w:tcPr>
            <w:tcW w:w="3673" w:type="dxa"/>
            <w:tcBorders>
              <w:bottom w:val="single" w:sz="2" w:space="0" w:color="000000"/>
            </w:tcBorders>
            <w:shd w:fill="auto" w:val="clear"/>
            <w:tcMar>
              <w:bottom w:w="28" w:type="dxa"/>
            </w:tcMar>
          </w:tcPr>
          <w:p>
            <w:pPr>
              <w:pStyle w:val="TableContents"/>
              <w:spacing w:before="0" w:after="283"/>
              <w:rPr/>
            </w:pPr>
            <w:r>
              <w:rPr/>
              <w:t> </w:t>
            </w:r>
          </w:p>
        </w:tc>
      </w:tr>
      <w:tr>
        <w:trPr/>
        <w:tc>
          <w:tcPr>
            <w:tcW w:w="319"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As Authenticating Agent</w:t>
            </w:r>
          </w:p>
        </w:tc>
      </w:tr>
      <w:tr>
        <w:trPr>
          <w:trHeight w:val="240" w:hRule="atLeast"/>
        </w:trPr>
        <w:tc>
          <w:tcPr>
            <w:tcW w:w="319" w:type="dxa"/>
            <w:tcBorders/>
            <w:shd w:fill="auto" w:val="clear"/>
            <w:vAlign w:val="center"/>
          </w:tcPr>
          <w:p>
            <w:pPr>
              <w:pStyle w:val="TableContents"/>
              <w:spacing w:before="0" w:after="283"/>
              <w:rPr>
                <w:sz w:val="4"/>
                <w:szCs w:val="4"/>
              </w:rPr>
            </w:pPr>
            <w:r>
              <w:rPr>
                <w:sz w:val="4"/>
                <w:szCs w:val="4"/>
              </w:rPr>
            </w:r>
          </w:p>
        </w:tc>
        <w:tc>
          <w:tcPr>
            <w:tcW w:w="3763" w:type="dxa"/>
            <w:gridSpan w:val="2"/>
            <w:tcBorders/>
            <w:shd w:fill="auto" w:val="clear"/>
            <w:vAlign w:val="center"/>
          </w:tcPr>
          <w:p>
            <w:pPr>
              <w:pStyle w:val="TableContents"/>
              <w:spacing w:before="0" w:after="283"/>
              <w:rPr>
                <w:sz w:val="4"/>
                <w:szCs w:val="4"/>
              </w:rPr>
            </w:pPr>
            <w:r>
              <w:rPr>
                <w:sz w:val="4"/>
                <w:szCs w:val="4"/>
              </w:rPr>
            </w:r>
          </w:p>
        </w:tc>
      </w:tr>
      <w:tr>
        <w:trPr/>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bottom w:val="single" w:sz="2" w:space="0" w:color="000000"/>
            </w:tcBorders>
            <w:shd w:fill="auto" w:val="clear"/>
            <w:tcMar>
              <w:bottom w:w="28" w:type="dxa"/>
            </w:tcMar>
            <w:vAlign w:val="bottom"/>
          </w:tcPr>
          <w:p>
            <w:pPr>
              <w:pStyle w:val="TableContents"/>
              <w:spacing w:before="0" w:after="283"/>
              <w:rPr/>
            </w:pPr>
            <w:r>
              <w:rPr/>
              <w:t> </w:t>
            </w:r>
          </w:p>
        </w:tc>
        <w:tc>
          <w:tcPr>
            <w:tcW w:w="3673"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319"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Authorized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SEVEN </w:t>
      </w:r>
    </w:p>
    <w:p>
      <w:pPr>
        <w:pStyle w:val="TextBody"/>
        <w:spacing w:before="0" w:after="0"/>
        <w:jc w:val="center"/>
        <w:rPr>
          <w:rFonts w:ascii="Times New Roman" w:hAnsi="Times New Roman"/>
          <w:b/>
          <w:sz w:val="20"/>
        </w:rPr>
      </w:pPr>
      <w:r>
        <w:rPr>
          <w:rFonts w:ascii="Times New Roman" w:hAnsi="Times New Roman"/>
          <w:b/>
          <w:sz w:val="20"/>
        </w:rPr>
        <w:t xml:space="preserve">HOLDERS LISTS AND REPORTS BY TRUSTEE AND COMPANY </w:t>
      </w:r>
    </w:p>
    <w:p>
      <w:pPr>
        <w:pStyle w:val="TextBody"/>
        <w:spacing w:before="180" w:after="0"/>
        <w:rPr>
          <w:rFonts w:ascii="Times New Roman" w:hAnsi="Times New Roman"/>
          <w:sz w:val="20"/>
        </w:rPr>
      </w:pPr>
      <w:r>
        <w:rPr>
          <w:rFonts w:ascii="Times New Roman" w:hAnsi="Times New Roman"/>
          <w:sz w:val="20"/>
        </w:rPr>
        <w:t xml:space="preserve">SECTION 701. </w:t>
      </w:r>
      <w:r>
        <w:rPr>
          <w:rFonts w:ascii="Times New Roman" w:hAnsi="Times New Roman"/>
          <w:b/>
          <w:sz w:val="20"/>
          <w:u w:val="single"/>
        </w:rPr>
        <w:t>Company to Furnish Trustee Names and Addresses of Holders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will furnish or cause to be furnished to the Trustee with respect to the Securities of each series: </w:t>
      </w:r>
    </w:p>
    <w:p>
      <w:pPr>
        <w:pStyle w:val="TextBody"/>
        <w:spacing w:before="180" w:after="0"/>
        <w:rPr>
          <w:rFonts w:ascii="Times New Roman" w:hAnsi="Times New Roman"/>
          <w:sz w:val="20"/>
        </w:rPr>
      </w:pPr>
      <w:r>
        <w:rPr>
          <w:rFonts w:ascii="Times New Roman" w:hAnsi="Times New Roman"/>
          <w:sz w:val="20"/>
        </w:rPr>
        <w:t xml:space="preserve">(1) not more than 10 days after each record date with respect to the payment of interest, if any, a list, in such form as the Trustee may reasonably require, of the names and addresses of the Holders of Securities of such series as of such record date, and </w:t>
      </w:r>
    </w:p>
    <w:p>
      <w:pPr>
        <w:pStyle w:val="TextBody"/>
        <w:spacing w:before="180" w:after="0"/>
        <w:rPr>
          <w:rFonts w:ascii="Times New Roman" w:hAnsi="Times New Roman"/>
          <w:sz w:val="20"/>
        </w:rPr>
      </w:pPr>
      <w:r>
        <w:rPr>
          <w:rFonts w:ascii="Times New Roman" w:hAnsi="Times New Roman"/>
          <w:sz w:val="20"/>
        </w:rPr>
        <w:t xml:space="preserve">(2) at such other times as the Trustee may request in writing, within 30 days after the receipt by the Company of any such request, a list of similar form and content as of a date not more than 15 days prior to the time such list is furnished; </w:t>
      </w:r>
    </w:p>
    <w:p>
      <w:pPr>
        <w:pStyle w:val="TextBody"/>
        <w:spacing w:before="180" w:after="0"/>
        <w:rPr>
          <w:rFonts w:ascii="Times New Roman" w:hAnsi="Times New Roman"/>
          <w:sz w:val="20"/>
        </w:rPr>
      </w:pPr>
      <w:r>
        <w:rPr>
          <w:rFonts w:ascii="Times New Roman" w:hAnsi="Times New Roman"/>
          <w:sz w:val="20"/>
        </w:rPr>
        <w:t xml:space="preserve">excluding from any such list names and addresses received by the Trustee in its capacity as Security Registrar. </w:t>
      </w:r>
    </w:p>
    <w:p>
      <w:pPr>
        <w:pStyle w:val="TextBody"/>
        <w:spacing w:before="180" w:after="0"/>
        <w:rPr>
          <w:rFonts w:ascii="Times New Roman" w:hAnsi="Times New Roman"/>
          <w:sz w:val="20"/>
        </w:rPr>
      </w:pPr>
      <w:r>
        <w:rPr>
          <w:rFonts w:ascii="Times New Roman" w:hAnsi="Times New Roman"/>
          <w:sz w:val="20"/>
        </w:rPr>
        <w:t xml:space="preserve">SECTION 702. </w:t>
      </w:r>
      <w:r>
        <w:rPr>
          <w:rFonts w:ascii="Times New Roman" w:hAnsi="Times New Roman"/>
          <w:b/>
          <w:sz w:val="20"/>
          <w:u w:val="single"/>
        </w:rPr>
        <w:t>Preservation of Information; Communications to Holders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 The rights of Holders to communicate with other Holders with respect to their rights under this Indenture or under the Securities, and the corresponding rights and privileges of the Trustee, shall be as provided by the Trust Indenture Act. </w:t>
      </w:r>
    </w:p>
    <w:p>
      <w:pPr>
        <w:pStyle w:val="TextBody"/>
        <w:spacing w:before="180" w:after="0"/>
        <w:rPr>
          <w:rFonts w:ascii="Times New Roman" w:hAnsi="Times New Roman"/>
          <w:sz w:val="20"/>
        </w:rPr>
      </w:pPr>
      <w:r>
        <w:rPr>
          <w:rFonts w:ascii="Times New Roman" w:hAnsi="Times New Roman"/>
          <w:sz w:val="20"/>
        </w:rPr>
        <w:t xml:space="preserve">Every Holder of Securities, by receiving and holding the same, agrees with the Company and the Trustee that neither the Company, the Subsidiary Guarantors nor the Trustee nor any agent of any of them shall be held accountable by reason of any disclosure of information as to names and addresses of Holders made pursuant to the Trust Indenture Act. </w:t>
      </w:r>
    </w:p>
    <w:p>
      <w:pPr>
        <w:pStyle w:val="TextBody"/>
        <w:spacing w:before="180" w:after="0"/>
        <w:rPr>
          <w:rFonts w:ascii="Times New Roman" w:hAnsi="Times New Roman"/>
          <w:sz w:val="20"/>
        </w:rPr>
      </w:pPr>
      <w:r>
        <w:rPr>
          <w:rFonts w:ascii="Times New Roman" w:hAnsi="Times New Roman"/>
          <w:sz w:val="20"/>
        </w:rPr>
        <w:t xml:space="preserve">SECTION 703. </w:t>
      </w:r>
      <w:r>
        <w:rPr>
          <w:rFonts w:ascii="Times New Roman" w:hAnsi="Times New Roman"/>
          <w:b/>
          <w:sz w:val="20"/>
          <w:u w:val="single"/>
        </w:rPr>
        <w:t>Reports by Trustee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shall transmit to Holders such reports concerning the Trustee and its actions under this Indenture as may be required pursuant to the Trust Indenture Act at the times and in the manner provided pursuant thereto. </w:t>
      </w:r>
    </w:p>
    <w:p>
      <w:pPr>
        <w:pStyle w:val="TextBody"/>
        <w:spacing w:before="180" w:after="0"/>
        <w:rPr>
          <w:rFonts w:ascii="Times New Roman" w:hAnsi="Times New Roman"/>
          <w:sz w:val="20"/>
        </w:rPr>
      </w:pPr>
      <w:r>
        <w:rPr>
          <w:rFonts w:ascii="Times New Roman" w:hAnsi="Times New Roman"/>
          <w:sz w:val="20"/>
        </w:rPr>
        <w:t xml:space="preserve">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704. </w:t>
      </w:r>
      <w:r>
        <w:rPr>
          <w:rFonts w:ascii="Times New Roman" w:hAnsi="Times New Roman"/>
          <w:b/>
          <w:sz w:val="20"/>
          <w:u w:val="single"/>
        </w:rPr>
        <w:t>Reports by Company and Subsidiary Guarantors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and each of the Subsidiary Guarantors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filed with the Commission. </w:t>
      </w:r>
    </w:p>
    <w:p>
      <w:pPr>
        <w:pStyle w:val="TextBody"/>
        <w:spacing w:before="270" w:after="0"/>
        <w:jc w:val="center"/>
        <w:rPr>
          <w:rFonts w:ascii="Times New Roman" w:hAnsi="Times New Roman"/>
          <w:b/>
          <w:sz w:val="20"/>
        </w:rPr>
      </w:pPr>
      <w:r>
        <w:rPr>
          <w:rFonts w:ascii="Times New Roman" w:hAnsi="Times New Roman"/>
          <w:b/>
          <w:sz w:val="20"/>
        </w:rPr>
        <w:t xml:space="preserve">ARTICLE EIGHT </w:t>
      </w:r>
    </w:p>
    <w:p>
      <w:pPr>
        <w:pStyle w:val="TextBody"/>
        <w:spacing w:before="0" w:after="0"/>
        <w:jc w:val="center"/>
        <w:rPr>
          <w:rFonts w:ascii="Times New Roman" w:hAnsi="Times New Roman"/>
          <w:b/>
          <w:sz w:val="20"/>
        </w:rPr>
      </w:pPr>
      <w:r>
        <w:rPr>
          <w:rFonts w:ascii="Times New Roman" w:hAnsi="Times New Roman"/>
          <w:b/>
          <w:sz w:val="20"/>
        </w:rPr>
        <w:t xml:space="preserve">CONSOLIDATION, MERGER, CONVEYANCE, TRANSFER OR LEASE </w:t>
      </w:r>
    </w:p>
    <w:p>
      <w:pPr>
        <w:pStyle w:val="TextBody"/>
        <w:spacing w:before="180" w:after="0"/>
        <w:rPr>
          <w:rFonts w:ascii="Times New Roman" w:hAnsi="Times New Roman"/>
          <w:sz w:val="20"/>
        </w:rPr>
      </w:pPr>
      <w:r>
        <w:rPr>
          <w:rFonts w:ascii="Times New Roman" w:hAnsi="Times New Roman"/>
          <w:sz w:val="20"/>
        </w:rPr>
        <w:t xml:space="preserve">SECTION 801. </w:t>
      </w:r>
      <w:r>
        <w:rPr>
          <w:rFonts w:ascii="Times New Roman" w:hAnsi="Times New Roman"/>
          <w:b/>
          <w:sz w:val="20"/>
          <w:u w:val="single"/>
        </w:rPr>
        <w:t>Company May Consolidate, Etc., Only on Certain Terms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shall not, in a single transaction or a series of related transactions, consolidate with or merge into any other Person or permit any other Person to consolidate with or merge into the Company or, directly or indirectly, transfer, convey, sell, lease or otherwise dispose of all or substantially all of its assets, unless: </w:t>
      </w:r>
    </w:p>
    <w:p>
      <w:pPr>
        <w:pStyle w:val="TextBody"/>
        <w:spacing w:before="180" w:after="0"/>
        <w:rPr>
          <w:rFonts w:ascii="Times New Roman" w:hAnsi="Times New Roman"/>
          <w:sz w:val="20"/>
        </w:rPr>
      </w:pPr>
      <w:r>
        <w:rPr>
          <w:rFonts w:ascii="Times New Roman" w:hAnsi="Times New Roman"/>
          <w:sz w:val="20"/>
        </w:rPr>
        <w:t>(1) in a transaction in which the Company does not survive or in which the Company transfers, conveys, sells, leases or otherwise disposes of all or substantially all of its assets, the successor entity (for purposes of this Article Eight, a </w:t>
      </w:r>
      <w:r>
        <w:rPr>
          <w:rFonts w:ascii="Times New Roman" w:hAnsi="Times New Roman"/>
          <w:b/>
          <w:sz w:val="20"/>
        </w:rPr>
        <w:t>Successor Company</w:t>
      </w:r>
      <w:r>
        <w:rPr>
          <w:rFonts w:ascii="Times New Roman" w:hAnsi="Times New Roman"/>
          <w:sz w:val="20"/>
        </w:rPr>
        <w:t xml:space="preserve">) shall be a corporation, partnership, trust or other entity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w:t>
      </w:r>
    </w:p>
    <w:p>
      <w:pPr>
        <w:pStyle w:val="TextBody"/>
        <w:spacing w:before="180" w:after="0"/>
        <w:rPr>
          <w:rFonts w:ascii="Times New Roman" w:hAnsi="Times New Roman"/>
          <w:sz w:val="20"/>
        </w:rPr>
      </w:pPr>
      <w:r>
        <w:rPr>
          <w:rFonts w:ascii="Times New Roman" w:hAnsi="Times New Roman"/>
          <w:sz w:val="20"/>
        </w:rPr>
        <w:t xml:space="preserve">(2) immediately before and after giving pro forma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w:t>
      </w:r>
    </w:p>
    <w:p>
      <w:pPr>
        <w:pStyle w:val="TextBody"/>
        <w:spacing w:before="180" w:after="0"/>
        <w:rPr>
          <w:rFonts w:ascii="Times New Roman" w:hAnsi="Times New Roman"/>
          <w:sz w:val="20"/>
        </w:rPr>
      </w:pPr>
      <w:r>
        <w:rPr>
          <w:rFonts w:ascii="Times New Roman" w:hAnsi="Times New Roman"/>
          <w:sz w:val="20"/>
        </w:rPr>
        <w:t xml:space="preserve">(3) if, as a result of any such consolidation or merger or such transfer, conveyance, sale, lease or other disposition, properties or assets of the Company would become subject to a mortgage, pledge, lien, security interest or other encumbrance which would not be permitted by this Indenture, the Company or the Successor Company, as the case may be, shall take such steps as shall be necessary effectively to secure the Securities equally and ratably with (or prior to) all indebtedness secured thereby; </w:t>
      </w:r>
    </w:p>
    <w:p>
      <w:pPr>
        <w:pStyle w:val="TextBody"/>
        <w:spacing w:before="180" w:after="0"/>
        <w:rPr>
          <w:rFonts w:ascii="Times New Roman" w:hAnsi="Times New Roman"/>
          <w:sz w:val="20"/>
        </w:rPr>
      </w:pPr>
      <w:r>
        <w:rPr>
          <w:rFonts w:ascii="Times New Roman" w:hAnsi="Times New Roman"/>
          <w:sz w:val="20"/>
        </w:rPr>
        <w:t xml:space="preserve">(4) any other conditions provided pursuant to Section 301 with respect to the Securities of a series are satisfied; and </w:t>
      </w:r>
    </w:p>
    <w:p>
      <w:pPr>
        <w:pStyle w:val="TextBody"/>
        <w:spacing w:before="180" w:after="0"/>
        <w:rPr>
          <w:rFonts w:ascii="Times New Roman" w:hAnsi="Times New Roman"/>
          <w:sz w:val="20"/>
        </w:rPr>
      </w:pPr>
      <w:r>
        <w:rPr>
          <w:rFonts w:ascii="Times New Roman" w:hAnsi="Times New Roman"/>
          <w:sz w:val="20"/>
        </w:rPr>
        <w:t xml:space="preserve">(5) the Company has delivered to the Trustee an Officers Certificate and an Opinion of Counsel, each stating that such consolidation, merger, transfer, conveyance, sale, lease or other disposition and, if a supplemental indenture is required in connection with such transaction, such supplemental indenture comply with this Article and that all conditions precedent herein provided for relating to such transaction have been complied with.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802. </w:t>
      </w:r>
      <w:r>
        <w:rPr>
          <w:rFonts w:ascii="Times New Roman" w:hAnsi="Times New Roman"/>
          <w:b/>
          <w:sz w:val="20"/>
          <w:u w:val="single"/>
        </w:rPr>
        <w:t>Subsidiary Guarantors May Consolidate, Etc., Only on Certain Terms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Except in a transaction resulting in the release of a Subsidiary Guarantor in accordance with the terms of this Indenture, each Subsidiary Guarantor shall not, and the Company shall not permit any Subsidiary Guarantor to, in a single or a series of related transactions, consolidate or merge with or into any Person (other than the Company or another Subsidiary Guarantor) or permit any Person (other than another Subsidiary Guarantor) to consolidate or merge with or into such Subsidiary Guarantor or, directly or indirectly, transfer, convey, sell, lease or otherwise dispose of all or substantially all of its assets unless, in each case: </w:t>
      </w:r>
    </w:p>
    <w:p>
      <w:pPr>
        <w:pStyle w:val="TextBody"/>
        <w:spacing w:before="180" w:after="0"/>
        <w:rPr>
          <w:rFonts w:ascii="Times New Roman" w:hAnsi="Times New Roman"/>
          <w:sz w:val="20"/>
        </w:rPr>
      </w:pPr>
      <w:r>
        <w:rPr>
          <w:rFonts w:ascii="Times New Roman" w:hAnsi="Times New Roman"/>
          <w:sz w:val="20"/>
        </w:rPr>
        <w:t>(1) in a transaction in which such Subsidiary Guarantor does not survive or in which all or substantially all of the assets of such Subsidiary Guarantor are transferred, conveyed, sold, leased or otherwise disposed of, the successor entity (the </w:t>
      </w:r>
      <w:r>
        <w:rPr>
          <w:rFonts w:ascii="Times New Roman" w:hAnsi="Times New Roman"/>
          <w:b/>
          <w:sz w:val="20"/>
        </w:rPr>
        <w:t>Successor Subsidiary Guarantor</w:t>
      </w:r>
      <w:r>
        <w:rPr>
          <w:rFonts w:ascii="Times New Roman" w:hAnsi="Times New Roman"/>
          <w:sz w:val="20"/>
        </w:rPr>
        <w:t xml:space="preserve">) shall be a corporation, partnership, trust or other entity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all obligations of such Subsidiary Guarantor under its Subsidiary Guarantee and this Indenture and the performance of every covenant of this Indenture on the part of such Subsidiary Guarantor to be performed or observed; and </w:t>
      </w:r>
    </w:p>
    <w:p>
      <w:pPr>
        <w:pStyle w:val="TextBody"/>
        <w:spacing w:before="180" w:after="0"/>
        <w:rPr>
          <w:rFonts w:ascii="Times New Roman" w:hAnsi="Times New Roman"/>
          <w:sz w:val="20"/>
        </w:rPr>
      </w:pPr>
      <w:r>
        <w:rPr>
          <w:rFonts w:ascii="Times New Roman" w:hAnsi="Times New Roman"/>
          <w:sz w:val="20"/>
        </w:rPr>
        <w:t xml:space="preserve">(2) the Company has delivered to the Trustee an Officers Certificate and an Opinion of Counsel, each stating that such consolidation, merger, transfer, conveyance, sale, lease or other disposition and, if a supplemental indenture is required in connection with such transaction, such supplemental indenture, comply with this Article and that all conditions precedent herein provided for relating to such transaction have been complied with. </w:t>
      </w:r>
    </w:p>
    <w:p>
      <w:pPr>
        <w:pStyle w:val="TextBody"/>
        <w:spacing w:before="180" w:after="0"/>
        <w:rPr>
          <w:rFonts w:ascii="Times New Roman" w:hAnsi="Times New Roman"/>
          <w:sz w:val="20"/>
        </w:rPr>
      </w:pPr>
      <w:r>
        <w:rPr>
          <w:rFonts w:ascii="Times New Roman" w:hAnsi="Times New Roman"/>
          <w:sz w:val="20"/>
        </w:rPr>
        <w:t xml:space="preserve">SECTION 803. </w:t>
      </w:r>
      <w:r>
        <w:rPr>
          <w:rFonts w:ascii="Times New Roman" w:hAnsi="Times New Roman"/>
          <w:b/>
          <w:sz w:val="20"/>
          <w:u w:val="single"/>
        </w:rPr>
        <w:t>Successor Substituted</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Upon any consolidation of the Company with, or merger of the Company into, any other Person or any transfer, conveyance, sale, lease or other disposition of all or substantially all of the assets of the Company in accordance with Section 801, the Successor Company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 </w:t>
      </w:r>
    </w:p>
    <w:p>
      <w:pPr>
        <w:pStyle w:val="TextBody"/>
        <w:spacing w:before="180" w:after="0"/>
        <w:rPr>
          <w:rFonts w:ascii="Times New Roman" w:hAnsi="Times New Roman"/>
          <w:sz w:val="20"/>
        </w:rPr>
      </w:pPr>
      <w:r>
        <w:rPr>
          <w:rFonts w:ascii="Times New Roman" w:hAnsi="Times New Roman"/>
          <w:sz w:val="20"/>
        </w:rPr>
        <w:t xml:space="preserve">(b) Upon any consolidation of a Subsidiary Guarantor with, or merger of such Subsidiary Guarantor into, any other Person or any transfer, conveyance, sale, lease or other disposition of all or substantially all of the assets of such Subsidiary Guarantor in accordance with Section 802, the Successor Subsidiary Guarantor shall succeed to, and be substituted for, and may exercise every right and power of, such Subsidiary Guarantor under this Indenture with the same effect as if such successor Person had been named as a Subsidiary Guarantor herein, and thereafter, except in the case of a lease, the predecessor Person shall be relieved of all obligations and covenants under this Indenture and its Subsidiary Guarantee.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NINE </w:t>
      </w:r>
    </w:p>
    <w:p>
      <w:pPr>
        <w:pStyle w:val="TextBody"/>
        <w:spacing w:before="0" w:after="0"/>
        <w:jc w:val="center"/>
        <w:rPr>
          <w:rFonts w:ascii="Times New Roman" w:hAnsi="Times New Roman"/>
          <w:b/>
          <w:sz w:val="20"/>
        </w:rPr>
      </w:pPr>
      <w:r>
        <w:rPr>
          <w:rFonts w:ascii="Times New Roman" w:hAnsi="Times New Roman"/>
          <w:b/>
          <w:sz w:val="20"/>
        </w:rPr>
        <w:t xml:space="preserve">SUPPLEMENTAL INDENTURES </w:t>
      </w:r>
    </w:p>
    <w:p>
      <w:pPr>
        <w:pStyle w:val="TextBody"/>
        <w:spacing w:before="180" w:after="0"/>
        <w:rPr>
          <w:rFonts w:ascii="Times New Roman" w:hAnsi="Times New Roman"/>
          <w:sz w:val="20"/>
        </w:rPr>
      </w:pPr>
      <w:r>
        <w:rPr>
          <w:rFonts w:ascii="Times New Roman" w:hAnsi="Times New Roman"/>
          <w:sz w:val="20"/>
        </w:rPr>
        <w:t xml:space="preserve">SECTION 901. </w:t>
      </w:r>
      <w:r>
        <w:rPr>
          <w:rFonts w:ascii="Times New Roman" w:hAnsi="Times New Roman"/>
          <w:b/>
          <w:sz w:val="20"/>
          <w:u w:val="single"/>
        </w:rPr>
        <w:t>Supplemental Indentures Without Consent of Holders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Without the consent of any Holders, the Company, when authorized by a Board Resolution, the Subsidiary Guarantors, when authorized by their respective Board Resolutions, and the Trustee, at any time and from time to time, may enter into one or more indentures supplemental hereto, in form satisfactory to the Trustee, for any of the following purposes: </w:t>
      </w:r>
    </w:p>
    <w:p>
      <w:pPr>
        <w:pStyle w:val="TextBody"/>
        <w:spacing w:before="180" w:after="0"/>
        <w:rPr>
          <w:rFonts w:ascii="Times New Roman" w:hAnsi="Times New Roman"/>
          <w:sz w:val="20"/>
        </w:rPr>
      </w:pPr>
      <w:r>
        <w:rPr>
          <w:rFonts w:ascii="Times New Roman" w:hAnsi="Times New Roman"/>
          <w:sz w:val="20"/>
        </w:rPr>
        <w:t xml:space="preserve">(1) to evidence the succession of another Person to the Company or any Subsidiary Guarantor and the assumption by any such successor of the covenants of the Company or any Subsidiary Guarantor herein and in the Securities or Subsidiary Guarantees, as the case may be; or </w:t>
      </w:r>
    </w:p>
    <w:p>
      <w:pPr>
        <w:pStyle w:val="TextBody"/>
        <w:spacing w:before="180" w:after="0"/>
        <w:rPr>
          <w:rFonts w:ascii="Times New Roman" w:hAnsi="Times New Roman"/>
          <w:sz w:val="20"/>
        </w:rPr>
      </w:pPr>
      <w:r>
        <w:rPr>
          <w:rFonts w:ascii="Times New Roman" w:hAnsi="Times New Roman"/>
          <w:sz w:val="20"/>
        </w:rPr>
        <w:t xml:space="preserve">(2) to add to the covenants of the Company or the Subsidiary Guarantors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the Subsidiary Guarantors; or </w:t>
      </w:r>
    </w:p>
    <w:p>
      <w:pPr>
        <w:pStyle w:val="TextBody"/>
        <w:spacing w:before="180" w:after="0"/>
        <w:rPr>
          <w:rFonts w:ascii="Times New Roman" w:hAnsi="Times New Roman"/>
          <w:sz w:val="20"/>
        </w:rPr>
      </w:pPr>
      <w:r>
        <w:rPr>
          <w:rFonts w:ascii="Times New Roman" w:hAnsi="Times New Roman"/>
          <w:sz w:val="20"/>
        </w:rPr>
        <w:t xml:space="preserve">(3) 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 </w:t>
      </w:r>
    </w:p>
    <w:p>
      <w:pPr>
        <w:pStyle w:val="TextBody"/>
        <w:spacing w:before="180" w:after="0"/>
        <w:rPr>
          <w:rFonts w:ascii="Times New Roman" w:hAnsi="Times New Roman"/>
          <w:sz w:val="20"/>
        </w:rPr>
      </w:pPr>
      <w:r>
        <w:rPr>
          <w:rFonts w:ascii="Times New Roman" w:hAnsi="Times New Roman"/>
          <w:sz w:val="20"/>
        </w:rPr>
        <w:t xml:space="preserve">(4)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 </w:t>
      </w:r>
    </w:p>
    <w:p>
      <w:pPr>
        <w:pStyle w:val="TextBody"/>
        <w:spacing w:before="180" w:after="0"/>
        <w:rPr>
          <w:rFonts w:ascii="Times New Roman" w:hAnsi="Times New Roman"/>
          <w:sz w:val="20"/>
        </w:rPr>
      </w:pPr>
      <w:r>
        <w:rPr>
          <w:rFonts w:ascii="Times New Roman" w:hAnsi="Times New Roman"/>
          <w:sz w:val="20"/>
        </w:rPr>
        <w:t xml:space="preserve">(5) 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 </w:t>
      </w:r>
    </w:p>
    <w:p>
      <w:pPr>
        <w:pStyle w:val="TextBody"/>
        <w:spacing w:before="180" w:after="0"/>
        <w:rPr>
          <w:rFonts w:ascii="Times New Roman" w:hAnsi="Times New Roman"/>
          <w:sz w:val="20"/>
        </w:rPr>
      </w:pPr>
      <w:r>
        <w:rPr>
          <w:rFonts w:ascii="Times New Roman" w:hAnsi="Times New Roman"/>
          <w:sz w:val="20"/>
        </w:rPr>
        <w:t xml:space="preserve">(6) to secure the Securities; or </w:t>
      </w:r>
    </w:p>
    <w:p>
      <w:pPr>
        <w:pStyle w:val="TextBody"/>
        <w:spacing w:before="180" w:after="0"/>
        <w:rPr>
          <w:rFonts w:ascii="Times New Roman" w:hAnsi="Times New Roman"/>
          <w:sz w:val="20"/>
        </w:rPr>
      </w:pPr>
      <w:r>
        <w:rPr>
          <w:rFonts w:ascii="Times New Roman" w:hAnsi="Times New Roman"/>
          <w:sz w:val="20"/>
        </w:rPr>
        <w:t xml:space="preserve">(7) to establish the form or terms of Securities of any series as permitted by Sections 201 and 301; or </w:t>
      </w:r>
    </w:p>
    <w:p>
      <w:pPr>
        <w:pStyle w:val="TextBody"/>
        <w:spacing w:before="180" w:after="0"/>
        <w:rPr>
          <w:rFonts w:ascii="Times New Roman" w:hAnsi="Times New Roman"/>
          <w:sz w:val="20"/>
        </w:rPr>
      </w:pPr>
      <w:r>
        <w:rPr>
          <w:rFonts w:ascii="Times New Roman" w:hAnsi="Times New Roman"/>
          <w:sz w:val="20"/>
        </w:rPr>
        <w:t xml:space="preserve">(8)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(9) to cure any ambiguity, to correct or supplement any provision herein which may be defective or inconsistent with any other provision herein; or </w:t>
      </w:r>
    </w:p>
    <w:p>
      <w:pPr>
        <w:pStyle w:val="TextBody"/>
        <w:spacing w:before="180" w:after="0"/>
        <w:rPr>
          <w:rFonts w:ascii="Times New Roman" w:hAnsi="Times New Roman"/>
          <w:sz w:val="20"/>
        </w:rPr>
      </w:pPr>
      <w:r>
        <w:rPr>
          <w:rFonts w:ascii="Times New Roman" w:hAnsi="Times New Roman"/>
          <w:sz w:val="20"/>
        </w:rPr>
        <w:t xml:space="preserve">(10) to make any other provisions with respect to matters or questions arising under this Indenture, provided that such action pursuant to this clause (10) shall not adversely affect the interests of the Holders of Securities of any series in any material respect; or </w:t>
      </w:r>
    </w:p>
    <w:p>
      <w:pPr>
        <w:pStyle w:val="TextBody"/>
        <w:spacing w:before="180" w:after="0"/>
        <w:rPr>
          <w:rFonts w:ascii="Times New Roman" w:hAnsi="Times New Roman"/>
          <w:sz w:val="20"/>
        </w:rPr>
      </w:pPr>
      <w:r>
        <w:rPr>
          <w:rFonts w:ascii="Times New Roman" w:hAnsi="Times New Roman"/>
          <w:sz w:val="20"/>
        </w:rPr>
        <w:t xml:space="preserve">(11) to add new Subsidiary Guarantors. </w:t>
      </w:r>
    </w:p>
    <w:p>
      <w:pPr>
        <w:pStyle w:val="TextBody"/>
        <w:spacing w:before="180" w:after="0"/>
        <w:rPr>
          <w:rFonts w:ascii="Times New Roman" w:hAnsi="Times New Roman"/>
          <w:sz w:val="20"/>
        </w:rPr>
      </w:pPr>
      <w:r>
        <w:rPr>
          <w:rFonts w:ascii="Times New Roman" w:hAnsi="Times New Roman"/>
          <w:sz w:val="20"/>
        </w:rPr>
        <w:t xml:space="preserve">SECTION 902. </w:t>
      </w:r>
      <w:r>
        <w:rPr>
          <w:rFonts w:ascii="Times New Roman" w:hAnsi="Times New Roman"/>
          <w:b/>
          <w:sz w:val="20"/>
          <w:u w:val="single"/>
        </w:rPr>
        <w:t>Supplemental Indentures With Consent of Holders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With the consent of the Holders of a majority in principal amount of the Outstanding Securities of each series affected by such supplemental indenture, by Act of said Holders delivered to the Company, the Subsidiary Guarantors and the Trustee, the Company, when authorized by a Board Resolution, the Subsidiary Guarantors, when authorized by their respective Board Resolutions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 </w:t>
      </w:r>
    </w:p>
    <w:p>
      <w:pPr>
        <w:pStyle w:val="TextBody"/>
        <w:spacing w:before="180" w:after="0"/>
        <w:rPr>
          <w:rFonts w:ascii="Times New Roman" w:hAnsi="Times New Roman"/>
          <w:sz w:val="20"/>
        </w:rPr>
      </w:pPr>
      <w:r>
        <w:rPr>
          <w:rFonts w:ascii="Times New Roman" w:hAnsi="Times New Roman"/>
          <w:sz w:val="20"/>
        </w:rPr>
        <w:t xml:space="preserve">(1) 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 any such payment on or after the Stated Maturity thereof (or, in the case of redemption, on or after the Redemption Date or in the case of an offer to purchase Securities which has been made pursuant to a covenant contained in this Indenture, on or after the applicable purchase date) or (b) any conversion right with respect to any Security, or modify the provisions of this Indenture with respect to the conversion of the Securities, in a manner adverse to the Holders, or release any Subsidiary Guarantee other than as provided in this Indenture; or </w:t>
      </w:r>
    </w:p>
    <w:p>
      <w:pPr>
        <w:pStyle w:val="TextBody"/>
        <w:spacing w:before="180" w:after="0"/>
        <w:rPr>
          <w:rFonts w:ascii="Times New Roman" w:hAnsi="Times New Roman"/>
          <w:sz w:val="20"/>
        </w:rPr>
      </w:pPr>
      <w:r>
        <w:rPr>
          <w:rFonts w:ascii="Times New Roman" w:hAnsi="Times New Roman"/>
          <w:sz w:val="20"/>
        </w:rPr>
        <w:t xml:space="preserve">(2) 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(3) modify any of the provisions of this Section, Section 513 or Section 1009,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1009, or the deletion of this proviso, in accordance with the requirements of Sections 611 and 901(8); or </w:t>
      </w:r>
    </w:p>
    <w:p>
      <w:pPr>
        <w:pStyle w:val="TextBody"/>
        <w:spacing w:before="180" w:after="0"/>
        <w:rPr>
          <w:rFonts w:ascii="Times New Roman" w:hAnsi="Times New Roman"/>
          <w:sz w:val="20"/>
        </w:rPr>
      </w:pPr>
      <w:r>
        <w:rPr>
          <w:rFonts w:ascii="Times New Roman" w:hAnsi="Times New Roman"/>
          <w:sz w:val="20"/>
        </w:rPr>
        <w:t xml:space="preserve">(4) following the making of an offer to purchase Securities from any Holder which has been made pursuant to a covenant contained in this Indenture, modify the provisions of this Indenture with respect to such offer to purchase in a manner adverse to such Holder. </w:t>
      </w:r>
    </w:p>
    <w:p>
      <w:pPr>
        <w:pStyle w:val="TextBody"/>
        <w:spacing w:before="180" w:after="0"/>
        <w:rPr>
          <w:rFonts w:ascii="Times New Roman" w:hAnsi="Times New Roman"/>
          <w:sz w:val="20"/>
        </w:rPr>
      </w:pPr>
      <w:r>
        <w:rPr>
          <w:rFonts w:ascii="Times New Roman" w:hAnsi="Times New Roman"/>
          <w:sz w:val="20"/>
        </w:rPr>
        <w:t xml:space="preserve">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w:t>
      </w:r>
    </w:p>
    <w:p>
      <w:pPr>
        <w:pStyle w:val="TextBody"/>
        <w:spacing w:before="180" w:after="0"/>
        <w:rPr>
          <w:rFonts w:ascii="Times New Roman" w:hAnsi="Times New Roman"/>
          <w:sz w:val="20"/>
        </w:rPr>
      </w:pPr>
      <w:r>
        <w:rPr>
          <w:rFonts w:ascii="Times New Roman" w:hAnsi="Times New Roman"/>
          <w:sz w:val="20"/>
        </w:rPr>
        <w:t xml:space="preserve">It shall not be necessary for any Act of Holders under this Section to approve the particular form of any proposed supplemental indenture, but it shall be sufficient if such Act shall approve the substance thereof. </w:t>
      </w:r>
    </w:p>
    <w:p>
      <w:pPr>
        <w:pStyle w:val="TextBody"/>
        <w:spacing w:before="180" w:after="0"/>
        <w:rPr>
          <w:rFonts w:ascii="Times New Roman" w:hAnsi="Times New Roman"/>
          <w:sz w:val="20"/>
        </w:rPr>
      </w:pPr>
      <w:r>
        <w:rPr>
          <w:rFonts w:ascii="Times New Roman" w:hAnsi="Times New Roman"/>
          <w:sz w:val="20"/>
        </w:rPr>
        <w:t xml:space="preserve">After a supplemental indenture under this Section 902 requiring the consent of the Holders of any series of Debt Securities is approved, the Company shall mail to Holders of that series of Debt Securities a notice briefly describing any amendment or supplement hereto effected by such supplemental indenture. The failure to give such notice to any such Holders, or any defect therein, shall not impair or affect the validity of any amendment or supplement hereto effected by such supplemental indenture with respect to other Holders. </w:t>
      </w:r>
    </w:p>
    <w:p>
      <w:pPr>
        <w:pStyle w:val="TextBody"/>
        <w:spacing w:before="180" w:after="0"/>
        <w:rPr>
          <w:rFonts w:ascii="Times New Roman" w:hAnsi="Times New Roman"/>
          <w:sz w:val="20"/>
        </w:rPr>
      </w:pPr>
      <w:r>
        <w:rPr>
          <w:rFonts w:ascii="Times New Roman" w:hAnsi="Times New Roman"/>
          <w:sz w:val="20"/>
        </w:rPr>
        <w:t xml:space="preserve">SECTION 903. </w:t>
      </w:r>
      <w:r>
        <w:rPr>
          <w:rFonts w:ascii="Times New Roman" w:hAnsi="Times New Roman"/>
          <w:b/>
          <w:sz w:val="20"/>
          <w:u w:val="single"/>
        </w:rPr>
        <w:t>Execution of Supplemental Indentures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 </w:t>
      </w:r>
    </w:p>
    <w:p>
      <w:pPr>
        <w:pStyle w:val="TextBody"/>
        <w:spacing w:before="180" w:after="0"/>
        <w:rPr>
          <w:rFonts w:ascii="Times New Roman" w:hAnsi="Times New Roman"/>
          <w:sz w:val="20"/>
        </w:rPr>
      </w:pPr>
      <w:r>
        <w:rPr>
          <w:rFonts w:ascii="Times New Roman" w:hAnsi="Times New Roman"/>
          <w:sz w:val="20"/>
        </w:rPr>
        <w:t xml:space="preserve">SECTION 904. </w:t>
      </w:r>
      <w:r>
        <w:rPr>
          <w:rFonts w:ascii="Times New Roman" w:hAnsi="Times New Roman"/>
          <w:b/>
          <w:sz w:val="20"/>
          <w:u w:val="single"/>
        </w:rPr>
        <w:t>Effect of Supplemental Indentures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w:t>
      </w:r>
    </w:p>
    <w:p>
      <w:pPr>
        <w:pStyle w:val="TextBody"/>
        <w:spacing w:before="180" w:after="0"/>
        <w:rPr>
          <w:rFonts w:ascii="Times New Roman" w:hAnsi="Times New Roman"/>
          <w:sz w:val="20"/>
        </w:rPr>
      </w:pPr>
      <w:r>
        <w:rPr>
          <w:rFonts w:ascii="Times New Roman" w:hAnsi="Times New Roman"/>
          <w:sz w:val="20"/>
        </w:rPr>
        <w:t xml:space="preserve">SECTION 905. </w:t>
      </w:r>
      <w:r>
        <w:rPr>
          <w:rFonts w:ascii="Times New Roman" w:hAnsi="Times New Roman"/>
          <w:b/>
          <w:sz w:val="20"/>
          <w:u w:val="single"/>
        </w:rPr>
        <w:t>Conformity with Trust Indenture Act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Every supplemental indenture executed pursuant to this Article shall conform to the requirements of the Trust Indenture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906. </w:t>
      </w:r>
      <w:r>
        <w:rPr>
          <w:rFonts w:ascii="Times New Roman" w:hAnsi="Times New Roman"/>
          <w:b/>
          <w:sz w:val="20"/>
          <w:u w:val="single"/>
        </w:rPr>
        <w:t>Reference in Securities to Supplemental Indentures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if applicable the notations of Subsidiary Guarantees may be endorsed thereon and such new Securities may be authenticated and delivered by the Trustee in exchange for Outstanding Securities of such series. </w:t>
      </w:r>
    </w:p>
    <w:p>
      <w:pPr>
        <w:pStyle w:val="TextBody"/>
        <w:spacing w:before="270" w:after="0"/>
        <w:jc w:val="center"/>
        <w:rPr>
          <w:rFonts w:ascii="Times New Roman" w:hAnsi="Times New Roman"/>
          <w:b/>
          <w:sz w:val="20"/>
        </w:rPr>
      </w:pPr>
      <w:r>
        <w:rPr>
          <w:rFonts w:ascii="Times New Roman" w:hAnsi="Times New Roman"/>
          <w:b/>
          <w:sz w:val="20"/>
        </w:rPr>
        <w:t xml:space="preserve">ARTICLE TEN </w:t>
      </w:r>
    </w:p>
    <w:p>
      <w:pPr>
        <w:pStyle w:val="TextBody"/>
        <w:spacing w:before="0" w:after="0"/>
        <w:jc w:val="center"/>
        <w:rPr>
          <w:rFonts w:ascii="Times New Roman" w:hAnsi="Times New Roman"/>
          <w:b/>
          <w:sz w:val="20"/>
        </w:rPr>
      </w:pPr>
      <w:r>
        <w:rPr>
          <w:rFonts w:ascii="Times New Roman" w:hAnsi="Times New Roman"/>
          <w:b/>
          <w:sz w:val="20"/>
        </w:rPr>
        <w:t xml:space="preserve">COVENANTS </w:t>
      </w:r>
    </w:p>
    <w:p>
      <w:pPr>
        <w:pStyle w:val="TextBody"/>
        <w:spacing w:before="180" w:after="0"/>
        <w:rPr>
          <w:rFonts w:ascii="Times New Roman" w:hAnsi="Times New Roman"/>
          <w:sz w:val="20"/>
        </w:rPr>
      </w:pPr>
      <w:r>
        <w:rPr>
          <w:rFonts w:ascii="Times New Roman" w:hAnsi="Times New Roman"/>
          <w:sz w:val="20"/>
        </w:rPr>
        <w:t xml:space="preserve">SECTION 1001. </w:t>
      </w:r>
      <w:r>
        <w:rPr>
          <w:rFonts w:ascii="Times New Roman" w:hAnsi="Times New Roman"/>
          <w:b/>
          <w:sz w:val="20"/>
          <w:u w:val="single"/>
        </w:rPr>
        <w:t>Payment of Principal, Premium and Interest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covenants and agrees for the benefit of each series of Securities that it will duly and punctually pay the principal of and any premium and interest on the Securities of that series in accordance with the terms of the Securities and this Indenture. Principal, premium, if any, and interest shall be considered paid on the date due if the Paying Agent, if other than the Company or a Subsidiary thereof, holds as of 11:00 A.M., New York City time, on the due date money deposited with it in immediately available funds and designated for and sufficient to pay all principal, premium, if any, and interest then due. </w:t>
      </w:r>
    </w:p>
    <w:p>
      <w:pPr>
        <w:pStyle w:val="TextBody"/>
        <w:spacing w:before="180" w:after="0"/>
        <w:rPr>
          <w:rFonts w:ascii="Times New Roman" w:hAnsi="Times New Roman"/>
          <w:sz w:val="20"/>
        </w:rPr>
      </w:pPr>
      <w:r>
        <w:rPr>
          <w:rFonts w:ascii="Times New Roman" w:hAnsi="Times New Roman"/>
          <w:sz w:val="20"/>
        </w:rPr>
        <w:t xml:space="preserve">SECTION 1002. </w:t>
      </w:r>
      <w:r>
        <w:rPr>
          <w:rFonts w:ascii="Times New Roman" w:hAnsi="Times New Roman"/>
          <w:b/>
          <w:sz w:val="20"/>
          <w:u w:val="single"/>
        </w:rPr>
        <w:t>Maintenance of Office or Agency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will maintain in each Place of Payment for any series of Securities an office or agency where Securities of that series may be presented or surrendered for payment or, if applicable, for conversion, where Securities of that series may be surrendered for registration of transfer or exchange and where notices and demands to or upon the Company or any Subsidiary Guarantor in respect of the Securities of that series or any Subsidiary Guarantee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each of the Company and Subsidiary Guarantors hereby appoints the Trustee as its agent to receive all such presentations, surrenders, notices and demands. </w:t>
      </w:r>
    </w:p>
    <w:p>
      <w:pPr>
        <w:pStyle w:val="TextBody"/>
        <w:spacing w:before="180" w:after="0"/>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1003. </w:t>
      </w:r>
      <w:r>
        <w:rPr>
          <w:rFonts w:ascii="Times New Roman" w:hAnsi="Times New Roman"/>
          <w:b/>
          <w:sz w:val="20"/>
          <w:u w:val="single"/>
        </w:rPr>
        <w:t>Money for Securities Payments to Be Held in Trust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the Company or any Subsidiary Guarantor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 </w:t>
      </w:r>
    </w:p>
    <w:p>
      <w:pPr>
        <w:pStyle w:val="TextBody"/>
        <w:spacing w:before="180" w:after="0"/>
        <w:rPr>
          <w:rFonts w:ascii="Times New Roman" w:hAnsi="Times New Roman"/>
          <w:sz w:val="20"/>
        </w:rPr>
      </w:pPr>
      <w:r>
        <w:rPr>
          <w:rFonts w:ascii="Times New Roman" w:hAnsi="Times New Roman"/>
          <w:sz w:val="20"/>
        </w:rPr>
        <w:t xml:space="preserve">Whenever the Company shall have one or more Paying Agents for any series of Securities, it will, prior to 11:00 A.M., New York City time, on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 </w:t>
      </w:r>
    </w:p>
    <w:p>
      <w:pPr>
        <w:pStyle w:val="TextBody"/>
        <w:spacing w:before="180" w:after="0"/>
        <w:rPr>
          <w:rFonts w:ascii="Times New Roman" w:hAnsi="Times New Roman"/>
          <w:sz w:val="20"/>
        </w:rPr>
      </w:pPr>
      <w:r>
        <w:rPr>
          <w:rFonts w:ascii="Times New Roman" w:hAnsi="Times New Roman"/>
          <w:sz w:val="20"/>
        </w:rPr>
        <w:t xml:space="preserve">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the Subsidiary Guarantors, if applicable,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 </w:t>
      </w:r>
    </w:p>
    <w:p>
      <w:pPr>
        <w:pStyle w:val="TextBody"/>
        <w:spacing w:before="180" w:after="0"/>
        <w:rPr>
          <w:rFonts w:ascii="Times New Roman" w:hAnsi="Times New Roman"/>
          <w:sz w:val="20"/>
        </w:rPr>
      </w:pPr>
      <w:r>
        <w:rPr>
          <w:rFonts w:ascii="Times New Roman" w:hAnsi="Times New Roman"/>
          <w:sz w:val="20"/>
        </w:rPr>
        <w:t xml:space="preserve">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 </w:t>
      </w:r>
    </w:p>
    <w:p>
      <w:pPr>
        <w:pStyle w:val="TextBody"/>
        <w:spacing w:before="180" w:after="0"/>
        <w:rPr>
          <w:rFonts w:ascii="Times New Roman" w:hAnsi="Times New Roman"/>
          <w:sz w:val="20"/>
        </w:rPr>
      </w:pPr>
      <w:r>
        <w:rPr>
          <w:rFonts w:ascii="Times New Roman" w:hAnsi="Times New Roman"/>
          <w:sz w:val="20"/>
        </w:rPr>
        <w:t xml:space="preserve">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New York, notice that such money remains unclaimed and that, after a date specified therein, which shall not be less than 30 days from the date of such publication, any unclaimed balance of such money then remaining will be repaid to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1004. </w:t>
      </w:r>
      <w:r>
        <w:rPr>
          <w:rFonts w:ascii="Times New Roman" w:hAnsi="Times New Roman"/>
          <w:b/>
          <w:sz w:val="20"/>
          <w:u w:val="single"/>
        </w:rPr>
        <w:t>Statement by Officers as to Default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The Company and the Subsidiary Guarantors will deliver to the Trustee, within 90 days after the end of each fiscal year of the Company ending after the date hereof, an Officers Certificate, stating whether or not to the best knowledge of the signers thereof the Company or any Subsidiary Guarantor, as the case may be, is in default in the performance and observance of any of the terms, provisions and conditions of this Indenture (without regard to any period of grace or requirement of notice provided hereunder) and, if the Company or any Subsidiary Guarantor shall be in default, specifying all such defaults and the nature and status thereof of which they may have knowledge. </w:t>
      </w:r>
    </w:p>
    <w:p>
      <w:pPr>
        <w:pStyle w:val="TextBody"/>
        <w:spacing w:before="180" w:after="0"/>
        <w:rPr>
          <w:rFonts w:ascii="Times New Roman" w:hAnsi="Times New Roman"/>
          <w:sz w:val="20"/>
        </w:rPr>
      </w:pPr>
      <w:r>
        <w:rPr>
          <w:rFonts w:ascii="Times New Roman" w:hAnsi="Times New Roman"/>
          <w:sz w:val="20"/>
        </w:rPr>
        <w:t xml:space="preserve">(b) The Company shall, so long as any series of Securities is Outstanding, deliver to the Trustee, as soon as possible and in any event within five days after the Company becomes aware of the occurrence of an Event of Default or an event which, with notice or the lapse of time or both, would constitute an Event of Default, an Officers Certificate setting forth the details of such Event of Default or default, and the action which the Company proposes to take with respect thereto. </w:t>
      </w:r>
    </w:p>
    <w:p>
      <w:pPr>
        <w:pStyle w:val="TextBody"/>
        <w:spacing w:before="180" w:after="0"/>
        <w:rPr>
          <w:rFonts w:ascii="Times New Roman" w:hAnsi="Times New Roman"/>
          <w:sz w:val="20"/>
        </w:rPr>
      </w:pPr>
      <w:r>
        <w:rPr>
          <w:rFonts w:ascii="Times New Roman" w:hAnsi="Times New Roman"/>
          <w:sz w:val="20"/>
        </w:rPr>
        <w:t xml:space="preserve">SECTION 1005. </w:t>
      </w:r>
      <w:r>
        <w:rPr>
          <w:rFonts w:ascii="Times New Roman" w:hAnsi="Times New Roman"/>
          <w:b/>
          <w:sz w:val="20"/>
          <w:u w:val="single"/>
        </w:rPr>
        <w:t>Existence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Subject to Article Eight, the Company will do or cause to be done all things necessary to preserve and keep in full force and effect the existence, rights (charter and statutory) and franchises of the Company; provided, however, that the Company shall not be required to preserve any such right or franchise if it shall determine that the preservation thereof is no longer desirable in the conduct of the business of the Company and that the loss thereof is not disadvantageous in any material respect to the Holders. </w:t>
      </w:r>
    </w:p>
    <w:p>
      <w:pPr>
        <w:pStyle w:val="TextBody"/>
        <w:spacing w:before="180" w:after="0"/>
        <w:rPr>
          <w:rFonts w:ascii="Times New Roman" w:hAnsi="Times New Roman"/>
          <w:sz w:val="20"/>
        </w:rPr>
      </w:pPr>
      <w:r>
        <w:rPr>
          <w:rFonts w:ascii="Times New Roman" w:hAnsi="Times New Roman"/>
          <w:sz w:val="20"/>
        </w:rPr>
        <w:t xml:space="preserve">SECTION 1006. </w:t>
      </w:r>
      <w:r>
        <w:rPr>
          <w:rFonts w:ascii="Times New Roman" w:hAnsi="Times New Roman"/>
          <w:b/>
          <w:sz w:val="20"/>
          <w:u w:val="single"/>
        </w:rPr>
        <w:t>Maintenance of Properties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will cause all properties used or useful in the conduct of its business or the business of any Subsidiary to be maintained and kept in good condition, repair and working order (reasonable wear and tear excepted)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1007. </w:t>
      </w:r>
      <w:r>
        <w:rPr>
          <w:rFonts w:ascii="Times New Roman" w:hAnsi="Times New Roman"/>
          <w:b/>
          <w:sz w:val="20"/>
          <w:u w:val="single"/>
        </w:rPr>
        <w:t>Payment of Taxes and Other Claims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 </w:t>
      </w:r>
    </w:p>
    <w:p>
      <w:pPr>
        <w:pStyle w:val="TextBody"/>
        <w:spacing w:before="180" w:after="0"/>
        <w:rPr>
          <w:rFonts w:ascii="Times New Roman" w:hAnsi="Times New Roman"/>
          <w:sz w:val="20"/>
        </w:rPr>
      </w:pPr>
      <w:r>
        <w:rPr>
          <w:rFonts w:ascii="Times New Roman" w:hAnsi="Times New Roman"/>
          <w:sz w:val="20"/>
        </w:rPr>
        <w:t xml:space="preserve">SECTION 1008. </w:t>
      </w:r>
      <w:r>
        <w:rPr>
          <w:rFonts w:ascii="Times New Roman" w:hAnsi="Times New Roman"/>
          <w:b/>
          <w:sz w:val="20"/>
          <w:u w:val="single"/>
        </w:rPr>
        <w:t>Maintenance of Insurance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shall, and shall cause its Subsidiaries to, keep at all times all of their properties which are of an insurable nature insured against loss or damage with insurers believed by the Company to be responsible to the extent that property of similar character is usually so insured by corporations similarly situated and owning like properties in accordance with good business practice. </w:t>
      </w:r>
    </w:p>
    <w:p>
      <w:pPr>
        <w:pStyle w:val="TextBody"/>
        <w:spacing w:before="180" w:after="0"/>
        <w:rPr>
          <w:rFonts w:ascii="Times New Roman" w:hAnsi="Times New Roman"/>
          <w:sz w:val="20"/>
        </w:rPr>
      </w:pPr>
      <w:r>
        <w:rPr>
          <w:rFonts w:ascii="Times New Roman" w:hAnsi="Times New Roman"/>
          <w:sz w:val="20"/>
        </w:rPr>
        <w:t xml:space="preserve">SECTION 1009. </w:t>
      </w:r>
      <w:r>
        <w:rPr>
          <w:rFonts w:ascii="Times New Roman" w:hAnsi="Times New Roman"/>
          <w:b/>
          <w:sz w:val="20"/>
          <w:u w:val="single"/>
        </w:rPr>
        <w:t>Waiver of Certain Covenants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Except as otherwise specified as contemplated by Section 301 for Securities of such series, the Company and the Subsidiary Guarantors may, with respect to the Securities of any series, omit in any particular instance to comply with any term, provision or condition set forth in any of Sections 1005 through 1008 or in any covenant provided pursuant to Section 301(21), 901(2) or 901(7)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 </w:t>
      </w:r>
    </w:p>
    <w:p>
      <w:pPr>
        <w:pStyle w:val="TextBody"/>
        <w:spacing w:before="270" w:after="0"/>
        <w:jc w:val="center"/>
        <w:rPr>
          <w:rFonts w:ascii="Times New Roman" w:hAnsi="Times New Roman"/>
          <w:b/>
          <w:sz w:val="20"/>
        </w:rPr>
      </w:pPr>
      <w:r>
        <w:rPr>
          <w:rFonts w:ascii="Times New Roman" w:hAnsi="Times New Roman"/>
          <w:b/>
          <w:sz w:val="20"/>
        </w:rPr>
        <w:t xml:space="preserve">ARTICLE ELEVEN </w:t>
      </w:r>
    </w:p>
    <w:p>
      <w:pPr>
        <w:pStyle w:val="TextBody"/>
        <w:spacing w:before="0" w:after="0"/>
        <w:jc w:val="center"/>
        <w:rPr>
          <w:rFonts w:ascii="Times New Roman" w:hAnsi="Times New Roman"/>
          <w:b/>
          <w:sz w:val="20"/>
        </w:rPr>
      </w:pPr>
      <w:r>
        <w:rPr>
          <w:rFonts w:ascii="Times New Roman" w:hAnsi="Times New Roman"/>
          <w:b/>
          <w:sz w:val="20"/>
        </w:rPr>
        <w:t xml:space="preserve">REDEMPTION OF SECURITIES </w:t>
      </w:r>
    </w:p>
    <w:p>
      <w:pPr>
        <w:pStyle w:val="TextBody"/>
        <w:spacing w:before="180" w:after="0"/>
        <w:rPr>
          <w:rFonts w:ascii="Times New Roman" w:hAnsi="Times New Roman"/>
          <w:sz w:val="20"/>
        </w:rPr>
      </w:pPr>
      <w:r>
        <w:rPr>
          <w:rFonts w:ascii="Times New Roman" w:hAnsi="Times New Roman"/>
          <w:sz w:val="20"/>
        </w:rPr>
        <w:t xml:space="preserve">SECTION 1101. </w:t>
      </w:r>
      <w:r>
        <w:rPr>
          <w:rFonts w:ascii="Times New Roman" w:hAnsi="Times New Roman"/>
          <w:b/>
          <w:sz w:val="20"/>
          <w:u w:val="single"/>
        </w:rPr>
        <w:t>Applicability of Article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Securities of any series which are redeemable before their Stated Maturity shall be redeemable in accordance with their terms and (except as otherwise specified as contemplated by Section 301 for such Securities) in accordance with this Article. </w:t>
      </w:r>
    </w:p>
    <w:p>
      <w:pPr>
        <w:pStyle w:val="TextBody"/>
        <w:spacing w:before="180" w:after="0"/>
        <w:rPr>
          <w:rFonts w:ascii="Times New Roman" w:hAnsi="Times New Roman"/>
          <w:sz w:val="20"/>
        </w:rPr>
      </w:pPr>
      <w:r>
        <w:rPr>
          <w:rFonts w:ascii="Times New Roman" w:hAnsi="Times New Roman"/>
          <w:sz w:val="20"/>
        </w:rPr>
        <w:t xml:space="preserve">SECTION 1102. </w:t>
      </w:r>
      <w:r>
        <w:rPr>
          <w:rFonts w:ascii="Times New Roman" w:hAnsi="Times New Roman"/>
          <w:b/>
          <w:sz w:val="20"/>
          <w:u w:val="single"/>
        </w:rPr>
        <w:t>Election to Redeem; Notice to Trustee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five Business Days prior to giving notice of such redemption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1103. </w:t>
      </w:r>
      <w:r>
        <w:rPr>
          <w:rFonts w:ascii="Times New Roman" w:hAnsi="Times New Roman"/>
          <w:b/>
          <w:sz w:val="20"/>
          <w:u w:val="single"/>
        </w:rPr>
        <w:t>Selection by Trustee of Securities to Be Redeemed</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less than all the Securities of any series are to be redeemed (unless all the Securities of such series and of a specified tenor are to be redeemed or unless such redemption affects only a single Security), the particular Securities to be redeemed shall be selected by the Trustee, from the Outstanding Securities of such series not previously called for redemption, (i) in compliance with the requirements of the principal national securities exchange on which such Securities are listed, if such Securities are listed on any national securities exchange, and (ii) if such Securities are not so listed, on a pro rata basis, by lot or by such other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by the Trustee, from the Outstanding Securities of such series and specified tenor not previously called for redemption in accordance with the preceding sentence. </w:t>
      </w:r>
    </w:p>
    <w:p>
      <w:pPr>
        <w:pStyle w:val="TextBody"/>
        <w:spacing w:before="180" w:after="0"/>
        <w:rPr>
          <w:rFonts w:ascii="Times New Roman" w:hAnsi="Times New Roman"/>
          <w:sz w:val="20"/>
        </w:rPr>
      </w:pPr>
      <w:r>
        <w:rPr>
          <w:rFonts w:ascii="Times New Roman" w:hAnsi="Times New Roman"/>
          <w:sz w:val="20"/>
        </w:rPr>
        <w:t xml:space="preserve">The Trustee shall promptly notify the Company in writing of the Securities selected for redemption as aforesaid and, in case of any Securities selected for partial redemption as aforesaid, the principal amount thereof to be redeemed. </w:t>
      </w:r>
    </w:p>
    <w:p>
      <w:pPr>
        <w:pStyle w:val="TextBody"/>
        <w:spacing w:before="180" w:after="0"/>
        <w:rPr>
          <w:rFonts w:ascii="Times New Roman" w:hAnsi="Times New Roman"/>
          <w:sz w:val="20"/>
        </w:rPr>
      </w:pPr>
      <w:r>
        <w:rPr>
          <w:rFonts w:ascii="Times New Roman" w:hAnsi="Times New Roman"/>
          <w:sz w:val="20"/>
        </w:rPr>
        <w:t xml:space="preserve">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 </w:t>
      </w:r>
    </w:p>
    <w:p>
      <w:pPr>
        <w:pStyle w:val="TextBody"/>
        <w:spacing w:before="180" w:after="0"/>
        <w:rPr>
          <w:rFonts w:ascii="Times New Roman" w:hAnsi="Times New Roman"/>
          <w:sz w:val="20"/>
        </w:rPr>
      </w:pPr>
      <w:r>
        <w:rPr>
          <w:rFonts w:ascii="Times New Roman" w:hAnsi="Times New Roman"/>
          <w:sz w:val="20"/>
        </w:rPr>
        <w:t xml:space="preserve">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of a series, for purposes of selection for redemption the Company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1104. </w:t>
      </w:r>
      <w:r>
        <w:rPr>
          <w:rFonts w:ascii="Times New Roman" w:hAnsi="Times New Roman"/>
          <w:b/>
          <w:sz w:val="20"/>
          <w:u w:val="single"/>
        </w:rPr>
        <w:t>Notice of Redemption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Notice of redemption shall be given by first-class mail, postage prepaid, mailed not less than 30 nor more than 60 days prior to the Redemption Date, to each Holder of Securities to be redeemed, at his address appearing in the Security Register; provided, however, notice of redemption may be given more than 60 days prior to the Redemption Date if the notice is issued in connection with a satisfaction and discharge pursuant to Article Four. </w:t>
      </w:r>
    </w:p>
    <w:p>
      <w:pPr>
        <w:pStyle w:val="TextBody"/>
        <w:spacing w:before="180" w:after="0"/>
        <w:rPr>
          <w:rFonts w:ascii="Times New Roman" w:hAnsi="Times New Roman"/>
          <w:sz w:val="20"/>
        </w:rPr>
      </w:pPr>
      <w:r>
        <w:rPr>
          <w:rFonts w:ascii="Times New Roman" w:hAnsi="Times New Roman"/>
          <w:sz w:val="20"/>
        </w:rPr>
        <w:t xml:space="preserve">All notices of redemption shall state: </w:t>
      </w:r>
    </w:p>
    <w:p>
      <w:pPr>
        <w:pStyle w:val="TextBody"/>
        <w:spacing w:before="180" w:after="0"/>
        <w:rPr>
          <w:rFonts w:ascii="Times New Roman" w:hAnsi="Times New Roman"/>
          <w:sz w:val="20"/>
        </w:rPr>
      </w:pPr>
      <w:r>
        <w:rPr>
          <w:rFonts w:ascii="Times New Roman" w:hAnsi="Times New Roman"/>
          <w:sz w:val="20"/>
        </w:rPr>
        <w:t xml:space="preserve">(1) the Redemption Date, </w:t>
      </w:r>
    </w:p>
    <w:p>
      <w:pPr>
        <w:pStyle w:val="TextBody"/>
        <w:spacing w:before="180" w:after="0"/>
        <w:rPr>
          <w:rFonts w:ascii="Times New Roman" w:hAnsi="Times New Roman"/>
          <w:sz w:val="20"/>
        </w:rPr>
      </w:pPr>
      <w:r>
        <w:rPr>
          <w:rFonts w:ascii="Times New Roman" w:hAnsi="Times New Roman"/>
          <w:sz w:val="20"/>
        </w:rPr>
        <w:t xml:space="preserve">(2) the Redemption Price, if then determinable and otherwise the method of its determination, </w:t>
      </w:r>
    </w:p>
    <w:p>
      <w:pPr>
        <w:pStyle w:val="TextBody"/>
        <w:spacing w:before="180" w:after="0"/>
        <w:rPr>
          <w:rFonts w:ascii="Times New Roman" w:hAnsi="Times New Roman"/>
          <w:sz w:val="20"/>
        </w:rPr>
      </w:pPr>
      <w:r>
        <w:rPr>
          <w:rFonts w:ascii="Times New Roman" w:hAnsi="Times New Roman"/>
          <w:sz w:val="20"/>
        </w:rPr>
        <w:t xml:space="preserve">(3) 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 </w:t>
      </w:r>
    </w:p>
    <w:p>
      <w:pPr>
        <w:pStyle w:val="TextBody"/>
        <w:spacing w:before="180" w:after="0"/>
        <w:rPr>
          <w:rFonts w:ascii="Times New Roman" w:hAnsi="Times New Roman"/>
          <w:sz w:val="20"/>
        </w:rPr>
      </w:pPr>
      <w:r>
        <w:rPr>
          <w:rFonts w:ascii="Times New Roman" w:hAnsi="Times New Roman"/>
          <w:sz w:val="20"/>
        </w:rPr>
        <w:t xml:space="preserve">(4) that on the Redemption Date the Redemption Price will become due and payable upon each such Security to be redeemed and, if applicable, that interest thereon will cease to accrue on and after said date, </w:t>
      </w:r>
    </w:p>
    <w:p>
      <w:pPr>
        <w:pStyle w:val="TextBody"/>
        <w:spacing w:before="180" w:after="0"/>
        <w:rPr>
          <w:rFonts w:ascii="Times New Roman" w:hAnsi="Times New Roman"/>
          <w:sz w:val="20"/>
        </w:rPr>
      </w:pPr>
      <w:r>
        <w:rPr>
          <w:rFonts w:ascii="Times New Roman" w:hAnsi="Times New Roman"/>
          <w:sz w:val="20"/>
        </w:rPr>
        <w:t xml:space="preserve">(5) the place or places where each such Security is to be surrendered for payment of the Redemption Price, </w:t>
      </w:r>
    </w:p>
    <w:p>
      <w:pPr>
        <w:pStyle w:val="TextBody"/>
        <w:spacing w:before="180" w:after="0"/>
        <w:rPr>
          <w:rFonts w:ascii="Times New Roman" w:hAnsi="Times New Roman"/>
          <w:sz w:val="20"/>
        </w:rPr>
      </w:pPr>
      <w:r>
        <w:rPr>
          <w:rFonts w:ascii="Times New Roman" w:hAnsi="Times New Roman"/>
          <w:sz w:val="20"/>
        </w:rPr>
        <w:t xml:space="preserve">(6) that the redemption is for a sinking fund, if such is the case; and </w:t>
      </w:r>
    </w:p>
    <w:p>
      <w:pPr>
        <w:pStyle w:val="TextBody"/>
        <w:spacing w:before="180" w:after="0"/>
        <w:rPr>
          <w:rFonts w:ascii="Times New Roman" w:hAnsi="Times New Roman"/>
          <w:sz w:val="20"/>
        </w:rPr>
      </w:pPr>
      <w:r>
        <w:rPr>
          <w:rFonts w:ascii="Times New Roman" w:hAnsi="Times New Roman"/>
          <w:sz w:val="20"/>
        </w:rPr>
        <w:t xml:space="preserve">(7) if applicable, the conversion price then in effect and the date on which the right to convert such Securities will expire. </w:t>
      </w:r>
    </w:p>
    <w:p>
      <w:pPr>
        <w:pStyle w:val="TextBody"/>
        <w:spacing w:before="180" w:after="0"/>
        <w:rPr>
          <w:rFonts w:ascii="Times New Roman" w:hAnsi="Times New Roman"/>
          <w:sz w:val="20"/>
        </w:rPr>
      </w:pPr>
      <w:r>
        <w:rPr>
          <w:rFonts w:ascii="Times New Roman" w:hAnsi="Times New Roman"/>
          <w:sz w:val="20"/>
        </w:rPr>
        <w:t xml:space="preserve">Notice of redemption of Securities to be redeemed at the election of the Company shall be given by the Company or, at the Companys request, by the Trustee in the name and at the expense of the Company and shall be irrevocable. If any Security called for redemption is converted pursuant hereto, any money deposited with the Trustee or any Paying Agent or so segregated and held in trust for the redemption of such Security shall be paid to the Company upon delivery of a Company Request to the Trustee or such Paying Agent, or, if then held by the Company, shall be discharged from such trust. </w:t>
      </w:r>
    </w:p>
    <w:p>
      <w:pPr>
        <w:pStyle w:val="TextBody"/>
        <w:spacing w:before="180" w:after="0"/>
        <w:rPr>
          <w:rFonts w:ascii="Times New Roman" w:hAnsi="Times New Roman"/>
          <w:sz w:val="20"/>
        </w:rPr>
      </w:pPr>
      <w:r>
        <w:rPr>
          <w:rFonts w:ascii="Times New Roman" w:hAnsi="Times New Roman"/>
          <w:sz w:val="20"/>
        </w:rPr>
        <w:t xml:space="preserve">SECTION 1105. </w:t>
      </w:r>
      <w:r>
        <w:rPr>
          <w:rFonts w:ascii="Times New Roman" w:hAnsi="Times New Roman"/>
          <w:b/>
          <w:sz w:val="20"/>
          <w:u w:val="single"/>
        </w:rPr>
        <w:t>Deposit of Redemption Price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Prior to 11:00 A.M., New York City time,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1106. </w:t>
      </w:r>
      <w:r>
        <w:rPr>
          <w:rFonts w:ascii="Times New Roman" w:hAnsi="Times New Roman"/>
          <w:b/>
          <w:sz w:val="20"/>
          <w:u w:val="single"/>
        </w:rPr>
        <w:t>Securities Payable on Redemption Date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 </w:t>
      </w:r>
    </w:p>
    <w:p>
      <w:pPr>
        <w:pStyle w:val="TextBody"/>
        <w:spacing w:before="180" w:after="0"/>
        <w:rPr>
          <w:rFonts w:ascii="Times New Roman" w:hAnsi="Times New Roman"/>
          <w:sz w:val="20"/>
        </w:rPr>
      </w:pPr>
      <w:r>
        <w:rPr>
          <w:rFonts w:ascii="Times New Roman" w:hAnsi="Times New Roman"/>
          <w:sz w:val="20"/>
        </w:rPr>
        <w:t xml:space="preserve">If any Security called for redemption shall not be so paid upon surrender thereof for redemption, the principal and any premium shall, until paid, bear interest from the Redemption Date at the rate prescribed therefor in the Security. </w:t>
      </w:r>
    </w:p>
    <w:p>
      <w:pPr>
        <w:pStyle w:val="TextBody"/>
        <w:spacing w:before="180" w:after="0"/>
        <w:rPr>
          <w:rFonts w:ascii="Times New Roman" w:hAnsi="Times New Roman"/>
          <w:sz w:val="20"/>
        </w:rPr>
      </w:pPr>
      <w:r>
        <w:rPr>
          <w:rFonts w:ascii="Times New Roman" w:hAnsi="Times New Roman"/>
          <w:sz w:val="20"/>
        </w:rPr>
        <w:t xml:space="preserve">SECTION 1107. </w:t>
      </w:r>
      <w:r>
        <w:rPr>
          <w:rFonts w:ascii="Times New Roman" w:hAnsi="Times New Roman"/>
          <w:b/>
          <w:sz w:val="20"/>
          <w:u w:val="single"/>
        </w:rPr>
        <w:t>Securities Redeemed in Part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if applicable, the Subsidiary Guarantors shall execute the notations of Subsidiary Guarantees endorsed thereon,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w:t>
      </w:r>
    </w:p>
    <w:p>
      <w:pPr>
        <w:pStyle w:val="TextBody"/>
        <w:spacing w:before="270" w:after="0"/>
        <w:jc w:val="center"/>
        <w:rPr>
          <w:rFonts w:ascii="Times New Roman" w:hAnsi="Times New Roman"/>
          <w:b/>
          <w:sz w:val="20"/>
        </w:rPr>
      </w:pPr>
      <w:r>
        <w:rPr>
          <w:rFonts w:ascii="Times New Roman" w:hAnsi="Times New Roman"/>
          <w:b/>
          <w:sz w:val="20"/>
        </w:rPr>
        <w:t xml:space="preserve">ARTICLE TWELVE </w:t>
      </w:r>
    </w:p>
    <w:p>
      <w:pPr>
        <w:pStyle w:val="TextBody"/>
        <w:spacing w:before="0" w:after="0"/>
        <w:jc w:val="center"/>
        <w:rPr>
          <w:rFonts w:ascii="Times New Roman" w:hAnsi="Times New Roman"/>
          <w:b/>
          <w:sz w:val="20"/>
        </w:rPr>
      </w:pPr>
      <w:r>
        <w:rPr>
          <w:rFonts w:ascii="Times New Roman" w:hAnsi="Times New Roman"/>
          <w:b/>
          <w:sz w:val="20"/>
        </w:rPr>
        <w:t xml:space="preserve">[INTENTIONALLY OMITTED] </w:t>
      </w:r>
    </w:p>
    <w:p>
      <w:pPr>
        <w:pStyle w:val="TextBody"/>
        <w:spacing w:before="180" w:after="0"/>
        <w:jc w:val="center"/>
        <w:rPr>
          <w:rFonts w:ascii="Times New Roman" w:hAnsi="Times New Roman"/>
          <w:b/>
          <w:sz w:val="20"/>
        </w:rPr>
      </w:pPr>
      <w:r>
        <w:rPr>
          <w:rFonts w:ascii="Times New Roman" w:hAnsi="Times New Roman"/>
          <w:b/>
          <w:sz w:val="20"/>
        </w:rPr>
        <w:t xml:space="preserve">ARTICLE THIRTEEN </w:t>
      </w:r>
    </w:p>
    <w:p>
      <w:pPr>
        <w:pStyle w:val="TextBody"/>
        <w:spacing w:before="0" w:after="0"/>
        <w:jc w:val="center"/>
        <w:rPr>
          <w:rFonts w:ascii="Times New Roman" w:hAnsi="Times New Roman"/>
          <w:b/>
          <w:sz w:val="20"/>
        </w:rPr>
      </w:pPr>
      <w:r>
        <w:rPr>
          <w:rFonts w:ascii="Times New Roman" w:hAnsi="Times New Roman"/>
          <w:b/>
          <w:sz w:val="20"/>
        </w:rPr>
        <w:t xml:space="preserve">SUBSIDIARY GUARANTEES </w:t>
      </w:r>
    </w:p>
    <w:p>
      <w:pPr>
        <w:pStyle w:val="TextBody"/>
        <w:spacing w:before="180" w:after="0"/>
        <w:rPr>
          <w:rFonts w:ascii="Times New Roman" w:hAnsi="Times New Roman"/>
          <w:sz w:val="20"/>
        </w:rPr>
      </w:pPr>
      <w:r>
        <w:rPr>
          <w:rFonts w:ascii="Times New Roman" w:hAnsi="Times New Roman"/>
          <w:sz w:val="20"/>
        </w:rPr>
        <w:t xml:space="preserve">SECTION 1301. </w:t>
      </w:r>
      <w:r>
        <w:rPr>
          <w:rFonts w:ascii="Times New Roman" w:hAnsi="Times New Roman"/>
          <w:b/>
          <w:sz w:val="20"/>
          <w:u w:val="single"/>
        </w:rPr>
        <w:t>Applicability of Article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Unless the Company elects to issue any series of Securities without the benefit of the Subsidiary Guarantees, which election shall be evidenced in or pursuant to the Board Resolution or supplemental indenture establishing such series of Securities pursuant to Section 301, the provisions of this Article shall be applicable to each series of Securities except as otherwise specified in or pursuant to the Board Resolution or supplemental indenture establishing such series pursuant to Section 301.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1302. </w:t>
      </w:r>
      <w:r>
        <w:rPr>
          <w:rFonts w:ascii="Times New Roman" w:hAnsi="Times New Roman"/>
          <w:b/>
          <w:sz w:val="20"/>
          <w:u w:val="single"/>
        </w:rPr>
        <w:t>Subsidiary Guarantees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Subject to Section 1301, each Subsidiary Guarantor hereby, jointly and severally, fully and unconditionally guarantees to each Holder of a Security authenticated and delivered by the Trustee, the due and punctual payment of the principal of (and premium, if any) and interest on such Security when and as the same shall become due and payable, whether at the Stated Maturity, by acceleration, call for redemption, offer to purchase or otherwise, in accordance with the terms of such Security and of this Indenture, and each Subsidiary Guarantor similarly guarantees to the Trustee the payment of all amounts owing to the Trustee in accordance with the terms of this Indenture. In case of the failure of the Company punctually to make any such payment, each Subsidiary Guarantor hereby, jointly and severally, agrees to cause such payment to be made punctually when and as the same shall become due and payable, whether at the Stated Maturity or by acceleration, call for redemption, offer to purchase or otherwise, and as if such payment were made by the Company. </w:t>
      </w:r>
    </w:p>
    <w:p>
      <w:pPr>
        <w:pStyle w:val="TextBody"/>
        <w:spacing w:before="180" w:after="0"/>
        <w:rPr>
          <w:rFonts w:ascii="Times New Roman" w:hAnsi="Times New Roman"/>
          <w:sz w:val="20"/>
        </w:rPr>
      </w:pPr>
      <w:r>
        <w:rPr>
          <w:rFonts w:ascii="Times New Roman" w:hAnsi="Times New Roman"/>
          <w:sz w:val="20"/>
        </w:rPr>
        <w:t xml:space="preserve">Each of the Subsidiary Guarantors hereby jointly and severally agrees that its obligations hereunder shall be absolute, unconditional, irrespective of, and shall be unaffected by, the validity, regularity or enforceability of such Security or this Indenture, the absence of any action to enforce the same or any release, amendment, waiver or indulgence granted to the Company or any other guarantor or any consent to departure from any requirement of any other guarantee of all or any of the Securities of such series or any other circumstances which might otherwise constitute a legal or equitable discharge or defense of a surety or guarantor; provided, however, that, notwithstanding the foregoing, no such release, amendment, waiver or indulgence shall, without the consent of such Subsidiary Guarantor, increase the principal amount of such Security, or increase the interest rate thereon, or alter the Stated Maturity thereof. Each of the Subsidiary Guarantors hereby waives the benefits of diligence, presentment, demand for payment, any requirement that the Trustee or any of the Holders protect, secure, perfect or insure any security interest in or other lien on any property subject thereto or exhaust any right or take any action against the Company or any other Person or any collateral, filing of claims with a court in the event of insolvency or bankruptcy of the Company, any right to require a proceeding first against the Company, protest or notice with respect to such Security or the indebtedness evidenced thereby and all demands whatsoever, and covenants that this Subsidiary Guarantee will not be discharged in respect of such Security except by complete performance of the obligations contained in such Security and in such Subsidiary Guarantee. Each Subsidiary Guarantor agrees that if, after the occurrence and during the continuance of an Event of Default, the Trustee or any of the Holders are prevented by applicable law from exercising their respective rights to accelerate the maturity of the Securities of a series, to collect interest on the Securities of a series, or to enforce or exercise any other right or remedy with respect to the Securities of a series, such Subsidiary Guarantor agrees to pay to the Trustee for the account of the Holders, upon demand therefor, the amount that would otherwise have been due and payable had such rights and remedies been permitted to be exercised by the Trustee or any of the Holders. </w:t>
      </w:r>
    </w:p>
    <w:p>
      <w:pPr>
        <w:pStyle w:val="TextBody"/>
        <w:spacing w:before="180" w:after="0"/>
        <w:rPr>
          <w:rFonts w:ascii="Times New Roman" w:hAnsi="Times New Roman"/>
          <w:sz w:val="20"/>
        </w:rPr>
      </w:pPr>
      <w:r>
        <w:rPr>
          <w:rFonts w:ascii="Times New Roman" w:hAnsi="Times New Roman"/>
          <w:sz w:val="20"/>
        </w:rPr>
        <w:t xml:space="preserve">Each Subsidiary Guarantor shall be subrogated to all rights of the Holders of the Securities upon which its Subsidiary Guarantee is endorsed against the Company in respect of any amounts paid by such Subsidiary Guarantor on account of such Security pursuant to the provisions of its Subsidiary Guarantee or this Indenture; provided, however, that no Subsidiary Guarantor shall be entitled to enforce or to receive any payments arising out of, or based upon, such right of subrogation until the principal of (and premium, if any) and interest on all Securities of the relevant series issued hereunder shall have been paid in full. </w:t>
      </w:r>
    </w:p>
    <w:p>
      <w:pPr>
        <w:pStyle w:val="TextBody"/>
        <w:spacing w:before="180" w:after="0"/>
        <w:rPr>
          <w:rFonts w:ascii="Times New Roman" w:hAnsi="Times New Roman"/>
          <w:sz w:val="20"/>
        </w:rPr>
      </w:pPr>
      <w:r>
        <w:rPr>
          <w:rFonts w:ascii="Times New Roman" w:hAnsi="Times New Roman"/>
          <w:sz w:val="20"/>
        </w:rPr>
        <w:t xml:space="preserve">Each Subsidiary Guarantor that makes or is required to make any payment in respect of its Subsidiary Guarantee shall be entitled to seek contribution from the other Subsidiary Guarantors to the extent permitted by applicable law; provided, however, that no Subsidiary Guarantor shall be entitled to enforce or receive any payments arising out of, or based upon, such right of contribution until the principal of (and premium, if any) and interest on all Securities of the relevant series issued hereunder shall have been paid in full.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Each Subsidiary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part of the Companys assets, and shall, to the fullest extent permitted by law, continue to be effective or be reinstated, as the case may be, if at any time payment and performance of the Securities of a series, is, pursuant to applicable law, rescinded or reduced in amount, or must otherwise be restored or returned by any Holder of the Securities, whether as a voidable preference, fraudulent transfer, or otherwise, all as though such payment or performance had not been made. In the event that any payment, or any part thereof, is rescinded, reduced, restored or returned, the Securities shall, to the fullest extent permitted by law, be reinstated and deemed reduced only by such amount paid and not so rescinded, reduced, restored or returned. </w:t>
      </w:r>
    </w:p>
    <w:p>
      <w:pPr>
        <w:pStyle w:val="TextBody"/>
        <w:spacing w:before="180" w:after="0"/>
        <w:rPr>
          <w:rFonts w:ascii="Times New Roman" w:hAnsi="Times New Roman"/>
          <w:sz w:val="20"/>
        </w:rPr>
      </w:pPr>
      <w:r>
        <w:rPr>
          <w:rFonts w:ascii="Times New Roman" w:hAnsi="Times New Roman"/>
          <w:sz w:val="20"/>
        </w:rPr>
        <w:t xml:space="preserve">SECTION 1303. </w:t>
      </w:r>
      <w:r>
        <w:rPr>
          <w:rFonts w:ascii="Times New Roman" w:hAnsi="Times New Roman"/>
          <w:b/>
          <w:sz w:val="20"/>
          <w:u w:val="single"/>
        </w:rPr>
        <w:t>Execution and Delivery of Notations of Subsidiary Guarantees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To further evidence the Subsidiary Guarantee set forth in Section 1302, each of the Subsidiary Guarantors hereby agrees that a notation relating to such Subsidiary Guarantee, substantially in the form set forth in Section 204, shall be endorsed on each Security entitled to the benefits of the Subsidiary Guarantee authenticated and delivered by the Trustee and executed by either manual or facsimile signature of an officer of such Subsidiary Guarantor, or in the case of a Subsidiary Guarantor that is a limited partnership, an officer of the general partner of each Subsidiary Guarantor. Each of the Subsidiary Guarantors hereby agrees that the Subsidiary Guarantee set forth in Section 1302 shall remain in full force and effect notwithstanding any failure to endorse on each Security a notation relating to the Subsidiary Guarantee. If any officer of the Subsidiary Guarantor, or in the case of a Subsidiary Guarantor that is a limited partnership, any officer of the general partner of the Subsidiary Guarantor, whose signature is on this Indenture or a Security no longer holds that office at the time the Trustee authenticates such Security or at any time thereafter, the Subsidiary Guarantee of such Security shall be valid nevertheless. The delivery of any Security by the Trustee, after the authentication thereof hereunder, shall constitute due delivery of the Subsidiary Guarantee set forth in this Indenture on behalf of the Subsidiary Guarantors.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1304. </w:t>
      </w:r>
      <w:r>
        <w:rPr>
          <w:rFonts w:ascii="Times New Roman" w:hAnsi="Times New Roman"/>
          <w:b/>
          <w:sz w:val="20"/>
          <w:u w:val="single"/>
        </w:rPr>
        <w:t>Release of Subsidiary Guarantors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Unless otherwise specified pursuant to Section 301 with respect to a series of Securities, each Subsidiary Guarantee will remain in effect with respect to the respective Subsidiary Guarantor until the entire principal of, premium, if any, and interest on the Securities to which such Subsidiary Guarantee relates shall have been paid in full or otherwise satisfied and discharged in accordance with the provisions of such Securities and this Indenture and all amounts owing to the Trustee hereunder have been paid; provided, however, that if (i) such Subsidiary Guarantor ceases to be a Subsidiary in compliance with the applicable provisions of this Indenture, (ii) either Defeasance or Covenant Defeasance occurs with respect to such Securities pursuant to Article Fifteen or (iii) all or substantially all of the assets of such Subsidiary Guarantor or all of the Capital Stock of such Subsidiary Guarantor is sold (including by sale, merger, consolidation or otherwise) by the Company or any Subsidiary in a transaction complying with the requirements of this Indenture, then, in each case of (i), (ii) or (iii), upon delivery by the Company of an Officers Certificate and an Opinion of Counsel stating that all conditions precedent herein provided for relating to the release of such Subsidiary Guarantor from its obligations under its Subsidiary Guarantee and this Article Thirteen have been complied with, such Subsidiary Guarantor shall be released and discharged of its obligations under its Subsidiary Guarantee and under this Article Thirteen without any action on the part of the Trustee or any Holder, and the Trustee shall execute any documents reasonably required in order to acknowledge the release of such Subsidiary Guarantor from its obligations under its Subsidiary Guarantee endorsed on the Securities of such series and under this Article Thirteen. </w:t>
      </w:r>
    </w:p>
    <w:p>
      <w:pPr>
        <w:pStyle w:val="TextBody"/>
        <w:spacing w:before="180" w:after="0"/>
        <w:rPr>
          <w:rFonts w:ascii="Times New Roman" w:hAnsi="Times New Roman"/>
          <w:sz w:val="20"/>
        </w:rPr>
      </w:pPr>
      <w:r>
        <w:rPr>
          <w:rFonts w:ascii="Times New Roman" w:hAnsi="Times New Roman"/>
          <w:sz w:val="20"/>
        </w:rPr>
        <w:t xml:space="preserve">SECTION 1305. </w:t>
      </w:r>
      <w:r>
        <w:rPr>
          <w:rFonts w:ascii="Times New Roman" w:hAnsi="Times New Roman"/>
          <w:b/>
          <w:sz w:val="20"/>
          <w:u w:val="single"/>
        </w:rPr>
        <w:t>Additional Subsidiary Guarantors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Unless otherwise specified pursuant to Section 301 with respect to a series of Securities, the Company will cause any domestic Wholly Owned Subsidiary of the Company that becomes a Subsidiary after the date the Securities of a series are first issued hereunder to become a Subsidiary Guarantor as soon as practicable after such Subsidiary becomes a Subsidiary. The Company shall cause any such Wholly Owned Subsidiary to become a Subsidiary Guarantor with respect to the Securities by executing and delivering to the Trustee (a) a supplemental indenture, in form and substance satisfactory to the Trustee, which subjects such Person to the provisions (including the representations and warranties) of this Indenture as a Subsidiary Guarantor and (b) an Opinion of Counsel to the effect that such supplemental indenture has been duly authorized and executed by such Person and such supplemental indenture and such Persons obligations under its Subsidiary Guarantee and this Indenture constitute the legal, valid, binding and enforceable obligations of such Person (subject to such customary exceptions concerning creditors rights and equitable principles as may be acceptable to the Trustee in its discretion). </w:t>
      </w:r>
    </w:p>
    <w:p>
      <w:pPr>
        <w:pStyle w:val="TextBody"/>
        <w:spacing w:before="180" w:after="0"/>
        <w:rPr>
          <w:rFonts w:ascii="Times New Roman" w:hAnsi="Times New Roman"/>
          <w:sz w:val="20"/>
        </w:rPr>
      </w:pPr>
      <w:r>
        <w:rPr>
          <w:rFonts w:ascii="Times New Roman" w:hAnsi="Times New Roman"/>
          <w:sz w:val="20"/>
        </w:rPr>
        <w:t xml:space="preserve">SECTION 1306. </w:t>
      </w:r>
      <w:r>
        <w:rPr>
          <w:rFonts w:ascii="Times New Roman" w:hAnsi="Times New Roman"/>
          <w:b/>
          <w:sz w:val="20"/>
          <w:u w:val="single"/>
        </w:rPr>
        <w:t>Limitation on Liability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Any term or provision of this Indenture to the contrary notwithstanding, the maximum amount of the Subsidiary Guarantee of any Subsidiary Guarantor shall not exceed the maximum amount that can be hereby guaranteed by such Subsidiary Guarantor without rendering such Subsidiary Guarantee voidable under applicable law relating to fraudulent conveyance or fraudulent transfer or similar laws affecting the rights of creditors generally.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FOURTEEN </w:t>
      </w:r>
    </w:p>
    <w:p>
      <w:pPr>
        <w:pStyle w:val="TextBody"/>
        <w:spacing w:before="0" w:after="0"/>
        <w:jc w:val="center"/>
        <w:rPr>
          <w:rFonts w:ascii="Times New Roman" w:hAnsi="Times New Roman"/>
          <w:b/>
          <w:sz w:val="20"/>
        </w:rPr>
      </w:pPr>
      <w:r>
        <w:rPr>
          <w:rFonts w:ascii="Times New Roman" w:hAnsi="Times New Roman"/>
          <w:b/>
          <w:sz w:val="20"/>
        </w:rPr>
        <w:t xml:space="preserve">[INTENTIONALLY OMITTED] </w:t>
      </w:r>
    </w:p>
    <w:p>
      <w:pPr>
        <w:pStyle w:val="TextBody"/>
        <w:spacing w:before="180" w:after="0"/>
        <w:jc w:val="center"/>
        <w:rPr>
          <w:rFonts w:ascii="Times New Roman" w:hAnsi="Times New Roman"/>
          <w:b/>
          <w:sz w:val="20"/>
        </w:rPr>
      </w:pPr>
      <w:r>
        <w:rPr>
          <w:rFonts w:ascii="Times New Roman" w:hAnsi="Times New Roman"/>
          <w:b/>
          <w:sz w:val="20"/>
        </w:rPr>
        <w:t xml:space="preserve">ARTICLE FIFTEEN </w:t>
      </w:r>
    </w:p>
    <w:p>
      <w:pPr>
        <w:pStyle w:val="TextBody"/>
        <w:spacing w:before="0" w:after="0"/>
        <w:jc w:val="center"/>
        <w:rPr>
          <w:rFonts w:ascii="Times New Roman" w:hAnsi="Times New Roman"/>
          <w:b/>
          <w:sz w:val="20"/>
        </w:rPr>
      </w:pPr>
      <w:r>
        <w:rPr>
          <w:rFonts w:ascii="Times New Roman" w:hAnsi="Times New Roman"/>
          <w:b/>
          <w:sz w:val="20"/>
        </w:rPr>
        <w:t xml:space="preserve">DEFEASANCE AND COVENANT DEFEASANCE </w:t>
      </w:r>
    </w:p>
    <w:p>
      <w:pPr>
        <w:pStyle w:val="TextBody"/>
        <w:spacing w:before="180" w:after="0"/>
        <w:rPr>
          <w:rFonts w:ascii="Times New Roman" w:hAnsi="Times New Roman"/>
          <w:sz w:val="20"/>
        </w:rPr>
      </w:pPr>
      <w:r>
        <w:rPr>
          <w:rFonts w:ascii="Times New Roman" w:hAnsi="Times New Roman"/>
          <w:sz w:val="20"/>
        </w:rPr>
        <w:t xml:space="preserve">SECTION 1501. </w:t>
      </w:r>
      <w:r>
        <w:rPr>
          <w:rFonts w:ascii="Times New Roman" w:hAnsi="Times New Roman"/>
          <w:b/>
          <w:sz w:val="20"/>
          <w:u w:val="single"/>
        </w:rPr>
        <w:t>Companys Option to Effect Defeasance or Covenant Defeasance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may elect, at its option at any time, to have Section 1502 or Section 1503 applied to any Securities or any series of Securities, as the case may be, designated pursuant to Section 301 as being defeasible pursuant to such Section 1502 or 1503, in accordance with any applicable requirements provided pursuant to Section 301 and upon compliance with the conditions set forth below in this Article. Any such election shall be evidenced in or pursuant to a Board Resolution or in another manner specified as contemplated by Section 301 for such Securities. </w:t>
      </w:r>
    </w:p>
    <w:p>
      <w:pPr>
        <w:pStyle w:val="TextBody"/>
        <w:spacing w:before="180" w:after="0"/>
        <w:rPr>
          <w:rFonts w:ascii="Times New Roman" w:hAnsi="Times New Roman"/>
          <w:sz w:val="20"/>
        </w:rPr>
      </w:pPr>
      <w:r>
        <w:rPr>
          <w:rFonts w:ascii="Times New Roman" w:hAnsi="Times New Roman"/>
          <w:sz w:val="20"/>
        </w:rPr>
        <w:t xml:space="preserve">SECTION 1502. </w:t>
      </w:r>
      <w:r>
        <w:rPr>
          <w:rFonts w:ascii="Times New Roman" w:hAnsi="Times New Roman"/>
          <w:b/>
          <w:sz w:val="20"/>
          <w:u w:val="single"/>
        </w:rPr>
        <w:t>Defeasance and Discharge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Upon the Companys exercise of its option (if any) to have this Section applied to any Securities or any series of Securities, as the case may be, the Company shall be deemed to have been discharged from its obligations, and each Subsidiary Guarantor shall be deemed to have been discharged from its obligations with respect to its Subsidiary Guarantee of such Securities, as provided in this Section on and after the date the conditions set forth in Section 1504 are satisfied (herein called </w:t>
      </w:r>
      <w:r>
        <w:rPr>
          <w:rFonts w:ascii="Times New Roman" w:hAnsi="Times New Roman"/>
          <w:b/>
          <w:sz w:val="20"/>
        </w:rPr>
        <w:t>Defeasance</w:t>
      </w:r>
      <w:r>
        <w:rPr>
          <w:rFonts w:ascii="Times New Roman" w:hAnsi="Times New Roman"/>
          <w:sz w:val="20"/>
        </w:rPr>
        <w:t xml:space="preserv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1504 and as more fully set forth in such Section, payments in respect of the principal of and any premium and interest on such Securities when payments are due, or, if applicable, to convert such Securities in accordance with their terms, (2) the Companys and each Subsidiary Guarantors obligations with respect to such Securities under Sections 304, 305, 306, 1002 and 1003, and, if applicable, their obligations with respect to the conversion of such Securities,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1503 applied to such Securities. </w:t>
      </w:r>
    </w:p>
    <w:p>
      <w:pPr>
        <w:pStyle w:val="TextBody"/>
        <w:spacing w:before="180" w:after="0"/>
        <w:rPr>
          <w:rFonts w:ascii="Times New Roman" w:hAnsi="Times New Roman"/>
          <w:sz w:val="20"/>
        </w:rPr>
      </w:pPr>
      <w:r>
        <w:rPr>
          <w:rFonts w:ascii="Times New Roman" w:hAnsi="Times New Roman"/>
          <w:sz w:val="20"/>
        </w:rPr>
        <w:t xml:space="preserve">SECTION 1503. </w:t>
      </w:r>
      <w:r>
        <w:rPr>
          <w:rFonts w:ascii="Times New Roman" w:hAnsi="Times New Roman"/>
          <w:b/>
          <w:sz w:val="20"/>
          <w:u w:val="single"/>
        </w:rPr>
        <w:t>Covenant Defeasance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Upon the Companys exercise of its option (if any) to have this Section applied to any Securities or any series of Securities, as the case may be, (1) the Company shall be released from its obligations under Section 801(3), Sections 1005 through 1008, inclusive, and any covenants provided pursuant to Section 301(21), 901(2) or 901(7) for the benefit of the Holders of such Securities, and (2) the occurrence of any event specified in Sections 501(5) (with respect to any of Section 801(3), Sections 1006 through 1008, inclusive, and any such covenants provided pursuant to Section 301(21), 901(2) or 901(7)), 501(6), 501(7)), 501(10) and 501(11) shall be deemed not to be or result in an Event of Default and (3) the provisions of Article Thirteen shall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cease to be effective, in each case with respect to such Securities and Subsidiary Guarantees as provided in this Section on and after the date the conditions set forth in Section 1504 are satisfied (herein called </w:t>
      </w:r>
      <w:r>
        <w:rPr>
          <w:rFonts w:ascii="Times New Roman" w:hAnsi="Times New Roman"/>
          <w:b/>
          <w:sz w:val="20"/>
        </w:rPr>
        <w:t>Covenant Defeasance</w:t>
      </w:r>
      <w:r>
        <w:rPr>
          <w:rFonts w:ascii="Times New Roman" w:hAnsi="Times New Roman"/>
          <w:sz w:val="20"/>
        </w:rPr>
        <w:t xml:space="preserve">). For this purpose, such Covenant Defeasance means that, with respect to such Securities, the Company and the Subsidiary Guarantors, as applicable, may omit to comply with and shall have no liability in respect of any term, condition or limitation set forth in any such specified Section (to the extent so specified in the case of Section 501(5)) or Article Thirteen,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 </w:t>
      </w:r>
    </w:p>
    <w:p>
      <w:pPr>
        <w:pStyle w:val="TextBody"/>
        <w:spacing w:before="180" w:after="0"/>
        <w:rPr>
          <w:rFonts w:ascii="Times New Roman" w:hAnsi="Times New Roman"/>
          <w:sz w:val="20"/>
        </w:rPr>
      </w:pPr>
      <w:r>
        <w:rPr>
          <w:rFonts w:ascii="Times New Roman" w:hAnsi="Times New Roman"/>
          <w:sz w:val="20"/>
        </w:rPr>
        <w:t xml:space="preserve">SECTION 1504. </w:t>
      </w:r>
      <w:r>
        <w:rPr>
          <w:rFonts w:ascii="Times New Roman" w:hAnsi="Times New Roman"/>
          <w:b/>
          <w:sz w:val="20"/>
          <w:u w:val="single"/>
        </w:rPr>
        <w:t>Conditions to Defeasance or Covenant Defeasance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following shall be the conditions to the application of Section 1502 or Section 1503 to any Securities or any series of Securities, as the case may be: </w:t>
      </w:r>
    </w:p>
    <w:p>
      <w:pPr>
        <w:pStyle w:val="TextBody"/>
        <w:spacing w:before="180" w:after="0"/>
        <w:rPr>
          <w:rFonts w:ascii="Times New Roman" w:hAnsi="Times New Roman"/>
          <w:sz w:val="20"/>
        </w:rPr>
      </w:pPr>
      <w:r>
        <w:rPr>
          <w:rFonts w:ascii="Times New Roman" w:hAnsi="Times New Roman"/>
          <w:sz w:val="20"/>
        </w:rPr>
        <w:t>(1) 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w:t>
      </w:r>
      <w:r>
        <w:rPr>
          <w:rFonts w:ascii="Times New Roman" w:hAnsi="Times New Roman"/>
          <w:b/>
          <w:sz w:val="20"/>
        </w:rPr>
        <w:t>U.S. Government Obligation</w:t>
      </w:r>
      <w:r>
        <w:rPr>
          <w:rFonts w:ascii="Times New Roman" w:hAnsi="Times New Roman"/>
          <w:sz w:val="20"/>
        </w:rPr>
        <w:t xml:space="preserve">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(2) In the event of an election to have Section 1502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and Defeasance were not to occur. </w:t>
      </w:r>
    </w:p>
    <w:p>
      <w:pPr>
        <w:pStyle w:val="TextBody"/>
        <w:spacing w:before="180" w:after="0"/>
        <w:rPr>
          <w:rFonts w:ascii="Times New Roman" w:hAnsi="Times New Roman"/>
          <w:sz w:val="20"/>
        </w:rPr>
      </w:pPr>
      <w:r>
        <w:rPr>
          <w:rFonts w:ascii="Times New Roman" w:hAnsi="Times New Roman"/>
          <w:sz w:val="20"/>
        </w:rPr>
        <w:t xml:space="preserve">(3) In the event of an election to have Section 1503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w:t>
      </w:r>
    </w:p>
    <w:p>
      <w:pPr>
        <w:pStyle w:val="TextBody"/>
        <w:spacing w:before="180" w:after="0"/>
        <w:rPr>
          <w:rFonts w:ascii="Times New Roman" w:hAnsi="Times New Roman"/>
          <w:sz w:val="20"/>
        </w:rPr>
      </w:pPr>
      <w:r>
        <w:rPr>
          <w:rFonts w:ascii="Times New Roman" w:hAnsi="Times New Roman"/>
          <w:sz w:val="20"/>
        </w:rPr>
        <w:t xml:space="preserve">(4) The Company shall have delivered to the Trustee an Officers Certificate to the effect that neither such Securities nor any other Securities of the same series, if then listed on any securities exchange, will be delisted as a result of such deposit. </w:t>
      </w:r>
    </w:p>
    <w:p>
      <w:pPr>
        <w:pStyle w:val="TextBody"/>
        <w:spacing w:before="180" w:after="0"/>
        <w:rPr>
          <w:rFonts w:ascii="Times New Roman" w:hAnsi="Times New Roman"/>
          <w:sz w:val="20"/>
        </w:rPr>
      </w:pPr>
      <w:r>
        <w:rPr>
          <w:rFonts w:ascii="Times New Roman" w:hAnsi="Times New Roman"/>
          <w:sz w:val="20"/>
        </w:rPr>
        <w:t xml:space="preserve">(5) No event which is, or after notice or lapse of time or both would become, an Event of Default with respect to such Securities shall have occurred and be continuing at the time of such deposit or, with regard to any such event specified in Sections 501(7) and (8), at any time on or prior to the 121st day after the date of such deposit (it being understood that this condition shall not be deemed satisfied until after such 121st day). </w:t>
      </w:r>
    </w:p>
    <w:p>
      <w:pPr>
        <w:pStyle w:val="TextBody"/>
        <w:spacing w:before="180" w:after="0"/>
        <w:rPr>
          <w:rFonts w:ascii="Times New Roman" w:hAnsi="Times New Roman"/>
          <w:sz w:val="20"/>
        </w:rPr>
      </w:pPr>
      <w:r>
        <w:rPr>
          <w:rFonts w:ascii="Times New Roman" w:hAnsi="Times New Roman"/>
          <w:sz w:val="20"/>
        </w:rPr>
        <w:t xml:space="preserve">(6) Such Defeasance or Covenant Defeasance shall not cause the Trustee to have a conflicting interest within the meaning of the Trust Indenture Act (assuming all Securities are in default within the meaning of such Act). </w:t>
      </w:r>
    </w:p>
    <w:p>
      <w:pPr>
        <w:pStyle w:val="TextBody"/>
        <w:spacing w:before="180" w:after="0"/>
        <w:rPr>
          <w:rFonts w:ascii="Times New Roman" w:hAnsi="Times New Roman"/>
          <w:sz w:val="20"/>
        </w:rPr>
      </w:pPr>
      <w:r>
        <w:rPr>
          <w:rFonts w:ascii="Times New Roman" w:hAnsi="Times New Roman"/>
          <w:sz w:val="20"/>
        </w:rPr>
        <w:t xml:space="preserve">(7) Such Defeasance or Covenant Defeasance shall not result in a breach or violation of, or constitute a default under, any other agreement or instrument to which the Company or any Subsidiary is a party or by which it is bound. </w:t>
      </w:r>
    </w:p>
    <w:p>
      <w:pPr>
        <w:pStyle w:val="TextBody"/>
        <w:spacing w:before="180" w:after="0"/>
        <w:rPr>
          <w:rFonts w:ascii="Times New Roman" w:hAnsi="Times New Roman"/>
          <w:sz w:val="20"/>
        </w:rPr>
      </w:pPr>
      <w:r>
        <w:rPr>
          <w:rFonts w:ascii="Times New Roman" w:hAnsi="Times New Roman"/>
          <w:sz w:val="20"/>
        </w:rPr>
        <w:t xml:space="preserve">(8) The Company shall have delivered to the Trustee an Opinion of Counsel to the effect that such deposit shall not cause either the Trustee or the trust so created to be subject to the Investment Company Act of 1940. </w:t>
      </w:r>
    </w:p>
    <w:p>
      <w:pPr>
        <w:pStyle w:val="TextBody"/>
        <w:spacing w:before="180" w:after="0"/>
        <w:rPr>
          <w:rFonts w:ascii="Times New Roman" w:hAnsi="Times New Roman"/>
          <w:sz w:val="20"/>
        </w:rPr>
      </w:pPr>
      <w:r>
        <w:rPr>
          <w:rFonts w:ascii="Times New Roman" w:hAnsi="Times New Roman"/>
          <w:sz w:val="20"/>
        </w:rPr>
        <w:t xml:space="preserve">(9) The Company shall have delivered to the Trustee an Officers Certificate and an Opinion of Counsel, each stating that all conditions precedent with respect to such Defeasance or Covenant Defeasance have been complied with.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1505. </w:t>
      </w:r>
      <w:r>
        <w:rPr>
          <w:rFonts w:ascii="Times New Roman" w:hAnsi="Times New Roman"/>
          <w:b/>
          <w:sz w:val="20"/>
          <w:u w:val="single"/>
        </w:rPr>
        <w:t>Deposited Money and U.S. Government Obligations to Be Held in Trust; Miscellaneous Provisions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Subject to the provisions of the last paragraph of Section 1003, all money and U.S. Government Obligations (including the proceeds thereof) deposited with the Trustee or other qualifying trustee (solely for purposes of this Section and Section 1506, the Trustee and any such other trustee are referred to collectively as the </w:t>
      </w:r>
      <w:r>
        <w:rPr>
          <w:rFonts w:ascii="Times New Roman" w:hAnsi="Times New Roman"/>
          <w:b/>
          <w:sz w:val="20"/>
        </w:rPr>
        <w:t>Trustee</w:t>
      </w:r>
      <w:r>
        <w:rPr>
          <w:rFonts w:ascii="Times New Roman" w:hAnsi="Times New Roman"/>
          <w:sz w:val="20"/>
        </w:rPr>
        <w:t xml:space="preserve">) pursuant to Section 1504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w:t>
      </w:r>
    </w:p>
    <w:p>
      <w:pPr>
        <w:pStyle w:val="TextBody"/>
        <w:spacing w:before="180" w:after="0"/>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U.S. Government Obligations deposited pursuant to Section 1504 or the principal and interest received in respect thereof other than any such tax, fee or other charge which by law is for the account of the Holders of Outstanding Securities. </w:t>
      </w:r>
    </w:p>
    <w:p>
      <w:pPr>
        <w:pStyle w:val="TextBody"/>
        <w:spacing w:before="180" w:after="0"/>
        <w:rPr>
          <w:rFonts w:ascii="Times New Roman" w:hAnsi="Times New Roman"/>
          <w:sz w:val="20"/>
        </w:rPr>
      </w:pPr>
      <w:r>
        <w:rPr>
          <w:rFonts w:ascii="Times New Roman" w:hAnsi="Times New Roman"/>
          <w:sz w:val="20"/>
        </w:rPr>
        <w:t xml:space="preserve">Anything in this Article to the contrary notwithstanding, the Trustee shall deliver or pay to the Company from time to time upon Company Request any money or U.S. Government Obligations held by it as provided in Section 1504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 </w:t>
      </w:r>
    </w:p>
    <w:p>
      <w:pPr>
        <w:pStyle w:val="TextBody"/>
        <w:spacing w:before="180" w:after="0"/>
        <w:rPr>
          <w:rFonts w:ascii="Times New Roman" w:hAnsi="Times New Roman"/>
          <w:sz w:val="20"/>
        </w:rPr>
      </w:pPr>
      <w:r>
        <w:rPr>
          <w:rFonts w:ascii="Times New Roman" w:hAnsi="Times New Roman"/>
          <w:sz w:val="20"/>
        </w:rPr>
        <w:t xml:space="preserve">SECTION 1506. </w:t>
      </w:r>
      <w:r>
        <w:rPr>
          <w:rFonts w:ascii="Times New Roman" w:hAnsi="Times New Roman"/>
          <w:b/>
          <w:sz w:val="20"/>
          <w:u w:val="single"/>
        </w:rPr>
        <w:t>Reinstatement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1502 or 1503 shall be revived and reinstated as though no deposit had occurred pursuant to this Article with respect to such Securities, until such time as the Trustee or Paying Agent is permitted to apply all money held in trust pursuant to Section 1505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 </w:t>
      </w:r>
    </w:p>
    <w:p>
      <w:pPr>
        <w:pStyle w:val="TextBody"/>
        <w:spacing w:before="270" w:after="0"/>
        <w:jc w:val="center"/>
        <w:rPr>
          <w:rFonts w:ascii="Times New Roman" w:hAnsi="Times New Roman"/>
          <w:b/>
          <w:sz w:val="20"/>
        </w:rPr>
      </w:pPr>
      <w:r>
        <w:rPr>
          <w:rFonts w:ascii="Times New Roman" w:hAnsi="Times New Roman"/>
          <w:b/>
          <w:sz w:val="20"/>
        </w:rPr>
        <w:t xml:space="preserve">ARTICLE SIXTEEN </w:t>
      </w:r>
    </w:p>
    <w:p>
      <w:pPr>
        <w:pStyle w:val="TextBody"/>
        <w:spacing w:before="0" w:after="0"/>
        <w:jc w:val="center"/>
        <w:rPr>
          <w:rFonts w:ascii="Times New Roman" w:hAnsi="Times New Roman"/>
          <w:b/>
          <w:sz w:val="20"/>
        </w:rPr>
      </w:pPr>
      <w:r>
        <w:rPr>
          <w:rFonts w:ascii="Times New Roman" w:hAnsi="Times New Roman"/>
          <w:b/>
          <w:sz w:val="20"/>
        </w:rPr>
        <w:t xml:space="preserve">SINKING FUNDS </w:t>
      </w:r>
    </w:p>
    <w:p>
      <w:pPr>
        <w:pStyle w:val="TextBody"/>
        <w:spacing w:before="180" w:after="0"/>
        <w:rPr>
          <w:rFonts w:ascii="Times New Roman" w:hAnsi="Times New Roman"/>
          <w:sz w:val="20"/>
        </w:rPr>
      </w:pPr>
      <w:r>
        <w:rPr>
          <w:rFonts w:ascii="Times New Roman" w:hAnsi="Times New Roman"/>
          <w:sz w:val="20"/>
        </w:rPr>
        <w:t xml:space="preserve">SECTION 1601. </w:t>
      </w:r>
      <w:r>
        <w:rPr>
          <w:rFonts w:ascii="Times New Roman" w:hAnsi="Times New Roman"/>
          <w:b/>
          <w:sz w:val="20"/>
          <w:u w:val="single"/>
        </w:rPr>
        <w:t>Applicability of Article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provisions of this Article shall be applicable to any sinking fund for the retirement of Securities of any series except as otherwise specified as contemplated by Section 301 for such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1602. Each sinking fund payment shall be applied to the redemption of Securities as provided for by the terms of such Securities. </w:t>
      </w:r>
    </w:p>
    <w:p>
      <w:pPr>
        <w:pStyle w:val="TextBody"/>
        <w:spacing w:before="180" w:after="0"/>
        <w:rPr>
          <w:rFonts w:ascii="Times New Roman" w:hAnsi="Times New Roman"/>
          <w:sz w:val="20"/>
        </w:rPr>
      </w:pPr>
      <w:r>
        <w:rPr>
          <w:rFonts w:ascii="Times New Roman" w:hAnsi="Times New Roman"/>
          <w:sz w:val="20"/>
        </w:rPr>
        <w:t xml:space="preserve">SECTION 1602. </w:t>
      </w:r>
      <w:r>
        <w:rPr>
          <w:rFonts w:ascii="Times New Roman" w:hAnsi="Times New Roman"/>
          <w:b/>
          <w:sz w:val="20"/>
          <w:u w:val="single"/>
        </w:rPr>
        <w:t>Satisfaction of Sinking Fund Payments with Securities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(1) may deliver Outstanding Securities of a series (other than any previously called for redemption) and (2) may apply as a credit Securities of a series which have been (x) converted or (y)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however,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 </w:t>
      </w:r>
    </w:p>
    <w:p>
      <w:pPr>
        <w:pStyle w:val="TextBody"/>
        <w:spacing w:before="180" w:after="0"/>
        <w:rPr>
          <w:rFonts w:ascii="Times New Roman" w:hAnsi="Times New Roman"/>
          <w:sz w:val="20"/>
        </w:rPr>
      </w:pPr>
      <w:r>
        <w:rPr>
          <w:rFonts w:ascii="Times New Roman" w:hAnsi="Times New Roman"/>
          <w:sz w:val="20"/>
        </w:rPr>
        <w:t xml:space="preserve">SECTION 1603. </w:t>
      </w:r>
      <w:r>
        <w:rPr>
          <w:rFonts w:ascii="Times New Roman" w:hAnsi="Times New Roman"/>
          <w:b/>
          <w:sz w:val="20"/>
          <w:u w:val="single"/>
        </w:rPr>
        <w:t>Redemption of Securities for Sinking Fund</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 less than 35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1602 and will also deliver to the Trustee any Securities to be so delivered. Not less than 32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 This instrument may be executed in any number of counterparts, each of which so executed shall be deemed to be an original, but all such counterparts shall together constitute but one and the same instrument.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Indenture to be duly executed, all as of the day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59"/>
        <w:gridCol w:w="62"/>
        <w:gridCol w:w="324"/>
        <w:gridCol w:w="62"/>
        <w:gridCol w:w="3375"/>
      </w:tblGrid>
      <w:tr>
        <w:trPr/>
        <w:tc>
          <w:tcPr>
            <w:tcW w:w="259"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3375"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ISSUER</w:t>
            </w:r>
            <w:r>
              <w:rPr>
                <w:rFonts w:ascii="Times New Roman" w:hAnsi="Times New Roman"/>
                <w:b/>
                <w:sz w:val="20"/>
              </w:rPr>
              <w:t>:</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EZCORP, INC.</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4"/>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761" w:type="dxa"/>
            <w:gridSpan w:val="3"/>
            <w:tcBorders/>
            <w:shd w:fill="auto" w:val="clear"/>
          </w:tcPr>
          <w:p>
            <w:pPr>
              <w:pStyle w:val="TableContents"/>
              <w:pBdr>
                <w:bottom w:val="single" w:sz="2" w:space="1" w:color="000000"/>
              </w:pBdr>
              <w:spacing w:before="0" w:after="15"/>
              <w:rPr/>
            </w:pPr>
            <w:r>
              <w:rPr/>
              <w:t> </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76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76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SUBSIDIARY GUARANTORS</w:t>
            </w:r>
            <w:r>
              <w:rPr>
                <w:rFonts w:ascii="Times New Roman" w:hAnsi="Times New Roman"/>
                <w:b/>
                <w:sz w:val="20"/>
              </w:rPr>
              <w:t>:</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CCV AMERICAS, LLC</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3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USA, Inc., its sole member and manager</w:t>
            </w:r>
          </w:p>
        </w:tc>
      </w:tr>
      <w:tr>
        <w:trPr/>
        <w:tc>
          <w:tcPr>
            <w:tcW w:w="4082" w:type="dxa"/>
            <w:gridSpan w:val="5"/>
            <w:tcBorders/>
            <w:shd w:fill="auto" w:val="clear"/>
          </w:tcPr>
          <w:p>
            <w:pPr>
              <w:pStyle w:val="TableContents"/>
              <w:spacing w:before="0" w:after="0"/>
              <w:rPr>
                <w:rFonts w:ascii="Times New Roman" w:hAnsi="Times New Roman"/>
                <w:b/>
                <w:sz w:val="20"/>
              </w:rPr>
            </w:pPr>
            <w:r>
              <w:rPr>
                <w:rFonts w:ascii="Times New Roman" w:hAnsi="Times New Roman"/>
                <w:b/>
                <w:sz w:val="20"/>
              </w:rPr>
              <w:t>CCV PENNSYLVANIA, INC.</w:t>
            </w:r>
          </w:p>
          <w:p>
            <w:pPr>
              <w:pStyle w:val="TableContents"/>
              <w:spacing w:before="0" w:after="0"/>
              <w:rPr>
                <w:rFonts w:ascii="Times New Roman" w:hAnsi="Times New Roman"/>
                <w:b/>
                <w:sz w:val="20"/>
              </w:rPr>
            </w:pPr>
            <w:r>
              <w:rPr>
                <w:rFonts w:ascii="Times New Roman" w:hAnsi="Times New Roman"/>
                <w:b/>
                <w:sz w:val="20"/>
              </w:rPr>
              <w:t>CCV VIRGINIA, INC.</w:t>
            </w:r>
          </w:p>
          <w:p>
            <w:pPr>
              <w:pStyle w:val="TableContents"/>
              <w:spacing w:before="0" w:after="0"/>
              <w:rPr>
                <w:rFonts w:ascii="Times New Roman" w:hAnsi="Times New Roman"/>
                <w:b/>
                <w:sz w:val="20"/>
              </w:rPr>
            </w:pPr>
            <w:r>
              <w:rPr>
                <w:rFonts w:ascii="Times New Roman" w:hAnsi="Times New Roman"/>
                <w:b/>
                <w:sz w:val="20"/>
              </w:rPr>
              <w:t>CHANGE CAPITAL, INC.</w:t>
            </w:r>
          </w:p>
          <w:p>
            <w:pPr>
              <w:pStyle w:val="TableContents"/>
              <w:spacing w:before="0" w:after="15"/>
              <w:rPr>
                <w:rFonts w:ascii="Times New Roman" w:hAnsi="Times New Roman"/>
                <w:b/>
                <w:sz w:val="20"/>
              </w:rPr>
            </w:pPr>
            <w:r>
              <w:rPr>
                <w:rFonts w:ascii="Times New Roman" w:hAnsi="Times New Roman"/>
                <w:b/>
                <w:sz w:val="20"/>
              </w:rPr>
              <w:t>CHANGE CAPITAL INVESTMENTS, LLC</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3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Change Capital, Inc.,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CHANGE CAPITAL VENTURES, LLC</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3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Change Capital, Inc., its sole member and manager</w:t>
            </w:r>
          </w:p>
        </w:tc>
      </w:tr>
      <w:tr>
        <w:trPr/>
        <w:tc>
          <w:tcPr>
            <w:tcW w:w="4082" w:type="dxa"/>
            <w:gridSpan w:val="5"/>
            <w:tcBorders/>
            <w:shd w:fill="auto" w:val="clear"/>
          </w:tcPr>
          <w:p>
            <w:pPr>
              <w:pStyle w:val="TableContents"/>
              <w:spacing w:before="0" w:after="0"/>
              <w:rPr>
                <w:rFonts w:ascii="Times New Roman" w:hAnsi="Times New Roman"/>
                <w:b/>
                <w:sz w:val="20"/>
              </w:rPr>
            </w:pPr>
            <w:r>
              <w:rPr>
                <w:rFonts w:ascii="Times New Roman" w:hAnsi="Times New Roman"/>
                <w:b/>
                <w:sz w:val="20"/>
              </w:rPr>
              <w:t>EZCORP INTERNATIONAL, INC.</w:t>
            </w:r>
          </w:p>
          <w:p>
            <w:pPr>
              <w:pStyle w:val="TableContents"/>
              <w:spacing w:before="0" w:after="15"/>
              <w:rPr>
                <w:rFonts w:ascii="Times New Roman" w:hAnsi="Times New Roman"/>
                <w:b/>
                <w:sz w:val="20"/>
              </w:rPr>
            </w:pPr>
            <w:r>
              <w:rPr>
                <w:rFonts w:ascii="Times New Roman" w:hAnsi="Times New Roman"/>
                <w:b/>
                <w:sz w:val="20"/>
              </w:rPr>
              <w:t>EZCORP INTERNATIONAL HOLDINGS, LLC</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3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International, Inc., its sole member and manager</w:t>
            </w:r>
          </w:p>
        </w:tc>
      </w:tr>
      <w:tr>
        <w:trPr/>
        <w:tc>
          <w:tcPr>
            <w:tcW w:w="4082" w:type="dxa"/>
            <w:gridSpan w:val="5"/>
            <w:tcBorders/>
            <w:shd w:fill="auto" w:val="clear"/>
          </w:tcPr>
          <w:p>
            <w:pPr>
              <w:pStyle w:val="TableContents"/>
              <w:spacing w:before="0" w:after="0"/>
              <w:rPr>
                <w:rFonts w:ascii="Times New Roman" w:hAnsi="Times New Roman"/>
                <w:b/>
                <w:sz w:val="20"/>
              </w:rPr>
            </w:pPr>
            <w:r>
              <w:rPr>
                <w:rFonts w:ascii="Times New Roman" w:hAnsi="Times New Roman"/>
                <w:b/>
                <w:sz w:val="20"/>
              </w:rPr>
              <w:t>EZCORP ONLINE, INC.</w:t>
            </w:r>
          </w:p>
          <w:p>
            <w:pPr>
              <w:pStyle w:val="TableContents"/>
              <w:spacing w:before="0" w:after="0"/>
              <w:rPr>
                <w:rFonts w:ascii="Times New Roman" w:hAnsi="Times New Roman"/>
                <w:b/>
                <w:sz w:val="20"/>
              </w:rPr>
            </w:pPr>
            <w:r>
              <w:rPr>
                <w:rFonts w:ascii="Times New Roman" w:hAnsi="Times New Roman"/>
                <w:b/>
                <w:sz w:val="20"/>
              </w:rPr>
              <w:t>EZCORP USA, INC.</w:t>
            </w:r>
          </w:p>
          <w:p>
            <w:pPr>
              <w:pStyle w:val="TableContents"/>
              <w:spacing w:before="0" w:after="0"/>
              <w:rPr>
                <w:rFonts w:ascii="Times New Roman" w:hAnsi="Times New Roman"/>
                <w:b/>
                <w:sz w:val="20"/>
              </w:rPr>
            </w:pPr>
            <w:r>
              <w:rPr>
                <w:rFonts w:ascii="Times New Roman" w:hAnsi="Times New Roman"/>
                <w:b/>
                <w:sz w:val="20"/>
              </w:rPr>
              <w:t>EZMONEY ALABAMA, INC.</w:t>
            </w:r>
          </w:p>
          <w:p>
            <w:pPr>
              <w:pStyle w:val="TableContents"/>
              <w:spacing w:before="0" w:after="0"/>
              <w:rPr>
                <w:rFonts w:ascii="Times New Roman" w:hAnsi="Times New Roman"/>
                <w:b/>
                <w:sz w:val="20"/>
              </w:rPr>
            </w:pPr>
            <w:r>
              <w:rPr>
                <w:rFonts w:ascii="Times New Roman" w:hAnsi="Times New Roman"/>
                <w:b/>
                <w:sz w:val="20"/>
              </w:rPr>
              <w:t>EZMONEY CANADA, INC.</w:t>
            </w:r>
          </w:p>
          <w:p>
            <w:pPr>
              <w:pStyle w:val="TableContents"/>
              <w:spacing w:before="0" w:after="0"/>
              <w:rPr>
                <w:rFonts w:ascii="Times New Roman" w:hAnsi="Times New Roman"/>
                <w:b/>
                <w:sz w:val="20"/>
              </w:rPr>
            </w:pPr>
            <w:r>
              <w:rPr>
                <w:rFonts w:ascii="Times New Roman" w:hAnsi="Times New Roman"/>
                <w:b/>
                <w:sz w:val="20"/>
              </w:rPr>
              <w:t>EZMONEY COLORADO, INC.</w:t>
            </w:r>
          </w:p>
          <w:p>
            <w:pPr>
              <w:pStyle w:val="TableContents"/>
              <w:spacing w:before="0" w:after="0"/>
              <w:rPr>
                <w:rFonts w:ascii="Times New Roman" w:hAnsi="Times New Roman"/>
                <w:b/>
                <w:sz w:val="20"/>
              </w:rPr>
            </w:pPr>
            <w:r>
              <w:rPr>
                <w:rFonts w:ascii="Times New Roman" w:hAnsi="Times New Roman"/>
                <w:b/>
                <w:sz w:val="20"/>
              </w:rPr>
              <w:t>EZMONEY HAWAII, INC.</w:t>
            </w:r>
          </w:p>
          <w:p>
            <w:pPr>
              <w:pStyle w:val="TableContents"/>
              <w:spacing w:before="0" w:after="0"/>
              <w:rPr>
                <w:rFonts w:ascii="Times New Roman" w:hAnsi="Times New Roman"/>
                <w:b/>
                <w:sz w:val="20"/>
              </w:rPr>
            </w:pPr>
            <w:r>
              <w:rPr>
                <w:rFonts w:ascii="Times New Roman" w:hAnsi="Times New Roman"/>
                <w:b/>
                <w:sz w:val="20"/>
              </w:rPr>
              <w:t>EZMONEY HOLDINGS, INC.</w:t>
            </w:r>
          </w:p>
          <w:p>
            <w:pPr>
              <w:pStyle w:val="TableContents"/>
              <w:spacing w:before="0" w:after="0"/>
              <w:rPr>
                <w:rFonts w:ascii="Times New Roman" w:hAnsi="Times New Roman"/>
                <w:b/>
                <w:sz w:val="20"/>
              </w:rPr>
            </w:pPr>
            <w:r>
              <w:rPr>
                <w:rFonts w:ascii="Times New Roman" w:hAnsi="Times New Roman"/>
                <w:b/>
                <w:sz w:val="20"/>
              </w:rPr>
              <w:t>EZMONEY IDAHO, INC.</w:t>
            </w:r>
          </w:p>
          <w:p>
            <w:pPr>
              <w:pStyle w:val="TableContents"/>
              <w:spacing w:before="0" w:after="0"/>
              <w:rPr>
                <w:rFonts w:ascii="Times New Roman" w:hAnsi="Times New Roman"/>
                <w:b/>
                <w:sz w:val="20"/>
              </w:rPr>
            </w:pPr>
            <w:r>
              <w:rPr>
                <w:rFonts w:ascii="Times New Roman" w:hAnsi="Times New Roman"/>
                <w:b/>
                <w:sz w:val="20"/>
              </w:rPr>
              <w:t>EZMONEY KANSAS, INC.</w:t>
            </w:r>
          </w:p>
          <w:p>
            <w:pPr>
              <w:pStyle w:val="TableContents"/>
              <w:spacing w:before="0" w:after="0"/>
              <w:rPr>
                <w:rFonts w:ascii="Times New Roman" w:hAnsi="Times New Roman"/>
                <w:b/>
                <w:sz w:val="20"/>
              </w:rPr>
            </w:pPr>
            <w:r>
              <w:rPr>
                <w:rFonts w:ascii="Times New Roman" w:hAnsi="Times New Roman"/>
                <w:b/>
                <w:sz w:val="20"/>
              </w:rPr>
              <w:t>EZMONEY MANAGEMENT, INC.</w:t>
            </w:r>
          </w:p>
          <w:p>
            <w:pPr>
              <w:pStyle w:val="TableContents"/>
              <w:spacing w:before="0" w:after="0"/>
              <w:rPr>
                <w:rFonts w:ascii="Times New Roman" w:hAnsi="Times New Roman"/>
                <w:b/>
                <w:sz w:val="20"/>
              </w:rPr>
            </w:pPr>
            <w:r>
              <w:rPr>
                <w:rFonts w:ascii="Times New Roman" w:hAnsi="Times New Roman"/>
                <w:b/>
                <w:sz w:val="20"/>
              </w:rPr>
              <w:t>EZMONEY MISSOURI, INC.</w:t>
            </w:r>
          </w:p>
          <w:p>
            <w:pPr>
              <w:pStyle w:val="TableContents"/>
              <w:spacing w:before="0" w:after="0"/>
              <w:rPr>
                <w:rFonts w:ascii="Times New Roman" w:hAnsi="Times New Roman"/>
                <w:b/>
                <w:sz w:val="20"/>
              </w:rPr>
            </w:pPr>
            <w:r>
              <w:rPr>
                <w:rFonts w:ascii="Times New Roman" w:hAnsi="Times New Roman"/>
                <w:b/>
                <w:sz w:val="20"/>
              </w:rPr>
              <w:t>EZMONEY NEBRASKA, INC.</w:t>
            </w:r>
          </w:p>
          <w:p>
            <w:pPr>
              <w:pStyle w:val="TableContents"/>
              <w:spacing w:before="0" w:after="0"/>
              <w:rPr>
                <w:rFonts w:ascii="Times New Roman" w:hAnsi="Times New Roman"/>
                <w:b/>
                <w:sz w:val="20"/>
              </w:rPr>
            </w:pPr>
            <w:r>
              <w:rPr>
                <w:rFonts w:ascii="Times New Roman" w:hAnsi="Times New Roman"/>
                <w:b/>
                <w:sz w:val="20"/>
              </w:rPr>
              <w:t>EZMONEY SOUTH DAKOTA, INC.</w:t>
            </w:r>
          </w:p>
          <w:p>
            <w:pPr>
              <w:pStyle w:val="TableContents"/>
              <w:spacing w:before="0" w:after="0"/>
              <w:rPr>
                <w:rFonts w:ascii="Times New Roman" w:hAnsi="Times New Roman"/>
                <w:b/>
                <w:sz w:val="20"/>
              </w:rPr>
            </w:pPr>
            <w:r>
              <w:rPr>
                <w:rFonts w:ascii="Times New Roman" w:hAnsi="Times New Roman"/>
                <w:b/>
                <w:sz w:val="20"/>
              </w:rPr>
              <w:t>EZMONEY UTAH, INC.</w:t>
            </w:r>
          </w:p>
          <w:p>
            <w:pPr>
              <w:pStyle w:val="TableContents"/>
              <w:spacing w:before="0" w:after="0"/>
              <w:rPr>
                <w:rFonts w:ascii="Times New Roman" w:hAnsi="Times New Roman"/>
                <w:b/>
                <w:sz w:val="20"/>
              </w:rPr>
            </w:pPr>
            <w:r>
              <w:rPr>
                <w:rFonts w:ascii="Times New Roman" w:hAnsi="Times New Roman"/>
                <w:b/>
                <w:sz w:val="20"/>
              </w:rPr>
              <w:t>EZMONEY WISCONSIN, INC.</w:t>
            </w:r>
          </w:p>
          <w:p>
            <w:pPr>
              <w:pStyle w:val="TableContents"/>
              <w:spacing w:before="0" w:after="0"/>
              <w:rPr>
                <w:rFonts w:ascii="Times New Roman" w:hAnsi="Times New Roman"/>
                <w:b/>
                <w:sz w:val="20"/>
              </w:rPr>
            </w:pPr>
            <w:r>
              <w:rPr>
                <w:rFonts w:ascii="Times New Roman" w:hAnsi="Times New Roman"/>
                <w:b/>
                <w:sz w:val="20"/>
              </w:rPr>
              <w:t>EZPAWN ALABAMA, INC.</w:t>
            </w:r>
          </w:p>
          <w:p>
            <w:pPr>
              <w:pStyle w:val="TableContents"/>
              <w:spacing w:before="0" w:after="0"/>
              <w:rPr>
                <w:rFonts w:ascii="Times New Roman" w:hAnsi="Times New Roman"/>
                <w:b/>
                <w:sz w:val="20"/>
              </w:rPr>
            </w:pPr>
            <w:r>
              <w:rPr>
                <w:rFonts w:ascii="Times New Roman" w:hAnsi="Times New Roman"/>
                <w:b/>
                <w:sz w:val="20"/>
              </w:rPr>
              <w:t>EZPAWN ARKANSAS, INC.</w:t>
            </w:r>
          </w:p>
          <w:p>
            <w:pPr>
              <w:pStyle w:val="TableContents"/>
              <w:spacing w:before="0" w:after="0"/>
              <w:rPr>
                <w:rFonts w:ascii="Times New Roman" w:hAnsi="Times New Roman"/>
                <w:b/>
                <w:sz w:val="20"/>
              </w:rPr>
            </w:pPr>
            <w:r>
              <w:rPr>
                <w:rFonts w:ascii="Times New Roman" w:hAnsi="Times New Roman"/>
                <w:b/>
                <w:sz w:val="20"/>
              </w:rPr>
              <w:t>EZPAWN COLORADO, INC.</w:t>
            </w:r>
          </w:p>
          <w:p>
            <w:pPr>
              <w:pStyle w:val="TableContents"/>
              <w:spacing w:before="0" w:after="0"/>
              <w:rPr>
                <w:rFonts w:ascii="Times New Roman" w:hAnsi="Times New Roman"/>
                <w:b/>
                <w:sz w:val="20"/>
              </w:rPr>
            </w:pPr>
            <w:r>
              <w:rPr>
                <w:rFonts w:ascii="Times New Roman" w:hAnsi="Times New Roman"/>
                <w:b/>
                <w:sz w:val="20"/>
              </w:rPr>
              <w:t>EZPAWN FLORIDA, INC.</w:t>
            </w:r>
          </w:p>
          <w:p>
            <w:pPr>
              <w:pStyle w:val="TableContents"/>
              <w:spacing w:before="0" w:after="0"/>
              <w:rPr>
                <w:rFonts w:ascii="Times New Roman" w:hAnsi="Times New Roman"/>
                <w:b/>
                <w:sz w:val="20"/>
              </w:rPr>
            </w:pPr>
            <w:r>
              <w:rPr>
                <w:rFonts w:ascii="Times New Roman" w:hAnsi="Times New Roman"/>
                <w:b/>
                <w:sz w:val="20"/>
              </w:rPr>
              <w:t>EZPAWN GEORGIA, INC.</w:t>
            </w:r>
          </w:p>
          <w:p>
            <w:pPr>
              <w:pStyle w:val="TableContents"/>
              <w:spacing w:before="0" w:after="0"/>
              <w:rPr>
                <w:rFonts w:ascii="Times New Roman" w:hAnsi="Times New Roman"/>
                <w:b/>
                <w:sz w:val="20"/>
              </w:rPr>
            </w:pPr>
            <w:r>
              <w:rPr>
                <w:rFonts w:ascii="Times New Roman" w:hAnsi="Times New Roman"/>
                <w:b/>
                <w:sz w:val="20"/>
              </w:rPr>
              <w:t>EZPAWN HOLDINGS, INC.</w:t>
            </w:r>
          </w:p>
          <w:p>
            <w:pPr>
              <w:pStyle w:val="TableContents"/>
              <w:spacing w:before="0" w:after="0"/>
              <w:rPr>
                <w:rFonts w:ascii="Times New Roman" w:hAnsi="Times New Roman"/>
                <w:b/>
                <w:sz w:val="20"/>
              </w:rPr>
            </w:pPr>
            <w:r>
              <w:rPr>
                <w:rFonts w:ascii="Times New Roman" w:hAnsi="Times New Roman"/>
                <w:b/>
                <w:sz w:val="20"/>
              </w:rPr>
              <w:t>EZPAWN ILLINOIS, INC.</w:t>
            </w:r>
          </w:p>
          <w:p>
            <w:pPr>
              <w:pStyle w:val="TableContents"/>
              <w:spacing w:before="0" w:after="0"/>
              <w:rPr>
                <w:rFonts w:ascii="Times New Roman" w:hAnsi="Times New Roman"/>
                <w:b/>
                <w:sz w:val="20"/>
              </w:rPr>
            </w:pPr>
            <w:r>
              <w:rPr>
                <w:rFonts w:ascii="Times New Roman" w:hAnsi="Times New Roman"/>
                <w:b/>
                <w:sz w:val="20"/>
              </w:rPr>
              <w:t>EZPAWN INDIANA, INC.</w:t>
            </w:r>
          </w:p>
          <w:p>
            <w:pPr>
              <w:pStyle w:val="TableContents"/>
              <w:spacing w:before="0" w:after="0"/>
              <w:rPr>
                <w:rFonts w:ascii="Times New Roman" w:hAnsi="Times New Roman"/>
                <w:b/>
                <w:sz w:val="20"/>
              </w:rPr>
            </w:pPr>
            <w:r>
              <w:rPr>
                <w:rFonts w:ascii="Times New Roman" w:hAnsi="Times New Roman"/>
                <w:b/>
                <w:sz w:val="20"/>
              </w:rPr>
              <w:t>EZPAWN IOWA, INC.</w:t>
            </w:r>
          </w:p>
          <w:p>
            <w:pPr>
              <w:pStyle w:val="TableContents"/>
              <w:spacing w:before="0" w:after="0"/>
              <w:rPr>
                <w:rFonts w:ascii="Times New Roman" w:hAnsi="Times New Roman"/>
                <w:b/>
                <w:sz w:val="20"/>
              </w:rPr>
            </w:pPr>
            <w:r>
              <w:rPr>
                <w:rFonts w:ascii="Times New Roman" w:hAnsi="Times New Roman"/>
                <w:b/>
                <w:sz w:val="20"/>
              </w:rPr>
              <w:t>EZPAWN LOUISIANA, INC.</w:t>
            </w:r>
          </w:p>
          <w:p>
            <w:pPr>
              <w:pStyle w:val="TableContents"/>
              <w:spacing w:before="0" w:after="0"/>
              <w:rPr>
                <w:rFonts w:ascii="Times New Roman" w:hAnsi="Times New Roman"/>
                <w:b/>
                <w:sz w:val="20"/>
              </w:rPr>
            </w:pPr>
            <w:r>
              <w:rPr>
                <w:rFonts w:ascii="Times New Roman" w:hAnsi="Times New Roman"/>
                <w:b/>
                <w:sz w:val="20"/>
              </w:rPr>
              <w:t>EZPAWN NEVADA, INC.</w:t>
            </w:r>
          </w:p>
          <w:p>
            <w:pPr>
              <w:pStyle w:val="TableContents"/>
              <w:spacing w:before="0" w:after="0"/>
              <w:rPr>
                <w:rFonts w:ascii="Times New Roman" w:hAnsi="Times New Roman"/>
                <w:b/>
                <w:sz w:val="20"/>
              </w:rPr>
            </w:pPr>
            <w:r>
              <w:rPr>
                <w:rFonts w:ascii="Times New Roman" w:hAnsi="Times New Roman"/>
                <w:b/>
                <w:sz w:val="20"/>
              </w:rPr>
              <w:t>EZPAWN OKLAHOMA, INC.</w:t>
            </w:r>
          </w:p>
          <w:p>
            <w:pPr>
              <w:pStyle w:val="TableContents"/>
              <w:spacing w:before="0" w:after="0"/>
              <w:rPr>
                <w:rFonts w:ascii="Times New Roman" w:hAnsi="Times New Roman"/>
                <w:b/>
                <w:sz w:val="20"/>
              </w:rPr>
            </w:pPr>
            <w:r>
              <w:rPr>
                <w:rFonts w:ascii="Times New Roman" w:hAnsi="Times New Roman"/>
                <w:b/>
                <w:sz w:val="20"/>
              </w:rPr>
              <w:t>EZPAWN TENNESSEE, INC.</w:t>
            </w:r>
          </w:p>
          <w:p>
            <w:pPr>
              <w:pStyle w:val="TableContents"/>
              <w:spacing w:before="0" w:after="0"/>
              <w:rPr>
                <w:rFonts w:ascii="Times New Roman" w:hAnsi="Times New Roman"/>
                <w:b/>
                <w:sz w:val="20"/>
              </w:rPr>
            </w:pPr>
            <w:r>
              <w:rPr>
                <w:rFonts w:ascii="Times New Roman" w:hAnsi="Times New Roman"/>
                <w:b/>
                <w:sz w:val="20"/>
              </w:rPr>
              <w:t>EZPAWN UTAH, INC.</w:t>
            </w:r>
          </w:p>
          <w:p>
            <w:pPr>
              <w:pStyle w:val="TableContents"/>
              <w:spacing w:before="0" w:after="0"/>
              <w:rPr>
                <w:rFonts w:ascii="Times New Roman" w:hAnsi="Times New Roman"/>
                <w:b/>
                <w:sz w:val="20"/>
              </w:rPr>
            </w:pPr>
            <w:r>
              <w:rPr>
                <w:rFonts w:ascii="Times New Roman" w:hAnsi="Times New Roman"/>
                <w:b/>
                <w:sz w:val="20"/>
              </w:rPr>
              <w:t>EZPAWN WISCONSIN, INC.</w:t>
            </w:r>
          </w:p>
          <w:p>
            <w:pPr>
              <w:pStyle w:val="TableContents"/>
              <w:spacing w:before="0" w:after="0"/>
              <w:rPr>
                <w:rFonts w:ascii="Times New Roman" w:hAnsi="Times New Roman"/>
                <w:b/>
                <w:sz w:val="20"/>
              </w:rPr>
            </w:pPr>
            <w:r>
              <w:rPr>
                <w:rFonts w:ascii="Times New Roman" w:hAnsi="Times New Roman"/>
                <w:b/>
                <w:sz w:val="20"/>
              </w:rPr>
              <w:t>MISTER MONEY HOLDINGS, INC.</w:t>
            </w:r>
          </w:p>
          <w:p>
            <w:pPr>
              <w:pStyle w:val="TableContents"/>
              <w:spacing w:before="0" w:after="0"/>
              <w:rPr>
                <w:rFonts w:ascii="Times New Roman" w:hAnsi="Times New Roman"/>
                <w:b/>
                <w:sz w:val="20"/>
              </w:rPr>
            </w:pPr>
            <w:r>
              <w:rPr>
                <w:rFonts w:ascii="Times New Roman" w:hAnsi="Times New Roman"/>
                <w:b/>
                <w:sz w:val="20"/>
              </w:rPr>
              <w:t>PAWN MANAGEMENT, INC.</w:t>
            </w:r>
          </w:p>
          <w:p>
            <w:pPr>
              <w:pStyle w:val="TableContents"/>
              <w:spacing w:before="0" w:after="0"/>
              <w:rPr>
                <w:rFonts w:ascii="Times New Roman" w:hAnsi="Times New Roman"/>
                <w:b/>
                <w:sz w:val="20"/>
              </w:rPr>
            </w:pPr>
            <w:r>
              <w:rPr>
                <w:rFonts w:ascii="Times New Roman" w:hAnsi="Times New Roman"/>
                <w:b/>
                <w:sz w:val="20"/>
              </w:rPr>
              <w:t>PAYDAY LOAN MANAGEMENT, INC.</w:t>
            </w:r>
          </w:p>
          <w:p>
            <w:pPr>
              <w:pStyle w:val="TableContents"/>
              <w:spacing w:before="0" w:after="15"/>
              <w:rPr>
                <w:rFonts w:ascii="Times New Roman" w:hAnsi="Times New Roman"/>
                <w:b/>
                <w:sz w:val="20"/>
              </w:rPr>
            </w:pPr>
            <w:r>
              <w:rPr>
                <w:rFonts w:ascii="Times New Roman" w:hAnsi="Times New Roman"/>
                <w:b/>
                <w:sz w:val="20"/>
              </w:rPr>
              <w:t>TEXAS EZMONEY, L.P.</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3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Payday Loan Management, Inc., its general partner</w:t>
            </w:r>
          </w:p>
        </w:tc>
      </w:tr>
      <w:tr>
        <w:trPr/>
        <w:tc>
          <w:tcPr>
            <w:tcW w:w="4082" w:type="dxa"/>
            <w:gridSpan w:val="5"/>
            <w:tcBorders/>
            <w:shd w:fill="auto" w:val="clear"/>
          </w:tcPr>
          <w:p>
            <w:pPr>
              <w:pStyle w:val="TableContents"/>
              <w:spacing w:before="0" w:after="0"/>
              <w:rPr>
                <w:rFonts w:ascii="Times New Roman" w:hAnsi="Times New Roman"/>
                <w:b/>
                <w:sz w:val="20"/>
              </w:rPr>
            </w:pPr>
            <w:r>
              <w:rPr>
                <w:rFonts w:ascii="Times New Roman" w:hAnsi="Times New Roman"/>
                <w:b/>
                <w:sz w:val="20"/>
              </w:rPr>
              <w:t>TEXAS EZPAWN MANAGEMENT, INC.</w:t>
            </w:r>
          </w:p>
          <w:p>
            <w:pPr>
              <w:pStyle w:val="TableContents"/>
              <w:spacing w:before="0" w:after="15"/>
              <w:rPr>
                <w:rFonts w:ascii="Times New Roman" w:hAnsi="Times New Roman"/>
                <w:b/>
                <w:sz w:val="20"/>
              </w:rPr>
            </w:pPr>
            <w:r>
              <w:rPr>
                <w:rFonts w:ascii="Times New Roman" w:hAnsi="Times New Roman"/>
                <w:b/>
                <w:sz w:val="20"/>
              </w:rPr>
              <w:t>TEXAS EZPAWN, L.P.</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3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 EZPAWN Management, Inc., its general partner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TEXAS PRA MANAGEMENT, L.P.</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3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EZMONEY Management, Inc., its general partner</w:t>
            </w:r>
          </w:p>
        </w:tc>
      </w:tr>
      <w:tr>
        <w:trPr/>
        <w:tc>
          <w:tcPr>
            <w:tcW w:w="4082" w:type="dxa"/>
            <w:gridSpan w:val="5"/>
            <w:tcBorders/>
            <w:shd w:fill="auto" w:val="clear"/>
          </w:tcPr>
          <w:p>
            <w:pPr>
              <w:pStyle w:val="TableContents"/>
              <w:spacing w:before="0" w:after="0"/>
              <w:rPr>
                <w:rFonts w:ascii="Times New Roman" w:hAnsi="Times New Roman"/>
                <w:b/>
                <w:sz w:val="20"/>
              </w:rPr>
            </w:pPr>
            <w:r>
              <w:rPr>
                <w:rFonts w:ascii="Times New Roman" w:hAnsi="Times New Roman"/>
                <w:b/>
                <w:sz w:val="20"/>
              </w:rPr>
              <w:t>VALUE FINANCIAL SERVICES, INC.</w:t>
            </w:r>
          </w:p>
          <w:p>
            <w:pPr>
              <w:pStyle w:val="TableContents"/>
              <w:spacing w:before="0" w:after="15"/>
              <w:rPr>
                <w:rFonts w:ascii="Times New Roman" w:hAnsi="Times New Roman"/>
                <w:b/>
                <w:sz w:val="20"/>
              </w:rPr>
            </w:pPr>
            <w:r>
              <w:rPr>
                <w:rFonts w:ascii="Times New Roman" w:hAnsi="Times New Roman"/>
                <w:b/>
                <w:sz w:val="20"/>
              </w:rPr>
              <w:t>VFS MEXICO OPERATIONS, LLC</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3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Value Financial Services, Inc.,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VFS MEXICO SERVICES, LLC</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3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Value Financial Services, Inc., its sole member and manager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In each case by:</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pBdr>
                <w:bottom w:val="single" w:sz="2" w:space="1" w:color="000000"/>
              </w:pBdr>
              <w:spacing w:before="0" w:after="15"/>
              <w:rPr/>
            </w:pPr>
            <w:r>
              <w:rPr/>
              <w:t> </w:t>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MEXICO HOLDINGS, LLC</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3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Global, B.V.,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MEXICO LTD., LLC</w:t>
            </w:r>
          </w:p>
        </w:tc>
      </w:tr>
      <w:tr>
        <w:trPr/>
        <w:tc>
          <w:tcPr>
            <w:tcW w:w="259"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By:</w:t>
            </w:r>
          </w:p>
        </w:tc>
        <w:tc>
          <w:tcPr>
            <w:tcW w:w="62" w:type="dxa"/>
            <w:tcBorders/>
            <w:shd w:fill="auto" w:val="clear"/>
            <w:vAlign w:val="bottom"/>
          </w:tcPr>
          <w:p>
            <w:pPr>
              <w:pStyle w:val="TableContents"/>
              <w:spacing w:before="0" w:after="283"/>
              <w:rPr/>
            </w:pPr>
            <w:r>
              <w:rPr/>
              <w:t> </w:t>
            </w:r>
          </w:p>
        </w:tc>
        <w:tc>
          <w:tcPr>
            <w:tcW w:w="33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Global, B.V., its sole member and manager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In each case by:</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pBdr>
                <w:bottom w:val="single" w:sz="2" w:space="1" w:color="000000"/>
              </w:pBdr>
              <w:spacing w:before="0" w:after="15"/>
              <w:rPr/>
            </w:pPr>
            <w:r>
              <w:rPr/>
              <w:t> </w:t>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180" w:after="0"/>
        <w:jc w:val="center"/>
        <w:rPr>
          <w:rFonts w:ascii="Times New Roman" w:hAnsi="Times New Roman"/>
          <w:sz w:val="20"/>
        </w:rPr>
      </w:pPr>
      <w:r>
        <w:rPr>
          <w:rFonts w:ascii="Times New Roman" w:hAnsi="Times New Roman"/>
          <w:sz w:val="20"/>
        </w:rPr>
        <w:t xml:space="preserve">[Signature Page to Senior Indenture] </w:t>
      </w:r>
      <w:r>
        <w:br w:type="page"/>
      </w:r>
    </w:p>
    <w:p>
      <w:pPr>
        <w:pStyle w:val="HorizontalLine"/>
        <w:pBdr>
          <w:bottom w:val="double" w:sz="6" w:space="0" w:color="808080"/>
        </w:pBdr>
        <w:rPr/>
      </w:pPr>
      <w:r>
        <w:rPr/>
      </w:r>
    </w:p>
    <w:p>
      <w:pPr>
        <w:pStyle w:val="TextBody"/>
        <w:rPr/>
      </w:pPr>
      <w:r>
        <w:rPr/>
        <w:t> </w:t>
      </w:r>
    </w:p>
    <w:tbl>
      <w:tblPr>
        <w:tblW w:w="2000" w:type="pct"/>
        <w:jc w:val="right"/>
        <w:tblInd w:w="0" w:type="dxa"/>
        <w:tblCellMar>
          <w:top w:w="0" w:type="dxa"/>
          <w:left w:w="0" w:type="dxa"/>
          <w:bottom w:w="0" w:type="dxa"/>
          <w:right w:w="0" w:type="dxa"/>
        </w:tblCellMar>
      </w:tblPr>
      <w:tblGrid>
        <w:gridCol w:w="459"/>
        <w:gridCol w:w="84"/>
        <w:gridCol w:w="809"/>
        <w:gridCol w:w="84"/>
        <w:gridCol w:w="2646"/>
      </w:tblGrid>
      <w:tr>
        <w:trPr/>
        <w:tc>
          <w:tcPr>
            <w:tcW w:w="4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TRUSTEE</w:t>
            </w:r>
            <w:r>
              <w:rPr>
                <w:rFonts w:ascii="Times New Roman" w:hAnsi="Times New Roman"/>
                <w:b/>
                <w:sz w:val="20"/>
              </w:rPr>
              <w:t>:</w:t>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r>
              <w:rPr>
                <w:rFonts w:ascii="Times New Roman" w:hAnsi="Times New Roman"/>
                <w:sz w:val="20"/>
              </w:rPr>
              <w:t>as Trustee</w:t>
            </w:r>
          </w:p>
        </w:tc>
      </w:tr>
      <w:tr>
        <w:trPr>
          <w:trHeight w:val="240" w:hRule="atLeast"/>
        </w:trPr>
        <w:tc>
          <w:tcPr>
            <w:tcW w:w="459" w:type="dxa"/>
            <w:tcBorders/>
            <w:shd w:fill="auto" w:val="clear"/>
            <w:vAlign w:val="center"/>
          </w:tcPr>
          <w:p>
            <w:pPr>
              <w:pStyle w:val="TableContents"/>
              <w:spacing w:before="0" w:after="283"/>
              <w:rPr>
                <w:sz w:val="4"/>
                <w:szCs w:val="4"/>
              </w:rPr>
            </w:pPr>
            <w:r>
              <w:rPr>
                <w:sz w:val="4"/>
                <w:szCs w:val="4"/>
              </w:rPr>
            </w:r>
          </w:p>
        </w:tc>
        <w:tc>
          <w:tcPr>
            <w:tcW w:w="3623" w:type="dxa"/>
            <w:gridSpan w:val="4"/>
            <w:tcBorders/>
            <w:shd w:fill="auto" w:val="clear"/>
            <w:vAlign w:val="center"/>
          </w:tcPr>
          <w:p>
            <w:pPr>
              <w:pStyle w:val="TableContents"/>
              <w:spacing w:before="0" w:after="283"/>
              <w:rPr>
                <w:sz w:val="4"/>
                <w:szCs w:val="4"/>
              </w:rPr>
            </w:pPr>
            <w:r>
              <w:rPr>
                <w:sz w:val="4"/>
                <w:szCs w:val="4"/>
              </w:rPr>
            </w:r>
          </w:p>
        </w:tc>
      </w:tr>
      <w:tr>
        <w:trPr/>
        <w:tc>
          <w:tcPr>
            <w:tcW w:w="4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539" w:type="dxa"/>
            <w:gridSpan w:val="3"/>
            <w:tcBorders>
              <w:bottom w:val="single" w:sz="2" w:space="0" w:color="000000"/>
            </w:tcBorders>
            <w:shd w:fill="auto" w:val="clear"/>
            <w:tcMar>
              <w:bottom w:w="28" w:type="dxa"/>
            </w:tcMar>
          </w:tcPr>
          <w:p>
            <w:pPr>
              <w:pStyle w:val="TableContents"/>
              <w:spacing w:before="0" w:after="283"/>
              <w:rPr/>
            </w:pPr>
            <w:r>
              <w:rPr/>
              <w:t> </w:t>
            </w:r>
          </w:p>
        </w:tc>
      </w:tr>
      <w:tr>
        <w:trPr/>
        <w:tc>
          <w:tcPr>
            <w:tcW w:w="4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809"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84" w:type="dxa"/>
            <w:tcBorders/>
            <w:shd w:fill="auto" w:val="clear"/>
            <w:vAlign w:val="bottom"/>
          </w:tcPr>
          <w:p>
            <w:pPr>
              <w:pStyle w:val="TableContents"/>
              <w:spacing w:before="0" w:after="283"/>
              <w:rPr/>
            </w:pPr>
            <w:r>
              <w:rPr/>
              <w:t> </w:t>
            </w:r>
          </w:p>
        </w:tc>
        <w:tc>
          <w:tcPr>
            <w:tcW w:w="2646" w:type="dxa"/>
            <w:tcBorders/>
            <w:shd w:fill="auto" w:val="clear"/>
            <w:vAlign w:val="bottom"/>
          </w:tcPr>
          <w:p>
            <w:pPr>
              <w:pStyle w:val="TableContents"/>
              <w:spacing w:before="0" w:after="283"/>
              <w:rPr>
                <w:sz w:val="4"/>
                <w:szCs w:val="4"/>
              </w:rPr>
            </w:pPr>
            <w:r>
              <w:rPr>
                <w:sz w:val="4"/>
                <w:szCs w:val="4"/>
              </w:rPr>
            </w:r>
          </w:p>
        </w:tc>
      </w:tr>
      <w:tr>
        <w:trPr/>
        <w:tc>
          <w:tcPr>
            <w:tcW w:w="4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809"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84" w:type="dxa"/>
            <w:tcBorders/>
            <w:shd w:fill="auto" w:val="clear"/>
            <w:vAlign w:val="bottom"/>
          </w:tcPr>
          <w:p>
            <w:pPr>
              <w:pStyle w:val="TableContents"/>
              <w:spacing w:before="0" w:after="283"/>
              <w:rPr/>
            </w:pPr>
            <w:r>
              <w:rPr/>
              <w:t> </w:t>
            </w:r>
          </w:p>
        </w:tc>
        <w:tc>
          <w:tcPr>
            <w:tcW w:w="2646"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jc w:val="center"/>
        <w:rPr>
          <w:rFonts w:ascii="Times New Roman" w:hAnsi="Times New Roman"/>
          <w:sz w:val="20"/>
        </w:rPr>
      </w:pPr>
      <w:r>
        <w:rPr>
          <w:rFonts w:ascii="Times New Roman" w:hAnsi="Times New Roman"/>
          <w:sz w:val="20"/>
        </w:rPr>
        <w:t xml:space="preserve">[Signature Page to Senior Indenture]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 </w:t>
      </w:r>
    </w:p>
    <w:p>
      <w:pPr>
        <w:pStyle w:val="TextBody"/>
        <w:spacing w:before="0" w:after="0"/>
        <w:jc w:val="center"/>
        <w:rPr>
          <w:rFonts w:ascii="Times New Roman" w:hAnsi="Times New Roman"/>
          <w:b/>
          <w:sz w:val="20"/>
        </w:rPr>
      </w:pPr>
      <w:r>
        <w:rPr>
          <w:rFonts w:ascii="Times New Roman" w:hAnsi="Times New Roman"/>
          <w:b/>
          <w:sz w:val="20"/>
          <w:u w:val="single"/>
        </w:rPr>
        <w:t>SUBSIDIARY GUARANTORS</w:t>
      </w:r>
      <w:r>
        <w:rPr>
          <w:rFonts w:ascii="Times New Roman" w:hAnsi="Times New Roman"/>
          <w:b/>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SUBSIDIARY</w:t>
            </w:r>
          </w:p>
        </w:tc>
        <w:tc>
          <w:tcPr>
            <w:tcW w:w="203" w:type="dxa"/>
            <w:tcBorders/>
            <w:shd w:fill="auto" w:val="cle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STATE OF ORGANIZATION</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CCV Americas, LLC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CCV Pennsylvania,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CCV Virginia,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Change Capital,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Change Capital Investments, LLC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Change Capital Ventures, LLC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EZCORP International,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EZCORP International Holdings, LLC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EZCORP Online,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EZCORP USA,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Alabama,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Canada,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Colorado,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Hawaii,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Holdings,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Idaho,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Kansas,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Management,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Missouri,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Nebraska,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South Dakota,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Utah,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Wisconsin,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Alabama,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Arkansas,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Colorado,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Florida,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Georgia,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Holdings,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Illinois,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Indiana,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Iowa,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Louisiana,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Mexico Holdings, LLC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Mexico Ltd., LLC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Nevada,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Oklahoma,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Tennessee,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Utah,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Wisconsin,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Mister Money Holdings,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Colorado</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Pawn Management,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Payday Loan Management,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Texas EZMONEY, L.P.</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Texas EZPAWN Management,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Texas EZPAWN, L.P.</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Texas PRA Management, L.P.</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Value Financial Services, Inc.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Florida</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VFS Mexico Operations, LLC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Florida</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VFS Mexico Services, LLC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Florida</w:t>
            </w:r>
          </w:p>
        </w:tc>
      </w:tr>
    </w:tbl>
    <w:p>
      <w:pPr>
        <w:pStyle w:val="TextBody"/>
        <w:spacing w:before="180" w:after="0"/>
        <w:jc w:val="center"/>
        <w:rPr>
          <w:rFonts w:ascii="Times New Roman" w:hAnsi="Times New Roman"/>
          <w:sz w:val="20"/>
        </w:rPr>
      </w:pPr>
      <w:r>
        <w:rPr>
          <w:rFonts w:ascii="Times New Roman" w:hAnsi="Times New Roman"/>
          <w:sz w:val="20"/>
        </w:rPr>
        <w:t xml:space="preserve">Schedule I-1 </w:t>
      </w:r>
      <w:r>
        <w:br w:type="page"/>
      </w:r>
    </w:p>
    <w:p>
      <w:pPr>
        <w:pStyle w:val="TextBody"/>
        <w:spacing w:before="0" w:after="0"/>
        <w:jc w:val="right"/>
        <w:rPr>
          <w:rFonts w:ascii="Times New Roman" w:hAnsi="Times New Roman"/>
          <w:b/>
          <w:sz w:val="20"/>
        </w:rPr>
      </w:pPr>
      <w:bookmarkStart w:id="21" w:name="d267319dex45.htm"/>
      <w:bookmarkStart w:id="22" w:name="ksd267319dex45"/>
      <w:bookmarkEnd w:id="21"/>
      <w:bookmarkEnd w:id="22"/>
      <w:r>
        <w:rPr>
          <w:rFonts w:ascii="Times New Roman" w:hAnsi="Times New Roman"/>
          <w:b/>
          <w:sz w:val="20"/>
        </w:rPr>
        <w:t xml:space="preserve">EXHIBIT 4.5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as Issuer </w:t>
      </w:r>
    </w:p>
    <w:p>
      <w:pPr>
        <w:pStyle w:val="TextBody"/>
        <w:spacing w:before="180" w:after="0"/>
        <w:jc w:val="center"/>
        <w:rPr>
          <w:rFonts w:ascii="Times New Roman" w:hAnsi="Times New Roman"/>
          <w:b/>
          <w:sz w:val="20"/>
        </w:rPr>
      </w:pPr>
      <w:r>
        <w:rPr>
          <w:rFonts w:ascii="Times New Roman" w:hAnsi="Times New Roman"/>
          <w:b/>
          <w:sz w:val="20"/>
        </w:rPr>
        <w:t xml:space="preserve">and </w:t>
      </w:r>
    </w:p>
    <w:p>
      <w:pPr>
        <w:pStyle w:val="TextBody"/>
        <w:spacing w:before="180" w:after="0"/>
        <w:jc w:val="center"/>
        <w:rPr>
          <w:rFonts w:ascii="Times New Roman" w:hAnsi="Times New Roman"/>
          <w:b/>
          <w:sz w:val="20"/>
        </w:rPr>
      </w:pPr>
      <w:r>
        <w:rPr>
          <w:rFonts w:ascii="Times New Roman" w:hAnsi="Times New Roman"/>
          <w:b/>
          <w:sz w:val="20"/>
        </w:rPr>
        <w:t xml:space="preserve">EACH OF THE SUBSIDIARY GUARANTORS PARTIES HERETO, </w:t>
      </w:r>
    </w:p>
    <w:p>
      <w:pPr>
        <w:pStyle w:val="TextBody"/>
        <w:spacing w:before="0" w:after="0"/>
        <w:jc w:val="center"/>
        <w:rPr>
          <w:rFonts w:ascii="Times New Roman" w:hAnsi="Times New Roman"/>
          <w:b/>
          <w:sz w:val="20"/>
        </w:rPr>
      </w:pPr>
      <w:r>
        <w:rPr>
          <w:rFonts w:ascii="Times New Roman" w:hAnsi="Times New Roman"/>
          <w:b/>
          <w:sz w:val="20"/>
        </w:rPr>
        <w:t xml:space="preserve">as Subsidiary Guarantors </w:t>
      </w:r>
    </w:p>
    <w:p>
      <w:pPr>
        <w:pStyle w:val="TextBody"/>
        <w:spacing w:before="180" w:after="0"/>
        <w:jc w:val="center"/>
        <w:rPr>
          <w:rFonts w:ascii="Times New Roman" w:hAnsi="Times New Roman"/>
          <w:b/>
          <w:sz w:val="20"/>
        </w:rPr>
      </w:pPr>
      <w:r>
        <w:rPr>
          <w:rFonts w:ascii="Times New Roman" w:hAnsi="Times New Roman"/>
          <w:b/>
          <w:sz w:val="20"/>
        </w:rPr>
        <w:t xml:space="preserve">to </w:t>
      </w:r>
    </w:p>
    <w:p>
      <w:pPr>
        <w:pStyle w:val="TextBody"/>
        <w:spacing w:before="180" w:after="0"/>
        <w:jc w:val="center"/>
        <w:rPr>
          <w:rFonts w:ascii="Times New Roman" w:hAnsi="Times New Roman"/>
          <w:b/>
          <w:sz w:val="20"/>
        </w:rPr>
      </w:pP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p>
    <w:p>
      <w:pPr>
        <w:pStyle w:val="TextBody"/>
        <w:spacing w:before="0" w:after="0"/>
        <w:jc w:val="center"/>
        <w:rPr>
          <w:rFonts w:ascii="Times New Roman" w:hAnsi="Times New Roman"/>
          <w:b/>
          <w:sz w:val="20"/>
        </w:rPr>
      </w:pPr>
      <w:r>
        <w:rPr>
          <w:rFonts w:ascii="Times New Roman" w:hAnsi="Times New Roman"/>
          <w:b/>
          <w:sz w:val="20"/>
        </w:rPr>
        <w:t xml:space="preserve">as Trustee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0"/>
        </w:rPr>
      </w:pPr>
      <w:r>
        <w:rPr>
          <w:rFonts w:ascii="Times New Roman" w:hAnsi="Times New Roman"/>
          <w:b/>
          <w:sz w:val="20"/>
        </w:rPr>
        <w:t xml:space="preserve">FORM OF </w:t>
      </w:r>
    </w:p>
    <w:p>
      <w:pPr>
        <w:pStyle w:val="TextBody"/>
        <w:spacing w:before="0" w:after="0"/>
        <w:jc w:val="center"/>
        <w:rPr>
          <w:rFonts w:ascii="Times New Roman" w:hAnsi="Times New Roman"/>
          <w:b/>
          <w:sz w:val="20"/>
        </w:rPr>
      </w:pPr>
      <w:r>
        <w:rPr>
          <w:rFonts w:ascii="Times New Roman" w:hAnsi="Times New Roman"/>
          <w:b/>
          <w:sz w:val="20"/>
        </w:rPr>
        <w:t xml:space="preserve">SUBORDINATED INDENTURE </w:t>
      </w:r>
    </w:p>
    <w:p>
      <w:pPr>
        <w:pStyle w:val="TextBody"/>
        <w:spacing w:before="180" w:after="0"/>
        <w:jc w:val="center"/>
        <w:rPr>
          <w:rFonts w:ascii="Times New Roman" w:hAnsi="Times New Roman"/>
          <w:b/>
          <w:sz w:val="20"/>
        </w:rPr>
      </w:pPr>
      <w:r>
        <w:rPr>
          <w:rFonts w:ascii="Times New Roman" w:hAnsi="Times New Roman"/>
          <w:b/>
          <w:sz w:val="20"/>
        </w:rPr>
        <w:t xml:space="preserve">Dated as of </w:t>
      </w:r>
      <w:r>
        <w:rPr>
          <w:rFonts w:ascii="Times New Roman" w:hAnsi="Times New Roman"/>
          <w:b/>
          <w:sz w:val="20"/>
          <w:u w:val="single"/>
        </w:rPr>
        <w:t>            </w:t>
      </w:r>
      <w:r>
        <w:rPr>
          <w:rFonts w:ascii="Times New Roman" w:hAnsi="Times New Roman"/>
          <w:b/>
          <w:sz w:val="20"/>
        </w:rPr>
        <w:t xml:space="preserve">, 20__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19"/>
        <w:gridCol w:w="199"/>
        <w:gridCol w:w="8364"/>
        <w:gridCol w:w="209"/>
        <w:gridCol w:w="60"/>
        <w:gridCol w:w="230"/>
        <w:gridCol w:w="124"/>
      </w:tblGrid>
      <w:tr>
        <w:trPr/>
        <w:tc>
          <w:tcPr>
            <w:tcW w:w="101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836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01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9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Page</w:t>
            </w:r>
          </w:p>
        </w:tc>
        <w:tc>
          <w:tcPr>
            <w:tcW w:w="124" w:type="dxa"/>
            <w:tcBorders/>
            <w:shd w:fill="auto" w:val="clear"/>
            <w:vAlign w:val="bottom"/>
          </w:tcPr>
          <w:p>
            <w:pPr>
              <w:pStyle w:val="TableContents"/>
              <w:spacing w:before="0" w:after="283"/>
              <w:rPr/>
            </w:pPr>
            <w:r>
              <w:rPr/>
              <w:t> </w:t>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ONE DEFINITIONS AND OTHER PROVISIONS OF GENERAL APPLICATION</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101.</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Definitions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102.</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Compliance Certificates and Opinions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103.</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Documents Delivered to Trustee</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104.</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Acts of Holders; Record Dates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105.</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Notices, Etc., to Trustee and Company</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106.</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 to Holders; Waiver</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107.</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Conflict with Trust Indenture Act</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108.</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Effect of Headings and Table of Contents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109.</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Successors and Assigns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Separability Clause</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111.</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Benefits of Indenture</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112.</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Governing Law</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113.</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Legal Holidays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114.</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 Recourse Against Others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4" w:type="dxa"/>
            <w:tcBorders/>
            <w:shd w:fill="auto" w:val="clear"/>
            <w:vAlign w:val="bottom"/>
          </w:tcPr>
          <w:p>
            <w:pPr>
              <w:pStyle w:val="TableContents"/>
              <w:spacing w:before="0" w:after="283"/>
              <w:rPr/>
            </w:pPr>
            <w:r>
              <w:rPr/>
              <w:t>  </w:t>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TWO SECURITY FORMS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201.</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Forms Generally</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202.</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Face of Security</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203.</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Reverse of Security</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204.</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Notation of Subsidiary Guarantee</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205.</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Legend for Global Securities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206.</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Trustees Certificate of Authentication</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207.</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Conversion Notice</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4" w:type="dxa"/>
            <w:tcBorders/>
            <w:shd w:fill="auto" w:val="clear"/>
            <w:vAlign w:val="bottom"/>
          </w:tcPr>
          <w:p>
            <w:pPr>
              <w:pStyle w:val="TableContents"/>
              <w:spacing w:before="0" w:after="283"/>
              <w:rPr/>
            </w:pPr>
            <w:r>
              <w:rPr/>
              <w:t>  </w:t>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THREE THE SECURITIES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301.</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Amount Unlimited; Issuable in Series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302.</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Denominations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303.</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Execution, Authentication, Delivery and Dating</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304.</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Temporary Securities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305.</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Registration, Registration of Transfer and Exchange</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306.</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Mutilated, Destroyed, Lost and Stolen Securities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307.</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Payment of Interest; Interest Rights Preserved</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308.</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Persons Deemed Owners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309.</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Cancellation</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310.</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Computation of Interest</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4" w:type="dxa"/>
            <w:tcBorders/>
            <w:shd w:fill="auto" w:val="clear"/>
            <w:vAlign w:val="bottom"/>
          </w:tcPr>
          <w:p>
            <w:pPr>
              <w:pStyle w:val="TableContents"/>
              <w:spacing w:before="0" w:after="283"/>
              <w:rPr/>
            </w:pPr>
            <w:r>
              <w:rPr/>
              <w:t>  </w:t>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FOUR SATISFACTION AND DISCHARGE</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401.</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Satisfaction and Discharge of Indenture</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402.</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Application of Trust Money</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4" w:type="dxa"/>
            <w:tcBorders/>
            <w:shd w:fill="auto" w:val="clear"/>
            <w:vAlign w:val="bottom"/>
          </w:tcPr>
          <w:p>
            <w:pPr>
              <w:pStyle w:val="TableContents"/>
              <w:spacing w:before="0" w:after="283"/>
              <w:rPr/>
            </w:pPr>
            <w:r>
              <w:rPr/>
              <w:t>  </w:t>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FIVE REMEDIES</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501.</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Events of Default</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502.</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Acceleration of Maturity; Rescission and Annulment</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503.</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Collection of Indebtedness and Suits for Enforcement by Trustee</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4" w:type="dxa"/>
            <w:tcBorders/>
            <w:shd w:fill="auto" w:val="clear"/>
            <w:vAlign w:val="bottom"/>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504.</w:t>
            </w:r>
          </w:p>
        </w:tc>
        <w:tc>
          <w:tcPr>
            <w:tcW w:w="199" w:type="dxa"/>
            <w:tcBorders/>
            <w:shd w:fill="auto" w:val="clear"/>
            <w:vAlign w:val="bottom"/>
          </w:tcPr>
          <w:p>
            <w:pPr>
              <w:pStyle w:val="TableContents"/>
              <w:spacing w:before="0" w:after="283"/>
              <w:rPr/>
            </w:pPr>
            <w:r>
              <w:rPr/>
              <w:t> </w:t>
            </w:r>
          </w:p>
        </w:tc>
        <w:tc>
          <w:tcPr>
            <w:tcW w:w="83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Trustee May File Proofs of Claim</w:t>
            </w:r>
          </w:p>
        </w:tc>
        <w:tc>
          <w:tcPr>
            <w:tcW w:w="2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4"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071"/>
        <w:gridCol w:w="106"/>
        <w:gridCol w:w="8495"/>
        <w:gridCol w:w="120"/>
        <w:gridCol w:w="60"/>
        <w:gridCol w:w="230"/>
        <w:gridCol w:w="123"/>
      </w:tblGrid>
      <w:tr>
        <w:trPr/>
        <w:tc>
          <w:tcPr>
            <w:tcW w:w="1071"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8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505.</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Trustee May Enforce Claims Without Possession of Securities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506.</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Application of Money Collected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507.</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Limitation on Suits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508.</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Unconditional Right of Holders to Receive Principal, Premium and Interest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509.</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Restoration of Rights and Remedies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510.</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Rights and Remedies Cumulative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511.</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Delay or Omission Not Waiver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512.</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Control by Holders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513.</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Waiver of Past Defaults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514.</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Undertaking for Costs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515.</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Waiver of Usury, Stay or Extension Laws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3" w:type="dxa"/>
            <w:tcBorders/>
            <w:shd w:fill="auto" w:val="clear"/>
            <w:vAlign w:val="bottom"/>
          </w:tcPr>
          <w:p>
            <w:pPr>
              <w:pStyle w:val="TableContents"/>
              <w:spacing w:before="0" w:after="283"/>
              <w:rPr/>
            </w:pPr>
            <w:r>
              <w:rPr/>
              <w:t>  </w:t>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SIX THE TRUSTEE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601.</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Certain Duties and Responsibilities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602.</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 of Defaults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603.</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Certain Rights of Trustee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604.</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 Responsible for Recitals or Issuance of Securities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605.</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May Hold Securities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606.</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Money Held in Trust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607.</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Compensation and Reimbursement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608.</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Conflicting Interests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609.</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Corporate Trustee Required; Eligibility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610.</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Resignation and Removal; Appointment of Successor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611.</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Acceptance of Appointment by Successor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612.</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Merger, Conversion, Consolidation or Succession to Business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613.</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Preferential Collection of Claims Against Company and Subsidiary Guarantors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614.</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Appointment of Authenticating Agent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3" w:type="dxa"/>
            <w:tcBorders/>
            <w:shd w:fill="auto" w:val="clear"/>
            <w:vAlign w:val="bottom"/>
          </w:tcPr>
          <w:p>
            <w:pPr>
              <w:pStyle w:val="TableContents"/>
              <w:spacing w:before="0" w:after="283"/>
              <w:rPr/>
            </w:pPr>
            <w:r>
              <w:rPr/>
              <w:t>  </w:t>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SEVEN HOLDERS LISTS AND REPORTS BY TRUSTEE AND COMPANY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701.</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Company to Furnish Trustee Names and Addresses of Holders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702.</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Preservation of Information; Communications to Holders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703.</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Reports by Trustee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704.</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Reports by Company and Subsidiary Guarantors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3" w:type="dxa"/>
            <w:tcBorders/>
            <w:shd w:fill="auto" w:val="clear"/>
            <w:vAlign w:val="bottom"/>
          </w:tcPr>
          <w:p>
            <w:pPr>
              <w:pStyle w:val="TableContents"/>
              <w:spacing w:before="0" w:after="283"/>
              <w:rPr/>
            </w:pPr>
            <w:r>
              <w:rPr/>
              <w:t>  </w:t>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EIGHT CONSOLIDATION, MERGER, CONVEYANCE, TRANSFER OR LEASE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801.</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Company May Consolidate, Etc., Only on Certain Terms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802.</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Subsidiary Guarantors May Consolidate, Etc., Only on Certain Terms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803.</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Successor Substituted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3" w:type="dxa"/>
            <w:tcBorders/>
            <w:shd w:fill="auto" w:val="clear"/>
            <w:vAlign w:val="bottom"/>
          </w:tcPr>
          <w:p>
            <w:pPr>
              <w:pStyle w:val="TableContents"/>
              <w:spacing w:before="0" w:after="283"/>
              <w:rPr/>
            </w:pPr>
            <w:r>
              <w:rPr/>
              <w:t>  </w:t>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NINE SUPPLEMENTAL INDENTURES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901.</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Supplemental Indentures Without Consent of Holders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902.</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Supplemental Indentures With Consent of Holders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903.</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Execution of Supplemental Indentures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904.</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Effect of Supplemental Indentures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905.</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Conformity with Trust Indenture Act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3" w:type="dxa"/>
            <w:tcBorders/>
            <w:shd w:fill="auto" w:val="clear"/>
            <w:vAlign w:val="bottom"/>
          </w:tcPr>
          <w:p>
            <w:pPr>
              <w:pStyle w:val="TableContents"/>
              <w:spacing w:before="0" w:after="283"/>
              <w:rPr/>
            </w:pPr>
            <w:r>
              <w:rPr/>
              <w:t>  </w:t>
            </w:r>
          </w:p>
        </w:tc>
      </w:tr>
      <w:tr>
        <w:trPr/>
        <w:tc>
          <w:tcPr>
            <w:tcW w:w="1071"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906.</w:t>
            </w:r>
          </w:p>
        </w:tc>
        <w:tc>
          <w:tcPr>
            <w:tcW w:w="106" w:type="dxa"/>
            <w:tcBorders/>
            <w:shd w:fill="auto" w:val="clear"/>
            <w:vAlign w:val="bottom"/>
          </w:tcPr>
          <w:p>
            <w:pPr>
              <w:pStyle w:val="TableContents"/>
              <w:spacing w:before="0" w:after="283"/>
              <w:rPr/>
            </w:pPr>
            <w:r>
              <w:rPr/>
              <w:t> </w:t>
            </w:r>
          </w:p>
        </w:tc>
        <w:tc>
          <w:tcPr>
            <w:tcW w:w="84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Reference in Securities to Supplemental Indentures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176"/>
        <w:gridCol w:w="106"/>
        <w:gridCol w:w="8390"/>
        <w:gridCol w:w="120"/>
        <w:gridCol w:w="60"/>
        <w:gridCol w:w="230"/>
        <w:gridCol w:w="123"/>
      </w:tblGrid>
      <w:tr>
        <w:trPr/>
        <w:tc>
          <w:tcPr>
            <w:tcW w:w="117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83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TEN COVENANTS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1001.</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Payment of Principal, Premium and Interest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1002.</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Maintenance of Office or Agency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1003.</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Money for Securities Payments to Be Held in Trust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1004.</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Statement by Officers as to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1005.</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Existence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1006.</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Maintenance of Properties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1007.</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Payment of Taxes and Other Claims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1008.</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Maintenance of Insurance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1009.</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Waiver of Certain Covenants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3" w:type="dxa"/>
            <w:tcBorders/>
            <w:shd w:fill="auto" w:val="clear"/>
            <w:vAlign w:val="bottom"/>
          </w:tcPr>
          <w:p>
            <w:pPr>
              <w:pStyle w:val="TableContents"/>
              <w:spacing w:before="0" w:after="283"/>
              <w:rPr/>
            </w:pPr>
            <w:r>
              <w:rPr/>
              <w:t>  </w:t>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ELEVEN REDEMPTION OF SECURITIES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1101.</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Applicability of Article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1102.</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Election to Redeem; Notice to Trustee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1103.</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Selection by Trustee of Securities to Be Redeemed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1104.</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 of Redemption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1105.</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Deposit of Redemption Price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1106.</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Securities Payable on Redemption Date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1107.</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Securities Redeemed in Part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3" w:type="dxa"/>
            <w:tcBorders/>
            <w:shd w:fill="auto" w:val="clear"/>
            <w:vAlign w:val="bottom"/>
          </w:tcPr>
          <w:p>
            <w:pPr>
              <w:pStyle w:val="TableContents"/>
              <w:spacing w:before="0" w:after="283"/>
              <w:rPr/>
            </w:pPr>
            <w:r>
              <w:rPr/>
              <w:t>  </w:t>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TWELVE SUBORDINATION OF SECURITIES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1201.</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Applicability of Article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1202.</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Securities Subordinate to Senior Debt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1203.</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Payment Over of Proceeds Upon Dissolution, Etc.</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1204.</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 Payment When Senior Debt of the Company in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1205.</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Payment Permitted If No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1206.</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Subrogation to Rights of Holders of Senior Debt of the Company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1207.</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Provisions Solely to Define Relative Rights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1208.</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Trustee to Effectuate Subordination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1209.</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 Waiver of Subordination Provisions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1210.</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 to Trustee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1211.</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Reliance on Judicial Order or Certificate of Liquidating Agent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1212.</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Trustee Not Fiduciary for Holders of Senior Debt of the Company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1213.</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Rights of Trustee as Holder of Senior Debt of the Company; Preservation of Trustees Rights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1214.</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Article Applicable to Paying Agents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1215.</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Defeasance of this Article Twelve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3" w:type="dxa"/>
            <w:tcBorders/>
            <w:shd w:fill="auto" w:val="clear"/>
            <w:vAlign w:val="bottom"/>
          </w:tcPr>
          <w:p>
            <w:pPr>
              <w:pStyle w:val="TableContents"/>
              <w:spacing w:before="0" w:after="283"/>
              <w:rPr/>
            </w:pPr>
            <w:r>
              <w:rPr/>
              <w:t>  </w:t>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THIRTEEN 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1301.</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Applicability of Article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1302.</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1303.</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Execution and Delivery of Notations of 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1304.</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Release of Subsidiary Guarantors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1305.</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Additional Subsidiary Guarantors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1306.</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Limitation on Liability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3" w:type="dxa"/>
            <w:tcBorders/>
            <w:shd w:fill="auto" w:val="clear"/>
            <w:vAlign w:val="bottom"/>
          </w:tcPr>
          <w:p>
            <w:pPr>
              <w:pStyle w:val="TableContents"/>
              <w:spacing w:before="0" w:after="283"/>
              <w:rPr/>
            </w:pPr>
            <w:r>
              <w:rPr/>
              <w:t>  </w:t>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FOURTEEN SUBORDINATION OF 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1401.</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Applicability of Article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1402.</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Subsidiary Guarantees Subordinate to Senior Debt of Subsidiary Guarantors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176"/>
        <w:gridCol w:w="106"/>
        <w:gridCol w:w="8390"/>
        <w:gridCol w:w="120"/>
        <w:gridCol w:w="60"/>
        <w:gridCol w:w="230"/>
        <w:gridCol w:w="123"/>
      </w:tblGrid>
      <w:tr>
        <w:trPr/>
        <w:tc>
          <w:tcPr>
            <w:tcW w:w="117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83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1403.</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Payment Over of Proceeds Upon Dissolution, Etc.</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1404.</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 Payment When Senior Debt of such Subsidiary Guarantor in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1405.</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Payment Permitted If No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1406.</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Subrogation to Rights of Holders of Senior Debt of such Subsidiary Guarantor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1407.</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Provisions Solely to Define Relative Rights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1408.</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Trustee to Effectuate Subordination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1409.</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 Waiver of Subordination Provisions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1410.</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 to Trustee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1411.</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Reliance on Judicial Order or Certificate of Liquidating Agent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1412.</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Trustee Not Fiduciary for Holders of Senior Debt of such Subsidiary Guarantor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1413.</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Rights of Trustee as Holder of Senior Debt of such Subsidiary Guarantor; Preservation of Trustees Rights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1414.</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Article Applicable to Paying Agents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1415.</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Defeasance of this Article Fourteen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3" w:type="dxa"/>
            <w:tcBorders/>
            <w:shd w:fill="auto" w:val="clear"/>
            <w:vAlign w:val="bottom"/>
          </w:tcPr>
          <w:p>
            <w:pPr>
              <w:pStyle w:val="TableContents"/>
              <w:spacing w:before="0" w:after="283"/>
              <w:rPr/>
            </w:pPr>
            <w:r>
              <w:rPr/>
              <w:t>  </w:t>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FIFTEEN DEFEASANCE AND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1501.</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Companys Option to Effect Defeasance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1502.</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Defeasance and Discharge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1503.</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1504.</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Conditions to Defeasance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1505.</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Deposited Money and U.S. Government Obligations to Be Held in Trust; Miscellaneous Provisions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1506.</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Reinstatement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3" w:type="dxa"/>
            <w:tcBorders/>
            <w:shd w:fill="auto" w:val="clear"/>
            <w:vAlign w:val="bottom"/>
          </w:tcPr>
          <w:p>
            <w:pPr>
              <w:pStyle w:val="TableContents"/>
              <w:spacing w:before="0" w:after="283"/>
              <w:rPr/>
            </w:pPr>
            <w:r>
              <w:rPr/>
              <w:t>  </w:t>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SIXTEEN SINKING FUNDS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1601.</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Applicability of Article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1602.</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Satisfaction of Sinking Fund Payments with Securities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3" w:type="dxa"/>
            <w:tcBorders/>
            <w:shd w:fill="auto" w:val="clear"/>
            <w:vAlign w:val="bottom"/>
          </w:tcPr>
          <w:p>
            <w:pPr>
              <w:pStyle w:val="TableContents"/>
              <w:spacing w:before="0" w:after="283"/>
              <w:rPr/>
            </w:pPr>
            <w:r>
              <w:rPr/>
              <w:t>  </w:t>
            </w:r>
          </w:p>
        </w:tc>
      </w:tr>
      <w:tr>
        <w:trPr/>
        <w:tc>
          <w:tcPr>
            <w:tcW w:w="117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1603.</w:t>
            </w:r>
          </w:p>
        </w:tc>
        <w:tc>
          <w:tcPr>
            <w:tcW w:w="106" w:type="dxa"/>
            <w:tcBorders/>
            <w:shd w:fill="auto" w:val="clear"/>
            <w:vAlign w:val="bottom"/>
          </w:tcPr>
          <w:p>
            <w:pPr>
              <w:pStyle w:val="TableContents"/>
              <w:spacing w:before="0" w:after="283"/>
              <w:rPr/>
            </w:pPr>
            <w:r>
              <w:rPr/>
              <w:t> </w:t>
            </w:r>
          </w:p>
        </w:tc>
        <w:tc>
          <w:tcPr>
            <w:tcW w:w="8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Redemption of Securities for Sinking Fund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Schedule I Subsidiary Guarantors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180" w:after="0"/>
        <w:rPr>
          <w:rFonts w:ascii="Times New Roman" w:hAnsi="Times New Roman"/>
          <w:sz w:val="20"/>
        </w:rPr>
      </w:pPr>
      <w:r>
        <w:rPr>
          <w:rFonts w:ascii="Times New Roman" w:hAnsi="Times New Roman"/>
          <w:sz w:val="20"/>
        </w:rPr>
        <w:t xml:space="preserve">RECONCILIATION AND TIE OF CERTAIN SECTIONS OF THIS INDENTURE RELATING TO SECTIONS 310 THROUGH 318, INCLUSIVE, OF THE TRUST INDENTURE ACT OF 1939: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701"/>
        <w:gridCol w:w="213"/>
        <w:gridCol w:w="1291"/>
      </w:tblGrid>
      <w:tr>
        <w:trPr/>
        <w:tc>
          <w:tcPr>
            <w:tcW w:w="870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r>
      <w:tr>
        <w:trPr/>
        <w:tc>
          <w:tcPr>
            <w:tcW w:w="8701"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TRUST INDENTURE ACT SECTION</w:t>
            </w:r>
          </w:p>
        </w:tc>
        <w:tc>
          <w:tcPr>
            <w:tcW w:w="213" w:type="dxa"/>
            <w:tcBorders/>
            <w:shd w:fill="auto" w:val="clear"/>
            <w:vAlign w:val="bottom"/>
          </w:tcPr>
          <w:p>
            <w:pPr>
              <w:pStyle w:val="TableContents"/>
              <w:spacing w:before="0" w:after="283"/>
              <w:rPr/>
            </w:pPr>
            <w:r>
              <w:rPr/>
              <w:t>  </w:t>
            </w:r>
          </w:p>
        </w:tc>
        <w:tc>
          <w:tcPr>
            <w:tcW w:w="129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INDENTURE</w:t>
              <w:br/>
              <w:t>SECTION</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310(a)(1)</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609</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(a)(2)</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609</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(a)(3)</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(a)(4)</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608, 610</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311(a)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613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613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312(a)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701, 702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313(a)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314(a)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704</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(a)(4)</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101, 1004</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(c)(1)</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(c)(2)</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(c)(3)</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315(a)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601</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601</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601</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514</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316(a)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101</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(a)(1)(A)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502, 512</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(a)(1)(B)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513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(a)(2)</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Not Applicable</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508</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104</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317(a)(1)</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(a)(2)</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504</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1003</w:t>
            </w:r>
          </w:p>
        </w:tc>
      </w:tr>
      <w:tr>
        <w:trPr/>
        <w:tc>
          <w:tcPr>
            <w:tcW w:w="870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318(a)</w:t>
            </w:r>
          </w:p>
        </w:tc>
        <w:tc>
          <w:tcPr>
            <w:tcW w:w="21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107</w:t>
            </w:r>
          </w:p>
        </w:tc>
      </w:tr>
    </w:tbl>
    <w:p>
      <w:pPr>
        <w:pStyle w:val="TextBody"/>
        <w:spacing w:before="180" w:after="0"/>
        <w:rPr>
          <w:rFonts w:ascii="Times New Roman" w:hAnsi="Times New Roman"/>
          <w:sz w:val="20"/>
        </w:rPr>
      </w:pPr>
      <w:r>
        <w:rPr>
          <w:rFonts w:ascii="Times New Roman" w:hAnsi="Times New Roman"/>
          <w:sz w:val="20"/>
        </w:rPr>
        <w:t xml:space="preserve">NOTE: This reconciliation and tie shall not, for any purpose, be deemed to be a part of the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INDENTURE</w:t>
      </w:r>
      <w:r>
        <w:rPr>
          <w:rFonts w:ascii="Times New Roman" w:hAnsi="Times New Roman"/>
          <w:sz w:val="20"/>
        </w:rPr>
        <w:t xml:space="preserve">, dated as of </w:t>
      </w:r>
      <w:r>
        <w:rPr>
          <w:rFonts w:ascii="Times New Roman" w:hAnsi="Times New Roman"/>
          <w:sz w:val="20"/>
          <w:u w:val="single"/>
        </w:rPr>
        <w:t>                    </w:t>
      </w:r>
      <w:r>
        <w:rPr>
          <w:rFonts w:ascii="Times New Roman" w:hAnsi="Times New Roman"/>
          <w:sz w:val="20"/>
        </w:rPr>
        <w:t>, 20__, among EZCORP, Inc., a corporation duly organized and existing under the laws of the State of Delaware (herein called the </w:t>
      </w:r>
      <w:r>
        <w:rPr>
          <w:rFonts w:ascii="Times New Roman" w:hAnsi="Times New Roman"/>
          <w:b/>
          <w:sz w:val="20"/>
        </w:rPr>
        <w:t>Company</w:t>
      </w:r>
      <w:r>
        <w:rPr>
          <w:rFonts w:ascii="Times New Roman" w:hAnsi="Times New Roman"/>
          <w:sz w:val="20"/>
        </w:rPr>
        <w:t>), having its principal office at 1901 Capital Parkway, Austin, Texas 78746, each of the Subsidiary Guarantors (as hereinafter defined) parties hereto and [</w:t>
      </w:r>
      <w:r>
        <w:rPr>
          <w:rFonts w:ascii="Times New Roman" w:hAnsi="Times New Roman"/>
          <w:sz w:val="20"/>
          <w:u w:val="single"/>
        </w:rPr>
        <w:t>                            </w:t>
      </w:r>
      <w:r>
        <w:rPr>
          <w:rFonts w:ascii="Times New Roman" w:hAnsi="Times New Roman"/>
          <w:sz w:val="20"/>
        </w:rPr>
        <w:t>], as Trustee (herein called the </w:t>
      </w:r>
      <w:r>
        <w:rPr>
          <w:rFonts w:ascii="Times New Roman" w:hAnsi="Times New Roman"/>
          <w:b/>
          <w:sz w:val="20"/>
        </w:rPr>
        <w:t>Trustee</w:t>
      </w:r>
      <w:r>
        <w:rPr>
          <w:rFonts w:ascii="Times New Roman" w:hAnsi="Times New Roman"/>
          <w:sz w:val="20"/>
        </w:rPr>
        <w:t xml:space="preserve">). </w:t>
      </w:r>
    </w:p>
    <w:p>
      <w:pPr>
        <w:pStyle w:val="TextBody"/>
        <w:spacing w:before="270" w:after="0"/>
        <w:jc w:val="center"/>
        <w:rPr>
          <w:rFonts w:ascii="Times New Roman" w:hAnsi="Times New Roman"/>
          <w:b/>
          <w:sz w:val="20"/>
        </w:rPr>
      </w:pPr>
      <w:r>
        <w:rPr>
          <w:rFonts w:ascii="Times New Roman" w:hAnsi="Times New Roman"/>
          <w:b/>
          <w:sz w:val="20"/>
        </w:rPr>
        <w:t xml:space="preserve">RECITALS OF THE COMPANY AND THE SUBSIDIARY GUARANTORS </w:t>
      </w:r>
    </w:p>
    <w:p>
      <w:pPr>
        <w:pStyle w:val="TextBody"/>
        <w:spacing w:before="180" w:after="0"/>
        <w:rPr>
          <w:rFonts w:ascii="Times New Roman" w:hAnsi="Times New Roman"/>
          <w:sz w:val="20"/>
        </w:rPr>
      </w:pPr>
      <w:r>
        <w:rPr>
          <w:rFonts w:ascii="Times New Roman" w:hAnsi="Times New Roman"/>
          <w:sz w:val="20"/>
        </w:rPr>
        <w:t>The Company has duly authorized the execution and delivery of this Indenture to provide for the issuance from time to time of one or more series of its unsecured debentures, notes or other evidences of indebtedness (herein called the </w:t>
      </w:r>
      <w:r>
        <w:rPr>
          <w:rFonts w:ascii="Times New Roman" w:hAnsi="Times New Roman"/>
          <w:b/>
          <w:sz w:val="20"/>
        </w:rPr>
        <w:t>Securities</w:t>
      </w:r>
      <w:r>
        <w:rPr>
          <w:rFonts w:ascii="Times New Roman" w:hAnsi="Times New Roman"/>
          <w:sz w:val="20"/>
        </w:rPr>
        <w:t xml:space="preserve">), to be issued in one or more series as in this Indenture provided. </w:t>
      </w:r>
    </w:p>
    <w:p>
      <w:pPr>
        <w:pStyle w:val="TextBody"/>
        <w:spacing w:before="180" w:after="0"/>
        <w:rPr>
          <w:rFonts w:ascii="Times New Roman" w:hAnsi="Times New Roman"/>
          <w:sz w:val="20"/>
        </w:rPr>
      </w:pPr>
      <w:r>
        <w:rPr>
          <w:rFonts w:ascii="Times New Roman" w:hAnsi="Times New Roman"/>
          <w:sz w:val="20"/>
        </w:rPr>
        <w:t xml:space="preserve">The Company and the Subsidiary Guarantors are members of the same consolidated group of companies. The Subsidiary Guarantors will derive direct and indirect economic benefit from the issuance of the Securities. Accordingly, each Subsidiary Guarantor has duly authorized the execution and delivery of this Indenture to provide for its full, unconditional and joint and several guarantee of the Securities to the extent provided in or pursuant this Indenture. </w:t>
      </w:r>
    </w:p>
    <w:p>
      <w:pPr>
        <w:pStyle w:val="TextBody"/>
        <w:spacing w:before="180" w:after="0"/>
        <w:rPr>
          <w:rFonts w:ascii="Times New Roman" w:hAnsi="Times New Roman"/>
          <w:sz w:val="20"/>
        </w:rPr>
      </w:pPr>
      <w:r>
        <w:rPr>
          <w:rFonts w:ascii="Times New Roman" w:hAnsi="Times New Roman"/>
          <w:sz w:val="20"/>
        </w:rPr>
        <w:t xml:space="preserve">All things necessary to make this Indenture a valid agreement of the Company, in accordance with its terms, have been done. </w:t>
      </w:r>
    </w:p>
    <w:p>
      <w:pPr>
        <w:pStyle w:val="TextBody"/>
        <w:spacing w:before="270" w:after="0"/>
        <w:jc w:val="center"/>
        <w:rPr>
          <w:rFonts w:ascii="Times New Roman" w:hAnsi="Times New Roman"/>
          <w:b/>
          <w:sz w:val="20"/>
        </w:rPr>
      </w:pPr>
      <w:r>
        <w:rPr>
          <w:rFonts w:ascii="Times New Roman" w:hAnsi="Times New Roman"/>
          <w:b/>
          <w:sz w:val="20"/>
        </w:rPr>
        <w:t xml:space="preserve">NOW, THEREFORE, THIS INDENTURE WITNESSETH: </w:t>
      </w:r>
    </w:p>
    <w:p>
      <w:pPr>
        <w:pStyle w:val="TextBody"/>
        <w:spacing w:before="180" w:after="0"/>
        <w:rPr>
          <w:rFonts w:ascii="Times New Roman" w:hAnsi="Times New Roman"/>
          <w:sz w:val="20"/>
        </w:rPr>
      </w:pPr>
      <w:r>
        <w:rPr>
          <w:rFonts w:ascii="Times New Roman" w:hAnsi="Times New Roman"/>
          <w:sz w:val="20"/>
        </w:rPr>
        <w:t xml:space="preserve">For and in consideration of the premises and the purchase of the Securities by the Holders thereof, it is mutually agreed, for the equal and proportionate benefit of all Holders of the Securities or of series thereof, as follows: </w:t>
      </w:r>
    </w:p>
    <w:p>
      <w:pPr>
        <w:pStyle w:val="TextBody"/>
        <w:spacing w:before="270" w:after="0"/>
        <w:jc w:val="center"/>
        <w:rPr>
          <w:rFonts w:ascii="Times New Roman" w:hAnsi="Times New Roman"/>
          <w:b/>
          <w:sz w:val="20"/>
        </w:rPr>
      </w:pPr>
      <w:r>
        <w:rPr>
          <w:rFonts w:ascii="Times New Roman" w:hAnsi="Times New Roman"/>
          <w:b/>
          <w:sz w:val="20"/>
        </w:rPr>
        <w:t xml:space="preserve">ARTICLE ONE </w:t>
      </w:r>
    </w:p>
    <w:p>
      <w:pPr>
        <w:pStyle w:val="TextBody"/>
        <w:spacing w:before="0" w:after="0"/>
        <w:jc w:val="center"/>
        <w:rPr>
          <w:rFonts w:ascii="Times New Roman" w:hAnsi="Times New Roman"/>
          <w:b/>
          <w:sz w:val="20"/>
        </w:rPr>
      </w:pPr>
      <w:r>
        <w:rPr>
          <w:rFonts w:ascii="Times New Roman" w:hAnsi="Times New Roman"/>
          <w:b/>
          <w:sz w:val="20"/>
        </w:rPr>
        <w:t xml:space="preserve">DEFINITIONS AND OTHER PROVISIONS </w:t>
      </w:r>
    </w:p>
    <w:p>
      <w:pPr>
        <w:pStyle w:val="TextBody"/>
        <w:spacing w:before="0" w:after="0"/>
        <w:jc w:val="center"/>
        <w:rPr>
          <w:rFonts w:ascii="Times New Roman" w:hAnsi="Times New Roman"/>
          <w:b/>
          <w:sz w:val="20"/>
        </w:rPr>
      </w:pPr>
      <w:r>
        <w:rPr>
          <w:rFonts w:ascii="Times New Roman" w:hAnsi="Times New Roman"/>
          <w:b/>
          <w:sz w:val="20"/>
        </w:rPr>
        <w:t xml:space="preserve">OF GENERAL APPLICATION </w:t>
      </w:r>
    </w:p>
    <w:p>
      <w:pPr>
        <w:pStyle w:val="TextBody"/>
        <w:spacing w:before="180" w:after="0"/>
        <w:rPr>
          <w:rFonts w:ascii="Times New Roman" w:hAnsi="Times New Roman"/>
          <w:sz w:val="20"/>
        </w:rPr>
      </w:pPr>
      <w:r>
        <w:rPr>
          <w:rFonts w:ascii="Times New Roman" w:hAnsi="Times New Roman"/>
          <w:sz w:val="20"/>
        </w:rPr>
        <w:t xml:space="preserve">SECTION 101. </w:t>
      </w:r>
      <w:r>
        <w:rPr>
          <w:rFonts w:ascii="Times New Roman" w:hAnsi="Times New Roman"/>
          <w:b/>
          <w:sz w:val="20"/>
          <w:u w:val="single"/>
        </w:rPr>
        <w:t>Definitions</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For all purposes of this Indenture, except as otherwise expressly provided or unless the context otherwise requires: </w:t>
      </w:r>
    </w:p>
    <w:p>
      <w:pPr>
        <w:pStyle w:val="TextBody"/>
        <w:spacing w:before="180" w:after="0"/>
        <w:rPr>
          <w:rFonts w:ascii="Times New Roman" w:hAnsi="Times New Roman"/>
          <w:sz w:val="20"/>
        </w:rPr>
      </w:pPr>
      <w:r>
        <w:rPr>
          <w:rFonts w:ascii="Times New Roman" w:hAnsi="Times New Roman"/>
          <w:sz w:val="20"/>
        </w:rPr>
        <w:t xml:space="preserve">(1) the terms defined in this Article have the meanings assigned to them in this Article and include the plural as well as the singular; </w:t>
      </w:r>
    </w:p>
    <w:p>
      <w:pPr>
        <w:pStyle w:val="TextBody"/>
        <w:spacing w:before="180" w:after="0"/>
        <w:rPr>
          <w:rFonts w:ascii="Times New Roman" w:hAnsi="Times New Roman"/>
          <w:sz w:val="20"/>
        </w:rPr>
      </w:pPr>
      <w:r>
        <w:rPr>
          <w:rFonts w:ascii="Times New Roman" w:hAnsi="Times New Roman"/>
          <w:sz w:val="20"/>
        </w:rPr>
        <w:t xml:space="preserve">(2) all other terms used herein which are defined in the Trust Indenture Act, either directly or by reference therein, have the meanings assigned to them therein; </w:t>
      </w:r>
    </w:p>
    <w:p>
      <w:pPr>
        <w:pStyle w:val="TextBody"/>
        <w:spacing w:before="180" w:after="0"/>
        <w:rPr>
          <w:rFonts w:ascii="Times New Roman" w:hAnsi="Times New Roman"/>
          <w:sz w:val="20"/>
        </w:rPr>
      </w:pPr>
      <w:r>
        <w:rPr>
          <w:rFonts w:ascii="Times New Roman" w:hAnsi="Times New Roman"/>
          <w:sz w:val="20"/>
        </w:rPr>
        <w:t xml:space="preserve">(3) 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in the United States at the date of this instrument;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(4) unless the context otherwise requires, any reference to an Article or a Section refers to an Article or a Section, as the case may be, of this Indenture; </w:t>
      </w:r>
    </w:p>
    <w:p>
      <w:pPr>
        <w:pStyle w:val="TextBody"/>
        <w:spacing w:before="180" w:after="0"/>
        <w:rPr>
          <w:rFonts w:ascii="Times New Roman" w:hAnsi="Times New Roman"/>
          <w:sz w:val="20"/>
        </w:rPr>
      </w:pPr>
      <w:r>
        <w:rPr>
          <w:rFonts w:ascii="Times New Roman" w:hAnsi="Times New Roman"/>
          <w:sz w:val="20"/>
        </w:rPr>
        <w:t xml:space="preserve">(5) the words herein, hereof, hereunder and other words of similar import refer to this Indenture as a whole and not to any particular Article, Section or other subdivision; and </w:t>
      </w:r>
    </w:p>
    <w:p>
      <w:pPr>
        <w:pStyle w:val="TextBody"/>
        <w:spacing w:before="180" w:after="0"/>
        <w:rPr>
          <w:rFonts w:ascii="Times New Roman" w:hAnsi="Times New Roman"/>
          <w:sz w:val="20"/>
        </w:rPr>
      </w:pPr>
      <w:r>
        <w:rPr>
          <w:rFonts w:ascii="Times New Roman" w:hAnsi="Times New Roman"/>
          <w:sz w:val="20"/>
        </w:rPr>
        <w:t xml:space="preserve">(6) unsecured Debt shall not be deemed to be subordinate or junior to secured Debt merely by virtue of its nature as unsecured Debt.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Act</w:t>
      </w:r>
      <w:r>
        <w:rPr>
          <w:rFonts w:ascii="Times New Roman" w:hAnsi="Times New Roman"/>
          <w:sz w:val="20"/>
        </w:rPr>
        <w:t xml:space="preserve">, when used with respect to any Holder, has the meaning specified in Section 104.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provided that direct or indirect beneficial ownership of 10% or more of the Voting Stock of a Person shall be deemed to be control.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Authenticating Agent</w:t>
      </w:r>
      <w:r>
        <w:rPr>
          <w:rFonts w:ascii="Times New Roman" w:hAnsi="Times New Roman"/>
          <w:sz w:val="20"/>
        </w:rPr>
        <w:t xml:space="preserve"> means any Person authorized by the Trustee pursuant to Section 614 to act on behalf of the Trustee to authenticate Securities of one or more series.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Board of Directors</w:t>
      </w:r>
      <w:r>
        <w:rPr>
          <w:rFonts w:ascii="Times New Roman" w:hAnsi="Times New Roman"/>
          <w:sz w:val="20"/>
        </w:rPr>
        <w:t xml:space="preserve"> means, with respect to the Company, either the board of directors of the Company or any committee of that board duly authorized to act for it in respect hereof, and with respect to any Subsidiary Guarantor, either the board of directors of such Subsidiary Guarantor or any committee of that board duly authorized to act for it in respect 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Board Resolution</w:t>
      </w:r>
      <w:r>
        <w:rPr>
          <w:rFonts w:ascii="Times New Roman" w:hAnsi="Times New Roman"/>
          <w:sz w:val="20"/>
        </w:rPr>
        <w:t xml:space="preserve"> means, with respect to the Company or a Subsidiary Guarantor, a copy of a resolution certified by the Secretary or an Assistant Secretary of the Company or such Subsidiary Guarantor, as the case may be, to have been duly adopted by its Board of Directors and to be in full force and effect on the date of such certification, and delivered to the Trustee.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Business Day</w:t>
      </w:r>
      <w:r>
        <w:rPr>
          <w:rFonts w:ascii="Times New Roman" w:hAnsi="Times New Roman"/>
          <w:sz w:val="20"/>
        </w:rPr>
        <w:t xml:space="preserve">, when used with respect to any Place of Payment, means each Monday, Tuesday, Wednesday, Thursday and Friday which is not a day on which banking institutions in that Place of Payment are authorized or obligated by law or executive order to close.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Capital Stock</w:t>
      </w:r>
      <w:r>
        <w:rPr>
          <w:rFonts w:ascii="Times New Roman" w:hAnsi="Times New Roman"/>
          <w:sz w:val="20"/>
        </w:rPr>
        <w:t xml:space="preserve"> of any Person means any and all shares, interests, participations or other equivalents (however designated) of corporate stock or other equity participations, including partnership interests, whether general or limited, of such Person.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Commission</w:t>
      </w:r>
      <w:r>
        <w:rPr>
          <w:rFonts w:ascii="Times New Roman" w:hAnsi="Times New Roman"/>
          <w:sz w:val="20"/>
        </w:rPr>
        <w:t xml:space="preserve">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Common Stock</w:t>
      </w:r>
      <w:r>
        <w:rPr>
          <w:rFonts w:ascii="Times New Roman" w:hAnsi="Times New Roman"/>
          <w:sz w:val="20"/>
        </w:rPr>
        <w:t xml:space="preserve"> means the Class A Non-Voting Common Stock, par value $0.01 per share, of the Company as the same exists at the date of execution and delivery of this Indenture or other Capital Stock of the Company into which such Common Stock is converted, reclassified or changed from time to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 xml:space="preserve"> means the Person named as the Company in the first paragraph of this instrument until a successor Person shall have become such pursuant to the applicable provisions of this Indenture, and thereafter Company shall mean such successor Person.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Company Request</w:t>
      </w:r>
      <w:r>
        <w:rPr>
          <w:rFonts w:ascii="Times New Roman" w:hAnsi="Times New Roman"/>
          <w:sz w:val="20"/>
        </w:rPr>
        <w:t> or </w:t>
      </w:r>
      <w:r>
        <w:rPr>
          <w:rFonts w:ascii="Times New Roman" w:hAnsi="Times New Roman"/>
          <w:b/>
          <w:sz w:val="20"/>
        </w:rPr>
        <w:t>Company Order</w:t>
      </w:r>
      <w:r>
        <w:rPr>
          <w:rFonts w:ascii="Times New Roman" w:hAnsi="Times New Roman"/>
          <w:sz w:val="20"/>
        </w:rPr>
        <w:t xml:space="preserve"> means a written request or order signed in the name of the Company by its Chairman of the Board of Directors, its Vice Chairman of the Board of Directors, its President or a Vice President, and by its Treasurer, an Assistant Treasurer, its Secretary or an Assistant Secretary, and delivered to the Trustee.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Conversion Agent</w:t>
      </w:r>
      <w:r>
        <w:rPr>
          <w:rFonts w:ascii="Times New Roman" w:hAnsi="Times New Roman"/>
          <w:sz w:val="20"/>
        </w:rPr>
        <w:t xml:space="preserve"> means any Person authorized by the Company to convert any Securities on behalf of the Company.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Corporate Trust Office</w:t>
      </w:r>
      <w:r>
        <w:rPr>
          <w:rFonts w:ascii="Times New Roman" w:hAnsi="Times New Roman"/>
          <w:sz w:val="20"/>
        </w:rPr>
        <w:t xml:space="preserve"> means the office of the Trustee at which at any particular time its corporate trust business in relation to this Indenture shall be administered, such office being located on the date hereof at </w:t>
      </w:r>
      <w:r>
        <w:rPr>
          <w:rFonts w:ascii="Times New Roman" w:hAnsi="Times New Roman"/>
          <w:b/>
          <w:sz w:val="20"/>
        </w:rPr>
        <w:t>[</w:t>
      </w:r>
      <w:r>
        <w:rPr>
          <w:rFonts w:ascii="Times New Roman" w:hAnsi="Times New Roman"/>
          <w:b/>
          <w:sz w:val="20"/>
          <w:u w:val="single"/>
        </w:rPr>
        <w:t>                                                         </w:t>
      </w:r>
      <w:r>
        <w:rPr>
          <w:rFonts w:ascii="Times New Roman" w:hAnsi="Times New Roman"/>
          <w:b/>
          <w:sz w:val="20"/>
        </w:rPr>
        <w:t>]</w:t>
      </w:r>
      <w:r>
        <w:rPr>
          <w:rFonts w:ascii="Times New Roman" w:hAnsi="Times New Roman"/>
          <w:sz w:val="20"/>
        </w:rPr>
        <w:t xml:space="preserve">, Attention: </w:t>
      </w:r>
      <w:r>
        <w:rPr>
          <w:rFonts w:ascii="Times New Roman" w:hAnsi="Times New Roman"/>
          <w:b/>
          <w:sz w:val="20"/>
        </w:rPr>
        <w:t>[</w:t>
      </w:r>
      <w:r>
        <w:rPr>
          <w:rFonts w:ascii="Times New Roman" w:hAnsi="Times New Roman"/>
          <w:b/>
          <w:sz w:val="20"/>
          <w:u w:val="single"/>
        </w:rPr>
        <w:t>                            </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corporation</w:t>
      </w:r>
      <w:r>
        <w:rPr>
          <w:rFonts w:ascii="Times New Roman" w:hAnsi="Times New Roman"/>
          <w:sz w:val="20"/>
        </w:rPr>
        <w:t xml:space="preserve"> means a corporation, association, limited liability company, joint-stock company or business trust.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Covenant Defeasance</w:t>
      </w:r>
      <w:r>
        <w:rPr>
          <w:rFonts w:ascii="Times New Roman" w:hAnsi="Times New Roman"/>
          <w:sz w:val="20"/>
        </w:rPr>
        <w:t xml:space="preserve"> has the meaning specified in Section 1503. </w:t>
      </w:r>
    </w:p>
    <w:p>
      <w:pPr>
        <w:pStyle w:val="TextBody"/>
        <w:spacing w:before="180" w:after="0"/>
        <w:rPr>
          <w:rFonts w:ascii="Times New Roman" w:hAnsi="Times New Roman"/>
          <w:sz w:val="20"/>
        </w:rPr>
      </w:pPr>
      <w:r>
        <w:rPr>
          <w:rFonts w:ascii="Times New Roman" w:hAnsi="Times New Roman"/>
          <w:b/>
          <w:sz w:val="20"/>
        </w:rPr>
        <w:t>Debt</w:t>
      </w:r>
      <w:r>
        <w:rPr>
          <w:rFonts w:ascii="Times New Roman" w:hAnsi="Times New Roman"/>
          <w:sz w:val="20"/>
        </w:rPr>
        <w:t xml:space="preserve"> of any Person at any date means any obligation created, assumed or guaranteed by such Person for the repayment of borrowed money.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Defaulted Interest</w:t>
      </w:r>
      <w:r>
        <w:rPr>
          <w:rFonts w:ascii="Times New Roman" w:hAnsi="Times New Roman"/>
          <w:sz w:val="20"/>
        </w:rPr>
        <w:t xml:space="preserve"> has the meaning specified in Section 307.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Defeasance</w:t>
      </w:r>
      <w:r>
        <w:rPr>
          <w:rFonts w:ascii="Times New Roman" w:hAnsi="Times New Roman"/>
          <w:sz w:val="20"/>
        </w:rPr>
        <w:t xml:space="preserve"> has the meaning specified in Section 1502.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Depositary</w:t>
      </w:r>
      <w:r>
        <w:rPr>
          <w:rFonts w:ascii="Times New Roman" w:hAnsi="Times New Roman"/>
          <w:sz w:val="20"/>
        </w:rPr>
        <w:t xml:space="preserve"> means, with respect to Securities of any series issuable in whole or in part in the form of one or more Global Securities, a clearing agency registered under the Exchange Act that is designated to act as Depositary for such Securities as contemplated by Section 301.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Designated Senior Debt</w:t>
      </w:r>
      <w:r>
        <w:rPr>
          <w:rFonts w:ascii="Times New Roman" w:hAnsi="Times New Roman"/>
          <w:sz w:val="20"/>
        </w:rPr>
        <w:t xml:space="preserve"> in respect of any series of Securities shall have the meaning specified as contemplated by Section 301(3).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Event of Default</w:t>
      </w:r>
      <w:r>
        <w:rPr>
          <w:rFonts w:ascii="Times New Roman" w:hAnsi="Times New Roman"/>
          <w:sz w:val="20"/>
        </w:rPr>
        <w:t xml:space="preserve"> has the meaning specified in Section 501.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means the Securities Exchange Act of 1934 and any statute successor thereto, in each case as amended from time to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Expiration Date</w:t>
      </w:r>
      <w:r>
        <w:rPr>
          <w:rFonts w:ascii="Times New Roman" w:hAnsi="Times New Roman"/>
          <w:sz w:val="20"/>
        </w:rPr>
        <w:t xml:space="preserve"> has the meaning specified in Section 104.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b/>
          <w:sz w:val="20"/>
        </w:rPr>
        <w:t>Global Security</w:t>
      </w:r>
      <w:r>
        <w:rPr>
          <w:rFonts w:ascii="Times New Roman" w:hAnsi="Times New Roman"/>
          <w:sz w:val="20"/>
        </w:rPr>
        <w:t xml:space="preserve"> means a Security that evidences all or part of the Securities of any series and bears the legend set forth in Section 205 (or such legend as may be specified as contemplated by Section 301 for such Securities).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Guarantor Junior Subordinated Payment</w:t>
      </w:r>
      <w:r>
        <w:rPr>
          <w:rFonts w:ascii="Times New Roman" w:hAnsi="Times New Roman"/>
          <w:sz w:val="20"/>
        </w:rPr>
        <w:t xml:space="preserve"> has the meaning specified in Section 1403.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Guarantor Payment</w:t>
      </w:r>
      <w:r>
        <w:rPr>
          <w:rFonts w:ascii="Times New Roman" w:hAnsi="Times New Roman"/>
          <w:sz w:val="20"/>
        </w:rPr>
        <w:t xml:space="preserve"> has the meaning specified in Section 1403.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Guarantor Proceeding</w:t>
      </w:r>
      <w:r>
        <w:rPr>
          <w:rFonts w:ascii="Times New Roman" w:hAnsi="Times New Roman"/>
          <w:sz w:val="20"/>
        </w:rPr>
        <w:t xml:space="preserve"> has the meaning specified in Section 1403.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Holder</w:t>
      </w:r>
      <w:r>
        <w:rPr>
          <w:rFonts w:ascii="Times New Roman" w:hAnsi="Times New Roman"/>
          <w:sz w:val="20"/>
        </w:rPr>
        <w:t xml:space="preserve"> means a Person in whose name a Security is registered in the Security Register.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Indenture</w:t>
      </w:r>
      <w:r>
        <w:rPr>
          <w:rFonts w:ascii="Times New Roman" w:hAnsi="Times New Roman"/>
          <w:sz w:val="20"/>
        </w:rPr>
        <w:t xml:space="preserv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interest</w:t>
      </w:r>
      <w:r>
        <w:rPr>
          <w:rFonts w:ascii="Times New Roman" w:hAnsi="Times New Roman"/>
          <w:sz w:val="20"/>
        </w:rPr>
        <w:t xml:space="preserve">, when used with respect to an Original Issue Discount Security which by its terms bears interest only after Maturity, means interest payable after Maturity.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Interest Payment Date</w:t>
      </w:r>
      <w:r>
        <w:rPr>
          <w:rFonts w:ascii="Times New Roman" w:hAnsi="Times New Roman"/>
          <w:sz w:val="20"/>
        </w:rPr>
        <w:t xml:space="preserve">, when used with respect to any Security, means the Stated Maturity of an installment of interest on such Security.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Investment Company Act</w:t>
      </w:r>
      <w:r>
        <w:rPr>
          <w:rFonts w:ascii="Times New Roman" w:hAnsi="Times New Roman"/>
          <w:sz w:val="20"/>
        </w:rPr>
        <w:t xml:space="preserve"> means the Investment Company Act of 1940 and any statute successor thereto, in each case as amended from time to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Junior Subordinated Payment</w:t>
      </w:r>
      <w:r>
        <w:rPr>
          <w:rFonts w:ascii="Times New Roman" w:hAnsi="Times New Roman"/>
          <w:sz w:val="20"/>
        </w:rPr>
        <w:t xml:space="preserve"> has the meaning specified in Section 1203.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Maturity</w:t>
      </w:r>
      <w:r>
        <w:rPr>
          <w:rFonts w:ascii="Times New Roman" w:hAnsi="Times New Roman"/>
          <w:sz w:val="20"/>
        </w:rPr>
        <w:t xml:space="preserve">, when used with respect to any Security, means the date on which the principal of such Security or an installment of principal becomes due and payable as therein or herein provided, whether at the Stated Maturity or by declaration of acceleration, call for redemption or otherwise.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Notice of Default</w:t>
      </w:r>
      <w:r>
        <w:rPr>
          <w:rFonts w:ascii="Times New Roman" w:hAnsi="Times New Roman"/>
          <w:sz w:val="20"/>
        </w:rPr>
        <w:t xml:space="preserve"> means a written notice of the kind specified in Section 501(5).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Officers Certificate</w:t>
      </w:r>
      <w:r>
        <w:rPr>
          <w:rFonts w:ascii="Times New Roman" w:hAnsi="Times New Roman"/>
          <w:sz w:val="20"/>
        </w:rPr>
        <w:t xml:space="preserve"> means a certificate signed by the Chairman of the Board of Directors, a Vice Chairman of the Board of Directors, the President or a Vice President, and by the Treasurer, an Assistant Treasurer, the Secretary or an Assistant Secretary, of the Company or a Subsidiary Guarantor, as the case may be, and delivered to the Trustee. One of the officers signing an Officers Certificate given pursuant to Section 1004 shall be the principal executive, financial or accounting officer of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b/>
          <w:sz w:val="20"/>
        </w:rPr>
        <w:t>Opinion of Counsel</w:t>
      </w:r>
      <w:r>
        <w:rPr>
          <w:rFonts w:ascii="Times New Roman" w:hAnsi="Times New Roman"/>
          <w:sz w:val="20"/>
        </w:rPr>
        <w:t xml:space="preserve"> means, as to the Company or a Subsidiary Guarantor, a written opinion of counsel, who may be counsel for the Company or such Subsidiary Guarantor, as the case may be, and who shall be acceptable to the Trustee.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Original Issue Discount Security</w:t>
      </w:r>
      <w:r>
        <w:rPr>
          <w:rFonts w:ascii="Times New Roman" w:hAnsi="Times New Roman"/>
          <w:sz w:val="20"/>
        </w:rPr>
        <w:t xml:space="preserve"> means any Security which provides for an amount less than the principal amount thereof to be due and payable upon a declaration of acceleration of the Maturity thereof pursuant to Section 502.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Outstanding</w:t>
      </w:r>
      <w:r>
        <w:rPr>
          <w:rFonts w:ascii="Times New Roman" w:hAnsi="Times New Roman"/>
          <w:sz w:val="20"/>
        </w:rPr>
        <w:t xml:space="preserve">, when used with respect to Securities, means, as of the date of determination, all Securities theretofore authenticated and delivered under this Indenture, except: </w:t>
      </w:r>
    </w:p>
    <w:p>
      <w:pPr>
        <w:pStyle w:val="TextBody"/>
        <w:spacing w:before="180" w:after="0"/>
        <w:rPr>
          <w:rFonts w:ascii="Times New Roman" w:hAnsi="Times New Roman"/>
          <w:sz w:val="20"/>
        </w:rPr>
      </w:pPr>
      <w:r>
        <w:rPr>
          <w:rFonts w:ascii="Times New Roman" w:hAnsi="Times New Roman"/>
          <w:sz w:val="20"/>
        </w:rPr>
        <w:t xml:space="preserve">(1) Securities theretofore cancelled by the Trustee or delivered to the Trustee for cancellation; </w:t>
      </w:r>
    </w:p>
    <w:p>
      <w:pPr>
        <w:pStyle w:val="TextBody"/>
        <w:spacing w:before="180" w:after="0"/>
        <w:rPr>
          <w:rFonts w:ascii="Times New Roman" w:hAnsi="Times New Roman"/>
          <w:sz w:val="20"/>
        </w:rPr>
      </w:pPr>
      <w:r>
        <w:rPr>
          <w:rFonts w:ascii="Times New Roman" w:hAnsi="Times New Roman"/>
          <w:sz w:val="20"/>
        </w:rPr>
        <w:t xml:space="preserve">(2) 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 </w:t>
      </w:r>
    </w:p>
    <w:p>
      <w:pPr>
        <w:pStyle w:val="TextBody"/>
        <w:spacing w:before="180" w:after="0"/>
        <w:rPr>
          <w:rFonts w:ascii="Times New Roman" w:hAnsi="Times New Roman"/>
          <w:sz w:val="20"/>
        </w:rPr>
      </w:pPr>
      <w:r>
        <w:rPr>
          <w:rFonts w:ascii="Times New Roman" w:hAnsi="Times New Roman"/>
          <w:sz w:val="20"/>
        </w:rPr>
        <w:t xml:space="preserve">(3) Securities as to which Defeasance has been effected pursuant to Section 1502; and </w:t>
      </w:r>
    </w:p>
    <w:p>
      <w:pPr>
        <w:pStyle w:val="TextBody"/>
        <w:spacing w:before="180" w:after="0"/>
        <w:rPr>
          <w:rFonts w:ascii="Times New Roman" w:hAnsi="Times New Roman"/>
          <w:sz w:val="20"/>
        </w:rPr>
      </w:pPr>
      <w:r>
        <w:rPr>
          <w:rFonts w:ascii="Times New Roman" w:hAnsi="Times New Roman"/>
          <w:sz w:val="20"/>
        </w:rPr>
        <w:t xml:space="preserve">(4) 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w:t>
      </w:r>
    </w:p>
    <w:p>
      <w:pPr>
        <w:pStyle w:val="TextBody"/>
        <w:spacing w:before="180" w:after="0"/>
        <w:rPr>
          <w:rFonts w:ascii="Times New Roman" w:hAnsi="Times New Roman"/>
          <w:sz w:val="20"/>
        </w:rPr>
      </w:pPr>
      <w:r>
        <w:rPr>
          <w:rFonts w:ascii="Times New Roman" w:hAnsi="Times New Roman"/>
          <w:sz w:val="20"/>
        </w:rPr>
        <w:t xml:space="preserve">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any Subsidiary Guarantor or any other obligor upon the Securities or any Affiliate of the Company, any Subsidiary Guarantor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a Subsidiary Guarantor or any other obligor upon the Securities or any Affiliate of the Company, a Subsidiary Guarantor or of such other obligor.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Paying Agent</w:t>
      </w:r>
      <w:r>
        <w:rPr>
          <w:rFonts w:ascii="Times New Roman" w:hAnsi="Times New Roman"/>
          <w:sz w:val="20"/>
        </w:rPr>
        <w:t xml:space="preserve"> means any Person authorized by the Company to pay the principal of or any premium or interest on any Securities on behalf of the Company.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Payment Blockage Period</w:t>
      </w:r>
      <w:r>
        <w:rPr>
          <w:rFonts w:ascii="Times New Roman" w:hAnsi="Times New Roman"/>
          <w:sz w:val="20"/>
        </w:rPr>
        <w:t xml:space="preserve"> has the meaning specified in Section 1204.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means any individual, corporation, partnership, joint venture, trust, unincorporated organization or government or any agency or political subdivision thereof.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Place of Payment</w:t>
      </w:r>
      <w:r>
        <w:rPr>
          <w:rFonts w:ascii="Times New Roman" w:hAnsi="Times New Roman"/>
          <w:sz w:val="20"/>
        </w:rPr>
        <w:t xml:space="preserve">, when used with respect to the Securities of any series, means the place or places where the principal of and any premium and interest on the Securities of that series are payable as specified as contemplated by Section 301.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Proceeding</w:t>
      </w:r>
      <w:r>
        <w:rPr>
          <w:rFonts w:ascii="Times New Roman" w:hAnsi="Times New Roman"/>
          <w:sz w:val="20"/>
        </w:rPr>
        <w:t xml:space="preserve"> has the meaning specified in Section 1203.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Redemption Date</w:t>
      </w:r>
      <w:r>
        <w:rPr>
          <w:rFonts w:ascii="Times New Roman" w:hAnsi="Times New Roman"/>
          <w:sz w:val="20"/>
        </w:rPr>
        <w:t xml:space="preserve">, when used with respect to any Security to be redeemed, means the date fixed for such redemption by or pursuant to this Indenture.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Redemption Price</w:t>
      </w:r>
      <w:r>
        <w:rPr>
          <w:rFonts w:ascii="Times New Roman" w:hAnsi="Times New Roman"/>
          <w:sz w:val="20"/>
        </w:rPr>
        <w:t xml:space="preserve">, when used with respect to any Security to be redeemed, means the price at which it is to be redeemed pursuant to this Indenture.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Regular Record Date</w:t>
      </w:r>
      <w:r>
        <w:rPr>
          <w:rFonts w:ascii="Times New Roman" w:hAnsi="Times New Roman"/>
          <w:sz w:val="20"/>
        </w:rPr>
        <w:t xml:space="preserve"> for the interest payable on any Interest Payment Date on the Securities of any series means the date specified for that purpose as contemplated by Section 301.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Securities Act</w:t>
      </w:r>
      <w:r>
        <w:rPr>
          <w:rFonts w:ascii="Times New Roman" w:hAnsi="Times New Roman"/>
          <w:sz w:val="20"/>
        </w:rPr>
        <w:t xml:space="preserve"> means the Securities Act of 1933 and any statute successor thereto, in each case as amended from time to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Securities Payment</w:t>
      </w:r>
      <w:r>
        <w:rPr>
          <w:rFonts w:ascii="Times New Roman" w:hAnsi="Times New Roman"/>
          <w:sz w:val="20"/>
        </w:rPr>
        <w:t xml:space="preserve"> has the meaning specified in Section 1203.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Security Register</w:t>
      </w:r>
      <w:r>
        <w:rPr>
          <w:rFonts w:ascii="Times New Roman" w:hAnsi="Times New Roman"/>
          <w:sz w:val="20"/>
        </w:rPr>
        <w:t> and </w:t>
      </w:r>
      <w:r>
        <w:rPr>
          <w:rFonts w:ascii="Times New Roman" w:hAnsi="Times New Roman"/>
          <w:b/>
          <w:sz w:val="20"/>
        </w:rPr>
        <w:t>Security Registrar</w:t>
      </w:r>
      <w:r>
        <w:rPr>
          <w:rFonts w:ascii="Times New Roman" w:hAnsi="Times New Roman"/>
          <w:sz w:val="20"/>
        </w:rPr>
        <w:t xml:space="preserve"> have the respective meanings specified in Section 305.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b/>
          <w:sz w:val="20"/>
        </w:rPr>
        <w:t>Senior Debt</w:t>
      </w:r>
      <w:r>
        <w:rPr>
          <w:rFonts w:ascii="Times New Roman" w:hAnsi="Times New Roman"/>
          <w:sz w:val="20"/>
        </w:rPr>
        <w:t xml:space="preserve"> with respect to any series of Securities shall have the meaning specified as contemplated by Section 301(3).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Senior Nonmonetary Default</w:t>
      </w:r>
      <w:r>
        <w:rPr>
          <w:rFonts w:ascii="Times New Roman" w:hAnsi="Times New Roman"/>
          <w:sz w:val="20"/>
        </w:rPr>
        <w:t xml:space="preserve"> has the meaning specified in Section 1204.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Senior Payment Default</w:t>
      </w:r>
      <w:r>
        <w:rPr>
          <w:rFonts w:ascii="Times New Roman" w:hAnsi="Times New Roman"/>
          <w:sz w:val="20"/>
        </w:rPr>
        <w:t xml:space="preserve"> has the meaning specified in Section 1204.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Significant Subsidiary</w:t>
      </w:r>
      <w:r>
        <w:rPr>
          <w:rFonts w:ascii="Times New Roman" w:hAnsi="Times New Roman"/>
          <w:sz w:val="20"/>
        </w:rPr>
        <w:t xml:space="preserve"> means, at any date of determination, any Subsidiary that represents 10% or more of the Companys consolidated total assets at the end of the most recent fiscal quarter for which financial information is available or 10% or more of the Companys consolidated net revenues or consolidated operating income for the most recent four quarters for which financial information is available.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Special Record Date</w:t>
      </w:r>
      <w:r>
        <w:rPr>
          <w:rFonts w:ascii="Times New Roman" w:hAnsi="Times New Roman"/>
          <w:sz w:val="20"/>
        </w:rPr>
        <w:t xml:space="preserve"> for the payment of any Defaulted Interest means a date fixed by the Trustee pursuant to Section 307.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Stated Maturity,</w:t>
      </w:r>
      <w:r>
        <w:rPr>
          <w:rFonts w:ascii="Times New Roman" w:hAnsi="Times New Roman"/>
          <w:sz w:val="20"/>
        </w:rPr>
        <w:t xml:space="preserve"> when used with respect to any Security or any installment of principal thereof or interest thereon, means the date specified in such Security as the fixed date on which the principal of such Security or such installment of principal or interest is due and payable.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Subsidiary</w:t>
      </w:r>
      <w:r>
        <w:rPr>
          <w:rFonts w:ascii="Times New Roman" w:hAnsi="Times New Roman"/>
          <w:sz w:val="20"/>
        </w:rPr>
        <w:t xml:space="preserve"> of any Person means (1) a corporation more than 50% of the combined voting power of the outstanding Voting Stock of which is owned, directly or indirectly, by such Person or by one or more other Subsidiaries of such Person or by such Person and one or more Subsidiaries thereof or (2)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Subsidiary Guarantees</w:t>
      </w:r>
      <w:r>
        <w:rPr>
          <w:rFonts w:ascii="Times New Roman" w:hAnsi="Times New Roman"/>
          <w:sz w:val="20"/>
        </w:rPr>
        <w:t xml:space="preserve"> means the guarantees of each Subsidiary Guarantor as provided in Article Thirteen.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Subsidiary Guarantors</w:t>
      </w:r>
      <w:r>
        <w:rPr>
          <w:rFonts w:ascii="Times New Roman" w:hAnsi="Times New Roman"/>
          <w:sz w:val="20"/>
        </w:rPr>
        <w:t xml:space="preserve"> means (i) the subsidiaries listed in </w:t>
      </w:r>
      <w:r>
        <w:rPr>
          <w:rFonts w:ascii="Times New Roman" w:hAnsi="Times New Roman"/>
          <w:sz w:val="20"/>
          <w:u w:val="single"/>
        </w:rPr>
        <w:t>Schedule I</w:t>
      </w:r>
      <w:r>
        <w:rPr>
          <w:rFonts w:ascii="Times New Roman" w:hAnsi="Times New Roman"/>
          <w:sz w:val="20"/>
        </w:rPr>
        <w:t xml:space="preserve"> hereto; (ii) each other Subsidiary of the Company that becomes a Subsidiary Guarantor in accordance with Section 1305 hereof, and (iii) any successor of the foregoing, in each case (i), (ii) and (iii) until such Subsidiary Guarantor ceases to be such in accordance with Section 1304 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Trust Indenture Act</w:t>
      </w:r>
      <w:r>
        <w:rPr>
          <w:rFonts w:ascii="Times New Roman" w:hAnsi="Times New Roman"/>
          <w:sz w:val="20"/>
        </w:rPr>
        <w:t xml:space="preserve">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Trustee</w:t>
      </w:r>
      <w:r>
        <w:rPr>
          <w:rFonts w:ascii="Times New Roman" w:hAnsi="Times New Roman"/>
          <w:sz w:val="20"/>
        </w:rPr>
        <w:t xml:space="preserv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b/>
          <w:sz w:val="20"/>
        </w:rPr>
        <w:t>U.S. Government Obligation</w:t>
      </w:r>
      <w:r>
        <w:rPr>
          <w:rFonts w:ascii="Times New Roman" w:hAnsi="Times New Roman"/>
          <w:sz w:val="20"/>
        </w:rPr>
        <w:t xml:space="preserve"> has the meaning specified in Section 1504.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Vice President</w:t>
      </w:r>
      <w:r>
        <w:rPr>
          <w:rFonts w:ascii="Times New Roman" w:hAnsi="Times New Roman"/>
          <w:sz w:val="20"/>
        </w:rPr>
        <w:t xml:space="preserve">, when used with respect to the Company or the Trustee, means any vice president, whether or not designated by a number or a word or words added before or after the title vice president.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Voting Stock</w:t>
      </w:r>
      <w:r>
        <w:rPr>
          <w:rFonts w:ascii="Times New Roman" w:hAnsi="Times New Roman"/>
          <w:sz w:val="20"/>
        </w:rPr>
        <w:t xml:space="preserve"> of any Person means Capital Stock of such Person which ordinarily has voting power for the election of directors (or persons performing similar functions) of such Person, whether at all times or only so long as no senior class of securities has such voting power by reason of any contingency.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Wholly Owned Subsidiary</w:t>
      </w:r>
      <w:r>
        <w:rPr>
          <w:rFonts w:ascii="Times New Roman" w:hAnsi="Times New Roman"/>
          <w:sz w:val="20"/>
        </w:rPr>
        <w:t xml:space="preserve"> of any Person means a Subsidiary of such Person all of the outstanding Capital Stock of which (other than directors qualifying shares) shall at the time be owned by such Person or by one or more Wholly Owned Subsidiaries of such Person or by such Person and one or more Wholly Owned Subsidiaries of such Person. </w:t>
      </w:r>
    </w:p>
    <w:p>
      <w:pPr>
        <w:pStyle w:val="TextBody"/>
        <w:spacing w:before="180" w:after="0"/>
        <w:rPr>
          <w:rFonts w:ascii="Times New Roman" w:hAnsi="Times New Roman"/>
          <w:sz w:val="20"/>
        </w:rPr>
      </w:pPr>
      <w:r>
        <w:rPr>
          <w:rFonts w:ascii="Times New Roman" w:hAnsi="Times New Roman"/>
          <w:sz w:val="20"/>
        </w:rPr>
        <w:t xml:space="preserve">SECTION 102. </w:t>
      </w:r>
      <w:r>
        <w:rPr>
          <w:rFonts w:ascii="Times New Roman" w:hAnsi="Times New Roman"/>
          <w:b/>
          <w:sz w:val="20"/>
          <w:u w:val="single"/>
        </w:rPr>
        <w:t>Compliance Certificates and Opinions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Upon any application or request by the Company or any Subsidiary Guarantor to the Trustee to take any action under any provision of this Indenture, the Company and/or such Subsidiary Guarantor, as appropriate, shall furnish to the Trustee such certificates and opinions as may be required under the Trust Indenture Act. Each such certificate or opinion shall be given in the form of an Officers Certificate, if to be given by an officer of the Company or a Subsidiary Guarantor, or an Opinion of Counsel, if to be given by counsel, and shall comply with the requirements of the Trust Indenture Act and any other requirements set forth in this Indenture. </w:t>
      </w:r>
    </w:p>
    <w:p>
      <w:pPr>
        <w:pStyle w:val="TextBody"/>
        <w:spacing w:before="180" w:after="0"/>
        <w:rPr>
          <w:rFonts w:ascii="Times New Roman" w:hAnsi="Times New Roman"/>
          <w:sz w:val="20"/>
        </w:rPr>
      </w:pPr>
      <w:r>
        <w:rPr>
          <w:rFonts w:ascii="Times New Roman" w:hAnsi="Times New Roman"/>
          <w:sz w:val="20"/>
        </w:rPr>
        <w:t xml:space="preserve">Every certificate or opinion with respect to compliance with a condition or covenant provided for in this Indenture shall include: </w:t>
      </w:r>
    </w:p>
    <w:p>
      <w:pPr>
        <w:pStyle w:val="TextBody"/>
        <w:spacing w:before="180" w:after="0"/>
        <w:rPr>
          <w:rFonts w:ascii="Times New Roman" w:hAnsi="Times New Roman"/>
          <w:sz w:val="20"/>
        </w:rPr>
      </w:pPr>
      <w:r>
        <w:rPr>
          <w:rFonts w:ascii="Times New Roman" w:hAnsi="Times New Roman"/>
          <w:sz w:val="20"/>
        </w:rPr>
        <w:t xml:space="preserve">(1) a statement that each individual signing such certificate or opinion has read such covenant or condition and the definitions herein relating thereto; </w:t>
      </w:r>
    </w:p>
    <w:p>
      <w:pPr>
        <w:pStyle w:val="TextBody"/>
        <w:spacing w:before="180" w:after="0"/>
        <w:rPr>
          <w:rFonts w:ascii="Times New Roman" w:hAnsi="Times New Roman"/>
          <w:sz w:val="20"/>
        </w:rPr>
      </w:pPr>
      <w:r>
        <w:rPr>
          <w:rFonts w:ascii="Times New Roman" w:hAnsi="Times New Roman"/>
          <w:sz w:val="20"/>
        </w:rPr>
        <w:t xml:space="preserve">(2) a brief statement as to the nature and scope of the examination or investigation upon which the statements or opinions contained in such certificate or opinion are based; </w:t>
      </w:r>
    </w:p>
    <w:p>
      <w:pPr>
        <w:pStyle w:val="TextBody"/>
        <w:spacing w:before="180" w:after="0"/>
        <w:rPr>
          <w:rFonts w:ascii="Times New Roman" w:hAnsi="Times New Roman"/>
          <w:sz w:val="20"/>
        </w:rPr>
      </w:pPr>
      <w:r>
        <w:rPr>
          <w:rFonts w:ascii="Times New Roman" w:hAnsi="Times New Roman"/>
          <w:sz w:val="20"/>
        </w:rPr>
        <w:t xml:space="preserve">(3) a statement that, in the opinion of each such individual, he has made such examination or investigation as is necessary to enable him to express an informed opinion as to whether or not such covenant or condition has been complied with; and </w:t>
      </w:r>
    </w:p>
    <w:p>
      <w:pPr>
        <w:pStyle w:val="TextBody"/>
        <w:spacing w:before="180" w:after="0"/>
        <w:rPr>
          <w:rFonts w:ascii="Times New Roman" w:hAnsi="Times New Roman"/>
          <w:sz w:val="20"/>
        </w:rPr>
      </w:pPr>
      <w:r>
        <w:rPr>
          <w:rFonts w:ascii="Times New Roman" w:hAnsi="Times New Roman"/>
          <w:sz w:val="20"/>
        </w:rPr>
        <w:t xml:space="preserve">(4) a statement as to whether, in the opinion of each such individual, such condition or covenant has been complied with. </w:t>
      </w:r>
    </w:p>
    <w:p>
      <w:pPr>
        <w:pStyle w:val="TextBody"/>
        <w:spacing w:before="180" w:after="0"/>
        <w:rPr>
          <w:rFonts w:ascii="Times New Roman" w:hAnsi="Times New Roman"/>
          <w:sz w:val="20"/>
        </w:rPr>
      </w:pPr>
      <w:r>
        <w:rPr>
          <w:rFonts w:ascii="Times New Roman" w:hAnsi="Times New Roman"/>
          <w:sz w:val="20"/>
        </w:rPr>
        <w:t xml:space="preserve">SECTION 103. </w:t>
      </w:r>
      <w:r>
        <w:rPr>
          <w:rFonts w:ascii="Times New Roman" w:hAnsi="Times New Roman"/>
          <w:b/>
          <w:sz w:val="20"/>
          <w:u w:val="single"/>
        </w:rPr>
        <w:t>Form of Documents Delivered to Trustee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Any certificate or opinion of an officer of the Company or a Subsidiary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or such Subsidiary Guarantor stating that the information with respect to such factual matters is in the possession of the Company or such Subsidiary Guarantor, unless such counsel knows, or in the exercise of reasonable care should know, that the certificate or opinion or representations with respect to such matters are erroneous. </w:t>
      </w:r>
    </w:p>
    <w:p>
      <w:pPr>
        <w:pStyle w:val="TextBody"/>
        <w:spacing w:before="180" w:after="0"/>
        <w:rPr>
          <w:rFonts w:ascii="Times New Roman" w:hAnsi="Times New Roman"/>
          <w:sz w:val="20"/>
        </w:rPr>
      </w:pPr>
      <w:r>
        <w:rPr>
          <w:rFonts w:ascii="Times New Roman" w:hAnsi="Times New Roman"/>
          <w:sz w:val="20"/>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spacing w:before="180" w:after="0"/>
        <w:rPr>
          <w:rFonts w:ascii="Times New Roman" w:hAnsi="Times New Roman"/>
          <w:sz w:val="20"/>
        </w:rPr>
      </w:pPr>
      <w:r>
        <w:rPr>
          <w:rFonts w:ascii="Times New Roman" w:hAnsi="Times New Roman"/>
          <w:sz w:val="20"/>
        </w:rPr>
        <w:t xml:space="preserve">SECTION 104. </w:t>
      </w:r>
      <w:r>
        <w:rPr>
          <w:rFonts w:ascii="Times New Roman" w:hAnsi="Times New Roman"/>
          <w:b/>
          <w:sz w:val="20"/>
          <w:u w:val="single"/>
        </w:rPr>
        <w:t>Acts of Holders; Record Dates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Whenever in this Indenture it is provided that the Holders of a specified percentage in aggregate principal amount of the Securities of any or all series may take action (including the making of any demand or request, the giving of any direction,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(b) by the record of the Holders voting in favor thereof at any meeting of Holders duly called and held in accordance with procedures approved by the Trustee, (c) by a combination of such instrument or instruments and any such record of such a meeting of Holders or (d) in the case of Securities evidenced by a Global Security, by any electronic transmission or other message, whether or not in written format, that complies with the Depositarys applicable procedures. Such evidence (and the action embodied therein and evidenced thereby) are herein sometimes referred to as the </w:t>
      </w:r>
      <w:r>
        <w:rPr>
          <w:rFonts w:ascii="Times New Roman" w:hAnsi="Times New Roman"/>
          <w:b/>
          <w:sz w:val="20"/>
        </w:rPr>
        <w:t>Act</w:t>
      </w:r>
      <w:r>
        <w:rPr>
          <w:rFonts w:ascii="Times New Roman" w:hAnsi="Times New Roman"/>
          <w:sz w:val="20"/>
        </w:rPr>
        <w:t xml:space="preserve"> of the relevant Holders. Proof of execution of any such instrument or of a writing appointing any such agent or proxy shall be sufficient for any purpose of this Indenture and (subject to Section 601) conclusive in favor of the Trustee and the Company, if made in the manner provided in this Section. </w:t>
      </w:r>
    </w:p>
    <w:p>
      <w:pPr>
        <w:pStyle w:val="TextBody"/>
        <w:spacing w:before="180" w:after="0"/>
        <w:rPr>
          <w:rFonts w:ascii="Times New Roman" w:hAnsi="Times New Roman"/>
          <w:sz w:val="20"/>
        </w:rPr>
      </w:pPr>
      <w:r>
        <w:rPr>
          <w:rFonts w:ascii="Times New Roman" w:hAnsi="Times New Roman"/>
          <w:sz w:val="20"/>
        </w:rPr>
        <w:t xml:space="preserve">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sufficient. The ownership of Securities shall be proved by the Security Register.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w:t>
      </w:r>
    </w:p>
    <w:p>
      <w:pPr>
        <w:pStyle w:val="TextBody"/>
        <w:spacing w:before="180" w:after="0"/>
        <w:rPr>
          <w:rFonts w:ascii="Times New Roman" w:hAnsi="Times New Roman"/>
          <w:sz w:val="20"/>
        </w:rPr>
      </w:pPr>
      <w:r>
        <w:rPr>
          <w:rFonts w:ascii="Times New Roman" w:hAnsi="Times New Roman"/>
          <w:sz w:val="20"/>
        </w:rPr>
        <w:t xml:space="preserve">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 </w:t>
      </w:r>
    </w:p>
    <w:p>
      <w:pPr>
        <w:pStyle w:val="TextBody"/>
        <w:spacing w:before="180" w:after="0"/>
        <w:rPr>
          <w:rFonts w:ascii="Times New Roman" w:hAnsi="Times New Roman"/>
          <w:sz w:val="20"/>
        </w:rPr>
      </w:pPr>
      <w:r>
        <w:rPr>
          <w:rFonts w:ascii="Times New Roman" w:hAnsi="Times New Roman"/>
          <w:sz w:val="20"/>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With respect to any record date set pursuant to this Section, the party hereto which sets such record dates may designate any day as the </w:t>
      </w:r>
      <w:r>
        <w:rPr>
          <w:rFonts w:ascii="Times New Roman" w:hAnsi="Times New Roman"/>
          <w:b/>
          <w:sz w:val="20"/>
        </w:rPr>
        <w:t>Expiration Date</w:t>
      </w:r>
      <w:r>
        <w:rPr>
          <w:rFonts w:ascii="Times New Roman" w:hAnsi="Times New Roman"/>
          <w:sz w:val="20"/>
        </w:rPr>
        <w:t xml:space="preserv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 </w:t>
      </w:r>
    </w:p>
    <w:p>
      <w:pPr>
        <w:pStyle w:val="TextBody"/>
        <w:spacing w:before="180" w:after="0"/>
        <w:rPr>
          <w:rFonts w:ascii="Times New Roman" w:hAnsi="Times New Roman"/>
          <w:sz w:val="20"/>
        </w:rPr>
      </w:pPr>
      <w:r>
        <w:rPr>
          <w:rFonts w:ascii="Times New Roman" w:hAnsi="Times New Roman"/>
          <w:sz w:val="20"/>
        </w:rPr>
        <w:t xml:space="preserve">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 </w:t>
      </w:r>
    </w:p>
    <w:p>
      <w:pPr>
        <w:pStyle w:val="TextBody"/>
        <w:spacing w:before="180" w:after="0"/>
        <w:rPr>
          <w:rFonts w:ascii="Times New Roman" w:hAnsi="Times New Roman"/>
          <w:sz w:val="20"/>
        </w:rPr>
      </w:pPr>
      <w:r>
        <w:rPr>
          <w:rFonts w:ascii="Times New Roman" w:hAnsi="Times New Roman"/>
          <w:sz w:val="20"/>
        </w:rPr>
        <w:t xml:space="preserve">SECTION 105. </w:t>
      </w:r>
      <w:r>
        <w:rPr>
          <w:rFonts w:ascii="Times New Roman" w:hAnsi="Times New Roman"/>
          <w:b/>
          <w:sz w:val="20"/>
          <w:u w:val="single"/>
        </w:rPr>
        <w:t>Notices, Etc., to Trustee and Company</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Any request, demand, authorization, direction, notice, consent, waiver or Act of Holders or other document provided or permitted by this Indenture to be made upon, given or furnished to, or filed with: </w:t>
      </w:r>
    </w:p>
    <w:p>
      <w:pPr>
        <w:pStyle w:val="TextBody"/>
        <w:spacing w:before="180" w:after="0"/>
        <w:rPr>
          <w:rFonts w:ascii="Times New Roman" w:hAnsi="Times New Roman"/>
          <w:sz w:val="20"/>
        </w:rPr>
      </w:pPr>
      <w:r>
        <w:rPr>
          <w:rFonts w:ascii="Times New Roman" w:hAnsi="Times New Roman"/>
          <w:sz w:val="20"/>
        </w:rPr>
        <w:t xml:space="preserve">(1) the Trustee by any Holder or by the Company or any Subsidiary Guarantor shall be sufficient for every purpose hereunder if made, given, furnished or filed in writing in the English language to or with the Trustee at its Corporate Trust Office, Attention: Corporate Trust Department; or </w:t>
      </w:r>
    </w:p>
    <w:p>
      <w:pPr>
        <w:pStyle w:val="TextBody"/>
        <w:spacing w:before="180" w:after="0"/>
        <w:rPr>
          <w:rFonts w:ascii="Times New Roman" w:hAnsi="Times New Roman"/>
          <w:sz w:val="20"/>
        </w:rPr>
      </w:pPr>
      <w:r>
        <w:rPr>
          <w:rFonts w:ascii="Times New Roman" w:hAnsi="Times New Roman"/>
          <w:sz w:val="20"/>
        </w:rPr>
        <w:t xml:space="preserve">(2) the Company or any Subsidiary Guarantor by the Trustee or by any Holder shall be sufficient for every purpose hereunder (unless otherwise herein expressly provided) if in writing in the English language and mailed, first-class postage prepaid, in the case of the Company addressed to it at the address of its principal office specified in the first paragraph of this instrument or at any other address previously furnished in writing to the Trustee by the Company and, in the case of any Subsidiary Guarantor, to it at the address of the Companys principal office specified in the first paragraph of this instrument, Attention: Chief Financial Officer, or at any other address previously furnished in writing to the Trustee by such Subsidiary Guarantor. </w:t>
      </w:r>
    </w:p>
    <w:p>
      <w:pPr>
        <w:pStyle w:val="TextBody"/>
        <w:spacing w:before="180" w:after="0"/>
        <w:rPr>
          <w:rFonts w:ascii="Times New Roman" w:hAnsi="Times New Roman"/>
          <w:sz w:val="20"/>
        </w:rPr>
      </w:pPr>
      <w:r>
        <w:rPr>
          <w:rFonts w:ascii="Times New Roman" w:hAnsi="Times New Roman"/>
          <w:sz w:val="20"/>
        </w:rPr>
        <w:t xml:space="preserve">SECTION 106. </w:t>
      </w:r>
      <w:r>
        <w:rPr>
          <w:rFonts w:ascii="Times New Roman" w:hAnsi="Times New Roman"/>
          <w:b/>
          <w:sz w:val="20"/>
          <w:u w:val="single"/>
        </w:rPr>
        <w:t>Notice to Holders; Waiver</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Where this Indenture provides for notice to Holders of any event, such notice shall be sufficiently given (unless otherwise herein expressly provided) if in writing in the English language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spacing w:before="180" w:after="0"/>
        <w:rPr>
          <w:rFonts w:ascii="Times New Roman" w:hAnsi="Times New Roman"/>
          <w:sz w:val="20"/>
        </w:rPr>
      </w:pPr>
      <w:r>
        <w:rPr>
          <w:rFonts w:ascii="Times New Roman" w:hAnsi="Times New Roman"/>
          <w:sz w:val="20"/>
        </w:rPr>
        <w:t xml:space="preserve">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 </w:t>
      </w:r>
    </w:p>
    <w:p>
      <w:pPr>
        <w:pStyle w:val="TextBody"/>
        <w:spacing w:before="180" w:after="0"/>
        <w:rPr>
          <w:rFonts w:ascii="Times New Roman" w:hAnsi="Times New Roman"/>
          <w:sz w:val="20"/>
        </w:rPr>
      </w:pPr>
      <w:r>
        <w:rPr>
          <w:rFonts w:ascii="Times New Roman" w:hAnsi="Times New Roman"/>
          <w:sz w:val="20"/>
        </w:rPr>
        <w:t xml:space="preserve">SECTION 107. </w:t>
      </w:r>
      <w:r>
        <w:rPr>
          <w:rFonts w:ascii="Times New Roman" w:hAnsi="Times New Roman"/>
          <w:b/>
          <w:sz w:val="20"/>
          <w:u w:val="single"/>
        </w:rPr>
        <w:t>Conflict with Trust Indenture Act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 </w:t>
      </w:r>
    </w:p>
    <w:p>
      <w:pPr>
        <w:pStyle w:val="TextBody"/>
        <w:spacing w:before="180" w:after="0"/>
        <w:rPr>
          <w:rFonts w:ascii="Times New Roman" w:hAnsi="Times New Roman"/>
          <w:sz w:val="20"/>
        </w:rPr>
      </w:pPr>
      <w:r>
        <w:rPr>
          <w:rFonts w:ascii="Times New Roman" w:hAnsi="Times New Roman"/>
          <w:sz w:val="20"/>
        </w:rPr>
        <w:t xml:space="preserve">SECTION 108. </w:t>
      </w:r>
      <w:r>
        <w:rPr>
          <w:rFonts w:ascii="Times New Roman" w:hAnsi="Times New Roman"/>
          <w:b/>
          <w:sz w:val="20"/>
          <w:u w:val="single"/>
        </w:rPr>
        <w:t>Effect of Headings and Table of Contents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Article and Section headings herein and the Table of Contents are for convenience only and shall not affect the construction hereof. </w:t>
      </w:r>
    </w:p>
    <w:p>
      <w:pPr>
        <w:pStyle w:val="TextBody"/>
        <w:spacing w:before="180" w:after="0"/>
        <w:rPr>
          <w:rFonts w:ascii="Times New Roman" w:hAnsi="Times New Roman"/>
          <w:sz w:val="20"/>
        </w:rPr>
      </w:pPr>
      <w:r>
        <w:rPr>
          <w:rFonts w:ascii="Times New Roman" w:hAnsi="Times New Roman"/>
          <w:sz w:val="20"/>
        </w:rPr>
        <w:t xml:space="preserve">SECTION 109. </w:t>
      </w:r>
      <w:r>
        <w:rPr>
          <w:rFonts w:ascii="Times New Roman" w:hAnsi="Times New Roman"/>
          <w:b/>
          <w:sz w:val="20"/>
          <w:u w:val="single"/>
        </w:rPr>
        <w:t>Successors and Assigns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All covenants and agreements in this Indenture by the Company and any Subsidiary Guarantor shall bind their respective successors and assigns, whether so expressed or not. </w:t>
      </w:r>
    </w:p>
    <w:p>
      <w:pPr>
        <w:pStyle w:val="TextBody"/>
        <w:spacing w:before="180" w:after="0"/>
        <w:rPr>
          <w:rFonts w:ascii="Times New Roman" w:hAnsi="Times New Roman"/>
          <w:sz w:val="20"/>
        </w:rPr>
      </w:pPr>
      <w:r>
        <w:rPr>
          <w:rFonts w:ascii="Times New Roman" w:hAnsi="Times New Roman"/>
          <w:sz w:val="20"/>
        </w:rPr>
        <w:t xml:space="preserve">SECTION 110. </w:t>
      </w:r>
      <w:r>
        <w:rPr>
          <w:rFonts w:ascii="Times New Roman" w:hAnsi="Times New Roman"/>
          <w:b/>
          <w:sz w:val="20"/>
          <w:u w:val="single"/>
        </w:rPr>
        <w:t>Separability Clause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case any provision in this Indenture, the Securities or the Subsidiary Guarantees shall be invalid, illegal or unenforceable, the validity, legality and enforce ability of the remaining provisions shall not in any way be affected or impaired thereby. </w:t>
      </w:r>
    </w:p>
    <w:p>
      <w:pPr>
        <w:pStyle w:val="TextBody"/>
        <w:spacing w:before="180" w:after="0"/>
        <w:rPr>
          <w:rFonts w:ascii="Times New Roman" w:hAnsi="Times New Roman"/>
          <w:sz w:val="20"/>
        </w:rPr>
      </w:pPr>
      <w:r>
        <w:rPr>
          <w:rFonts w:ascii="Times New Roman" w:hAnsi="Times New Roman"/>
          <w:sz w:val="20"/>
        </w:rPr>
        <w:t xml:space="preserve">SECTION 111. </w:t>
      </w:r>
      <w:r>
        <w:rPr>
          <w:rFonts w:ascii="Times New Roman" w:hAnsi="Times New Roman"/>
          <w:b/>
          <w:sz w:val="20"/>
          <w:u w:val="single"/>
        </w:rPr>
        <w:t>Benefits of Indenture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Nothing in this Indenture, the Securities or the Subsidiary Guarantees, express or implied, shall give to any Person, other than the parties hereto and their successors hereunder, the holders of Senior Debt and the Holders, any benefit or any legal or equitable right, remedy or claim under this Indenture. </w:t>
      </w:r>
    </w:p>
    <w:p>
      <w:pPr>
        <w:pStyle w:val="TextBody"/>
        <w:spacing w:before="180" w:after="0"/>
        <w:rPr>
          <w:rFonts w:ascii="Times New Roman" w:hAnsi="Times New Roman"/>
          <w:sz w:val="20"/>
        </w:rPr>
      </w:pPr>
      <w:r>
        <w:rPr>
          <w:rFonts w:ascii="Times New Roman" w:hAnsi="Times New Roman"/>
          <w:sz w:val="20"/>
        </w:rPr>
        <w:t xml:space="preserve">SECTION 112. </w:t>
      </w:r>
      <w:r>
        <w:rPr>
          <w:rFonts w:ascii="Times New Roman" w:hAnsi="Times New Roman"/>
          <w:b/>
          <w:sz w:val="20"/>
          <w:u w:val="single"/>
        </w:rPr>
        <w:t>Governing Law</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This Indenture, the Securities and the Subsidiary Guarantees shall be governed by and construed in accordance with the law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113. </w:t>
      </w:r>
      <w:r>
        <w:rPr>
          <w:rFonts w:ascii="Times New Roman" w:hAnsi="Times New Roman"/>
          <w:b/>
          <w:sz w:val="20"/>
          <w:u w:val="single"/>
        </w:rPr>
        <w:t>Legal Holidays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any case where any Interest Payment Date, Redemption Date, purchase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Redemption Date or purchase date, or at the Stated Maturity. </w:t>
      </w:r>
    </w:p>
    <w:p>
      <w:pPr>
        <w:pStyle w:val="TextBody"/>
        <w:spacing w:before="180" w:after="0"/>
        <w:rPr>
          <w:rFonts w:ascii="Times New Roman" w:hAnsi="Times New Roman"/>
          <w:sz w:val="20"/>
        </w:rPr>
      </w:pPr>
      <w:r>
        <w:rPr>
          <w:rFonts w:ascii="Times New Roman" w:hAnsi="Times New Roman"/>
          <w:sz w:val="20"/>
        </w:rPr>
        <w:t xml:space="preserve">SECTION 114. </w:t>
      </w:r>
      <w:r>
        <w:rPr>
          <w:rFonts w:ascii="Times New Roman" w:hAnsi="Times New Roman"/>
          <w:b/>
          <w:sz w:val="20"/>
          <w:u w:val="single"/>
        </w:rPr>
        <w:t>No Recourse Against Others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 director, officer, employee, incorporator, stockholder, member, partner or trustee of the Company or any Subsidiary Guarantor, as such, shall have any liability for any obligations of the Company or any Subsidiary Guarantor under the Securities, this Indenture, any Subsidiary Guarantees or for any claim based on, in respect of, or by reason of, such obligations or their creation. By accepting a Security, each Holder shall be deemed to have waived and released all such liability. The waiver and release shall be a part of the consideration for the issue of the Securities. </w:t>
      </w:r>
    </w:p>
    <w:p>
      <w:pPr>
        <w:pStyle w:val="TextBody"/>
        <w:spacing w:before="270" w:after="0"/>
        <w:jc w:val="center"/>
        <w:rPr>
          <w:rFonts w:ascii="Times New Roman" w:hAnsi="Times New Roman"/>
          <w:b/>
          <w:sz w:val="20"/>
        </w:rPr>
      </w:pPr>
      <w:r>
        <w:rPr>
          <w:rFonts w:ascii="Times New Roman" w:hAnsi="Times New Roman"/>
          <w:b/>
          <w:sz w:val="20"/>
        </w:rPr>
        <w:t xml:space="preserve">ARTICLE TWO </w:t>
      </w:r>
    </w:p>
    <w:p>
      <w:pPr>
        <w:pStyle w:val="TextBody"/>
        <w:spacing w:before="0" w:after="0"/>
        <w:jc w:val="center"/>
        <w:rPr>
          <w:rFonts w:ascii="Times New Roman" w:hAnsi="Times New Roman"/>
          <w:b/>
          <w:sz w:val="20"/>
        </w:rPr>
      </w:pPr>
      <w:r>
        <w:rPr>
          <w:rFonts w:ascii="Times New Roman" w:hAnsi="Times New Roman"/>
          <w:b/>
          <w:sz w:val="20"/>
        </w:rPr>
        <w:t xml:space="preserve">SECURITY FORMS </w:t>
      </w:r>
    </w:p>
    <w:p>
      <w:pPr>
        <w:pStyle w:val="TextBody"/>
        <w:spacing w:before="180" w:after="0"/>
        <w:rPr>
          <w:rFonts w:ascii="Times New Roman" w:hAnsi="Times New Roman"/>
          <w:sz w:val="20"/>
        </w:rPr>
      </w:pPr>
      <w:r>
        <w:rPr>
          <w:rFonts w:ascii="Times New Roman" w:hAnsi="Times New Roman"/>
          <w:sz w:val="20"/>
        </w:rPr>
        <w:t xml:space="preserve">SECTION 201. </w:t>
      </w:r>
      <w:r>
        <w:rPr>
          <w:rFonts w:ascii="Times New Roman" w:hAnsi="Times New Roman"/>
          <w:b/>
          <w:sz w:val="20"/>
          <w:u w:val="single"/>
        </w:rPr>
        <w:t>Forms Generally</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Securities of each series and, if applicable, the notations of Subsidiary Guarantees to be endorsed thereon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or notations of Subsidiary Guarantees, as the case may be,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w:t>
      </w:r>
    </w:p>
    <w:p>
      <w:pPr>
        <w:pStyle w:val="TextBody"/>
        <w:spacing w:before="180" w:after="0"/>
        <w:rPr>
          <w:rFonts w:ascii="Times New Roman" w:hAnsi="Times New Roman"/>
          <w:sz w:val="20"/>
        </w:rPr>
      </w:pPr>
      <w:r>
        <w:rPr>
          <w:rFonts w:ascii="Times New Roman" w:hAnsi="Times New Roman"/>
          <w:sz w:val="20"/>
        </w:rPr>
        <w:t xml:space="preserve">The definitive Securities shall be printed, lithographed or engraved on steel engraved borders or may be produced in any other manner, all as determined by the officers executing such Securities, as evidenced by their execution of such Securities. </w:t>
      </w:r>
    </w:p>
    <w:p>
      <w:pPr>
        <w:pStyle w:val="TextBody"/>
        <w:spacing w:before="180" w:after="0"/>
        <w:rPr>
          <w:rFonts w:ascii="Times New Roman" w:hAnsi="Times New Roman"/>
          <w:sz w:val="20"/>
        </w:rPr>
      </w:pPr>
      <w:r>
        <w:rPr>
          <w:rFonts w:ascii="Times New Roman" w:hAnsi="Times New Roman"/>
          <w:sz w:val="20"/>
        </w:rPr>
        <w:t xml:space="preserve">SECTION 202. </w:t>
      </w:r>
      <w:r>
        <w:rPr>
          <w:rFonts w:ascii="Times New Roman" w:hAnsi="Times New Roman"/>
          <w:b/>
          <w:sz w:val="20"/>
          <w:u w:val="single"/>
        </w:rPr>
        <w:t>Form of Face of Security</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[Insert any legend required by the Internal Revenue Code and the regulations thereunder.]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EZCORP, Inc.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No. </w:t>
            </w:r>
            <w:r>
              <w:rPr>
                <w:rFonts w:ascii="Times New Roman" w:hAnsi="Times New Roman"/>
                <w:sz w:val="20"/>
                <w:u w:val="single"/>
              </w:rPr>
              <w:t>                    </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xml:space="preserve">$ </w:t>
            </w:r>
            <w:r>
              <w:rPr>
                <w:rFonts w:ascii="Times New Roman" w:hAnsi="Times New Roman"/>
                <w:sz w:val="20"/>
                <w:u w:val="single"/>
              </w:rPr>
              <w:t>                    </w:t>
            </w:r>
          </w:p>
        </w:tc>
      </w:tr>
    </w:tbl>
    <w:p>
      <w:pPr>
        <w:pStyle w:val="TextBody"/>
        <w:spacing w:before="180" w:after="0"/>
        <w:rPr>
          <w:rFonts w:ascii="Times New Roman" w:hAnsi="Times New Roman"/>
          <w:sz w:val="20"/>
        </w:rPr>
      </w:pPr>
      <w:r>
        <w:rPr>
          <w:rFonts w:ascii="Times New Roman" w:hAnsi="Times New Roman"/>
          <w:sz w:val="20"/>
        </w:rPr>
        <w:t xml:space="preserve">EZCORP, Inc., a corporation duly organized and existing under the laws of Delaware (herein called the Company, which term includes any successor Person under the Indenture hereinafter referred to), for value received, hereby promises to pay to </w:t>
      </w:r>
      <w:r>
        <w:rPr>
          <w:rFonts w:ascii="Times New Roman" w:hAnsi="Times New Roman"/>
          <w:sz w:val="20"/>
          <w:u w:val="single"/>
        </w:rPr>
        <w:t>                                                                             ,</w:t>
      </w:r>
      <w:r>
        <w:rPr>
          <w:rFonts w:ascii="Times New Roman" w:hAnsi="Times New Roman"/>
          <w:sz w:val="20"/>
        </w:rPr>
        <w:t xml:space="preserve"> or registered assigns, the principal sum of </w:t>
      </w:r>
      <w:r>
        <w:rPr>
          <w:rFonts w:ascii="Times New Roman" w:hAnsi="Times New Roman"/>
          <w:sz w:val="20"/>
          <w:u w:val="single"/>
        </w:rPr>
        <w:t>                                             </w:t>
      </w:r>
      <w:r>
        <w:rPr>
          <w:rFonts w:ascii="Times New Roman" w:hAnsi="Times New Roman"/>
          <w:sz w:val="20"/>
        </w:rPr>
        <w:t xml:space="preserve"> Dollars on </w:t>
      </w:r>
      <w:r>
        <w:rPr>
          <w:rFonts w:ascii="Times New Roman" w:hAnsi="Times New Roman"/>
          <w:sz w:val="20"/>
          <w:u w:val="single"/>
        </w:rPr>
        <w:t>                                                                             </w:t>
      </w:r>
      <w:r>
        <w:rPr>
          <w:rFonts w:ascii="Times New Roman" w:hAnsi="Times New Roman"/>
          <w:sz w:val="20"/>
        </w:rPr>
        <w:t xml:space="preserve"> [if the Security is to bear interest prior to Maturity, insert  , and to pay interest thereon from </w:t>
      </w:r>
      <w:r>
        <w:rPr>
          <w:rFonts w:ascii="Times New Roman" w:hAnsi="Times New Roman"/>
          <w:sz w:val="20"/>
          <w:u w:val="single"/>
        </w:rPr>
        <w:t>                            </w:t>
      </w:r>
      <w:r>
        <w:rPr>
          <w:rFonts w:ascii="Times New Roman" w:hAnsi="Times New Roman"/>
          <w:sz w:val="20"/>
        </w:rPr>
        <w:t xml:space="preserve"> or from the most recent Interest Payment Date to which interest has been paid or duly provided for, semi-annually on </w:t>
      </w:r>
      <w:r>
        <w:rPr>
          <w:rFonts w:ascii="Times New Roman" w:hAnsi="Times New Roman"/>
          <w:sz w:val="20"/>
          <w:u w:val="single"/>
        </w:rPr>
        <w:t>                            </w:t>
      </w:r>
      <w:r>
        <w:rPr>
          <w:rFonts w:ascii="Times New Roman" w:hAnsi="Times New Roman"/>
          <w:sz w:val="20"/>
        </w:rPr>
        <w:t xml:space="preserve"> and </w:t>
      </w:r>
      <w:r>
        <w:rPr>
          <w:rFonts w:ascii="Times New Roman" w:hAnsi="Times New Roman"/>
          <w:sz w:val="20"/>
          <w:u w:val="single"/>
        </w:rPr>
        <w:t>                            </w:t>
      </w:r>
      <w:r>
        <w:rPr>
          <w:rFonts w:ascii="Times New Roman" w:hAnsi="Times New Roman"/>
          <w:sz w:val="20"/>
        </w:rPr>
        <w:t xml:space="preserve"> in each year, commencing </w:t>
      </w:r>
      <w:r>
        <w:rPr>
          <w:rFonts w:ascii="Times New Roman" w:hAnsi="Times New Roman"/>
          <w:sz w:val="20"/>
          <w:u w:val="single"/>
        </w:rPr>
        <w:t>                            </w:t>
      </w:r>
      <w:r>
        <w:rPr>
          <w:rFonts w:ascii="Times New Roman" w:hAnsi="Times New Roman"/>
          <w:sz w:val="20"/>
        </w:rPr>
        <w:t xml:space="preserve">, at the rate of </w:t>
      </w:r>
      <w:r>
        <w:rPr>
          <w:rFonts w:ascii="Times New Roman" w:hAnsi="Times New Roman"/>
          <w:sz w:val="20"/>
          <w:u w:val="single"/>
        </w:rPr>
        <w:t>            </w:t>
      </w:r>
      <w:r>
        <w:rPr>
          <w:rFonts w:ascii="Times New Roman" w:hAnsi="Times New Roman"/>
          <w:sz w:val="20"/>
        </w:rPr>
        <w:t xml:space="preserve">% per annum, until the principal hereof is paid or made available for payment, provided that any principal and premium, and any such installment of interest, which is overdue shall bear interest at the rate of </w:t>
      </w:r>
      <w:r>
        <w:rPr>
          <w:rFonts w:ascii="Times New Roman" w:hAnsi="Times New Roman"/>
          <w:sz w:val="20"/>
          <w:u w:val="single"/>
        </w:rPr>
        <w:t>            </w:t>
      </w:r>
      <w:r>
        <w:rPr>
          <w:rFonts w:ascii="Times New Roman" w:hAnsi="Times New Roman"/>
          <w:sz w:val="20"/>
        </w:rPr>
        <w:t xml:space="preserve">%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w:t>
      </w:r>
      <w:r>
        <w:rPr>
          <w:rFonts w:ascii="Times New Roman" w:hAnsi="Times New Roman"/>
          <w:sz w:val="20"/>
          <w:u w:val="single"/>
        </w:rPr>
        <w:t>                    </w:t>
      </w:r>
      <w:r>
        <w:rPr>
          <w:rFonts w:ascii="Times New Roman" w:hAnsi="Times New Roman"/>
          <w:sz w:val="20"/>
        </w:rPr>
        <w:t xml:space="preserve"> or </w:t>
      </w:r>
      <w:r>
        <w:rPr>
          <w:rFonts w:ascii="Times New Roman" w:hAnsi="Times New Roman"/>
          <w:sz w:val="20"/>
          <w:u w:val="single"/>
        </w:rPr>
        <w:t>                    </w:t>
      </w:r>
      <w:r>
        <w:rPr>
          <w:rFonts w:ascii="Times New Roman" w:hAnsi="Times New Roman"/>
          <w:sz w:val="20"/>
        </w:rPr>
        <w:t xml:space="preserve">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pStyle w:val="TextBody"/>
        <w:spacing w:before="180" w:after="0"/>
        <w:rPr>
          <w:rFonts w:ascii="Times New Roman" w:hAnsi="Times New Roman"/>
          <w:sz w:val="20"/>
        </w:rPr>
      </w:pPr>
      <w:r>
        <w:rPr>
          <w:rFonts w:ascii="Times New Roman" w:hAnsi="Times New Roman"/>
          <w:sz w:val="20"/>
        </w:rPr>
        <w:t xml:space="preserve">[If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w:t>
      </w:r>
      <w:r>
        <w:rPr>
          <w:rFonts w:ascii="Times New Roman" w:hAnsi="Times New Roman"/>
          <w:sz w:val="20"/>
          <w:u w:val="single"/>
        </w:rPr>
        <w:t>            </w:t>
      </w:r>
      <w:r>
        <w:rPr>
          <w:rFonts w:ascii="Times New Roman" w:hAnsi="Times New Roman"/>
          <w:sz w:val="20"/>
        </w:rPr>
        <w:t xml:space="preserve">%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w:t>
      </w:r>
      <w:r>
        <w:rPr>
          <w:rFonts w:ascii="Times New Roman" w:hAnsi="Times New Roman"/>
          <w:sz w:val="20"/>
          <w:u w:val="single"/>
        </w:rPr>
        <w:t>            </w:t>
      </w:r>
      <w:r>
        <w:rPr>
          <w:rFonts w:ascii="Times New Roman" w:hAnsi="Times New Roman"/>
          <w:sz w:val="20"/>
        </w:rPr>
        <w:t xml:space="preserve">% per annum (to the extent that the payment of such interest on interest shall be legally enforceable), from the date of such demand until the amount so demanded is paid or made available for payment. Interest on any overdue interest shall be payable on demand.] </w:t>
      </w:r>
    </w:p>
    <w:p>
      <w:pPr>
        <w:pStyle w:val="TextBody"/>
        <w:spacing w:before="180" w:after="0"/>
        <w:rPr>
          <w:rFonts w:ascii="Times New Roman" w:hAnsi="Times New Roman"/>
          <w:sz w:val="20"/>
        </w:rPr>
      </w:pPr>
      <w:r>
        <w:rPr>
          <w:rFonts w:ascii="Times New Roman" w:hAnsi="Times New Roman"/>
          <w:sz w:val="20"/>
        </w:rPr>
        <w:t xml:space="preserve">Payment of the principal of (and premium, if any) and [if applicable, insert  any such] interest on this Security will be made at the office or agency of the Company maintained for that purpose in </w:t>
      </w:r>
      <w:r>
        <w:rPr>
          <w:rFonts w:ascii="Times New Roman" w:hAnsi="Times New Roman"/>
          <w:sz w:val="20"/>
          <w:u w:val="single"/>
        </w:rPr>
        <w:t>                            </w:t>
      </w:r>
      <w:r>
        <w:rPr>
          <w:rFonts w:ascii="Times New Roman" w:hAnsi="Times New Roman"/>
          <w:sz w:val="20"/>
        </w:rPr>
        <w:t xml:space="preserve">,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spacing w:before="180" w:after="0"/>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Security shall not be entitled to any benefit under the Indenture or be valid or obligatory for any purpose. </w:t>
      </w:r>
    </w:p>
    <w:p>
      <w:pPr>
        <w:pStyle w:val="TextBody"/>
        <w:spacing w:before="180" w:after="0"/>
        <w:rPr>
          <w:rFonts w:ascii="Times New Roman" w:hAnsi="Times New Roman"/>
          <w:sz w:val="20"/>
        </w:rPr>
      </w:pPr>
      <w:r>
        <w:rPr>
          <w:rFonts w:ascii="Times New Roman" w:hAnsi="Times New Roman"/>
          <w:sz w:val="20"/>
        </w:rPr>
        <w:t xml:space="preserve">IN WITNESS WHEREOF, the Company has caused this instrument to be duly executed </w:t>
      </w:r>
      <w:r>
        <w:rPr>
          <w:rFonts w:ascii="Times New Roman" w:hAnsi="Times New Roman"/>
          <w:b/>
          <w:sz w:val="20"/>
        </w:rPr>
        <w:t>[</w:t>
      </w:r>
      <w:r>
        <w:rPr>
          <w:rFonts w:ascii="Times New Roman" w:hAnsi="Times New Roman"/>
          <w:sz w:val="20"/>
        </w:rPr>
        <w:t>under its corporate seal</w:t>
      </w:r>
      <w:r>
        <w:rPr>
          <w:rFonts w:ascii="Times New Roman" w:hAnsi="Times New Roman"/>
          <w:b/>
          <w:sz w:val="20"/>
        </w:rPr>
        <w:t>]</w:t>
      </w:r>
      <w:r>
        <w:rPr>
          <w:rFonts w:ascii="Times New Roman" w:hAnsi="Times New Roman"/>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922"/>
        <w:gridCol w:w="260"/>
        <w:gridCol w:w="3278"/>
        <w:gridCol w:w="124"/>
        <w:gridCol w:w="323"/>
        <w:gridCol w:w="124"/>
        <w:gridCol w:w="602"/>
        <w:gridCol w:w="179"/>
        <w:gridCol w:w="3393"/>
      </w:tblGrid>
      <w:tr>
        <w:trPr/>
        <w:tc>
          <w:tcPr>
            <w:tcW w:w="192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27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3393"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Dated: ____________________</w:t>
            </w:r>
          </w:p>
        </w:tc>
        <w:tc>
          <w:tcPr>
            <w:tcW w:w="124"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417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EZCORP, INC.</w:t>
            </w:r>
          </w:p>
        </w:tc>
      </w:tr>
      <w:tr>
        <w:trPr>
          <w:trHeight w:val="240" w:hRule="atLeast"/>
        </w:trPr>
        <w:tc>
          <w:tcPr>
            <w:tcW w:w="1922" w:type="dxa"/>
            <w:tcBorders/>
            <w:shd w:fill="auto" w:val="clear"/>
            <w:vAlign w:val="center"/>
          </w:tcPr>
          <w:p>
            <w:pPr>
              <w:pStyle w:val="TableContents"/>
              <w:spacing w:before="0" w:after="283"/>
              <w:rPr>
                <w:sz w:val="4"/>
                <w:szCs w:val="4"/>
              </w:rPr>
            </w:pPr>
            <w:r>
              <w:rPr>
                <w:sz w:val="4"/>
                <w:szCs w:val="4"/>
              </w:rPr>
            </w:r>
          </w:p>
        </w:tc>
        <w:tc>
          <w:tcPr>
            <w:tcW w:w="3538"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c>
          <w:tcPr>
            <w:tcW w:w="726" w:type="dxa"/>
            <w:gridSpan w:val="2"/>
            <w:tcBorders/>
            <w:shd w:fill="auto" w:val="clear"/>
            <w:vAlign w:val="center"/>
          </w:tcPr>
          <w:p>
            <w:pPr>
              <w:pStyle w:val="TableContents"/>
              <w:spacing w:before="0" w:after="283"/>
              <w:rPr>
                <w:sz w:val="4"/>
                <w:szCs w:val="4"/>
              </w:rPr>
            </w:pPr>
            <w:r>
              <w:rPr>
                <w:sz w:val="4"/>
                <w:szCs w:val="4"/>
              </w:rPr>
            </w:r>
          </w:p>
        </w:tc>
        <w:tc>
          <w:tcPr>
            <w:tcW w:w="3572" w:type="dxa"/>
            <w:gridSpan w:val="2"/>
            <w:tcBorders/>
            <w:shd w:fill="auto" w:val="clear"/>
            <w:vAlign w:val="center"/>
          </w:tcPr>
          <w:p>
            <w:pPr>
              <w:pStyle w:val="TableContents"/>
              <w:spacing w:before="0" w:after="283"/>
              <w:rPr>
                <w:sz w:val="4"/>
                <w:szCs w:val="4"/>
              </w:rPr>
            </w:pPr>
            <w:r>
              <w:rPr>
                <w:sz w:val="4"/>
                <w:szCs w:val="4"/>
              </w:rPr>
            </w:r>
          </w:p>
        </w:tc>
      </w:tr>
      <w:tr>
        <w:trPr/>
        <w:tc>
          <w:tcPr>
            <w:tcW w:w="1922" w:type="dxa"/>
            <w:tcBorders/>
            <w:shd w:fill="auto" w:val="clea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3278"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79" w:type="dxa"/>
            <w:tcBorders>
              <w:bottom w:val="single" w:sz="2" w:space="0" w:color="000000"/>
            </w:tcBorders>
            <w:shd w:fill="auto" w:val="clear"/>
            <w:tcMar>
              <w:bottom w:w="28" w:type="dxa"/>
            </w:tcMar>
            <w:vAlign w:val="bottom"/>
          </w:tcPr>
          <w:p>
            <w:pPr>
              <w:pStyle w:val="TableContents"/>
              <w:spacing w:before="0" w:after="283"/>
              <w:rPr/>
            </w:pPr>
            <w:r>
              <w:rPr/>
              <w:t> </w:t>
            </w:r>
          </w:p>
        </w:tc>
        <w:tc>
          <w:tcPr>
            <w:tcW w:w="3393" w:type="dxa"/>
            <w:tcBorders>
              <w:bottom w:val="single" w:sz="2" w:space="0" w:color="000000"/>
            </w:tcBorders>
            <w:shd w:fill="auto" w:val="clear"/>
            <w:tcMar>
              <w:bottom w:w="28" w:type="dxa"/>
            </w:tcMar>
          </w:tcPr>
          <w:p>
            <w:pPr>
              <w:pStyle w:val="TableContents"/>
              <w:spacing w:before="0" w:after="283"/>
              <w:rPr/>
            </w:pPr>
            <w:r>
              <w:rPr/>
              <w:t> </w:t>
            </w:r>
          </w:p>
        </w:tc>
      </w:tr>
      <w:tr>
        <w:trPr/>
        <w:tc>
          <w:tcPr>
            <w:tcW w:w="1922" w:type="dxa"/>
            <w:tcBorders/>
            <w:shd w:fill="auto" w:val="clea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3278"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pPr>
            <w:r>
              <w:rPr/>
              <w:t> </w:t>
            </w:r>
          </w:p>
        </w:tc>
        <w:tc>
          <w:tcPr>
            <w:tcW w:w="3393" w:type="dxa"/>
            <w:tcBorders/>
            <w:shd w:fill="auto" w:val="clear"/>
            <w:vAlign w:val="bottom"/>
          </w:tcPr>
          <w:p>
            <w:pPr>
              <w:pStyle w:val="TableContents"/>
              <w:spacing w:before="0" w:after="283"/>
              <w:rPr>
                <w:sz w:val="4"/>
                <w:szCs w:val="4"/>
              </w:rPr>
            </w:pPr>
            <w:r>
              <w:rPr>
                <w:sz w:val="4"/>
                <w:szCs w:val="4"/>
              </w:rPr>
            </w:r>
          </w:p>
        </w:tc>
      </w:tr>
      <w:tr>
        <w:trPr/>
        <w:tc>
          <w:tcPr>
            <w:tcW w:w="1922" w:type="dxa"/>
            <w:tcBorders/>
            <w:shd w:fill="auto" w:val="clear"/>
          </w:tcPr>
          <w:p>
            <w:pPr>
              <w:pStyle w:val="TableContents"/>
              <w:spacing w:before="0" w:after="283"/>
              <w:rPr>
                <w:rFonts w:ascii="Times New Roman" w:hAnsi="Times New Roman"/>
                <w:sz w:val="20"/>
              </w:rPr>
            </w:pPr>
            <w:r>
              <w:rPr>
                <w:rFonts w:ascii="Times New Roman" w:hAnsi="Times New Roman"/>
                <w:b/>
                <w:sz w:val="20"/>
              </w:rPr>
              <w:t>[</w:t>
            </w:r>
            <w:r>
              <w:rPr>
                <w:rFonts w:ascii="Times New Roman" w:hAnsi="Times New Roman"/>
                <w:sz w:val="20"/>
              </w:rPr>
              <w:t>Attest:</w:t>
            </w:r>
          </w:p>
        </w:tc>
        <w:tc>
          <w:tcPr>
            <w:tcW w:w="260" w:type="dxa"/>
            <w:tcBorders/>
            <w:shd w:fill="auto" w:val="clear"/>
            <w:vAlign w:val="bottom"/>
          </w:tcPr>
          <w:p>
            <w:pPr>
              <w:pStyle w:val="TableContents"/>
              <w:spacing w:before="0" w:after="283"/>
              <w:rPr/>
            </w:pPr>
            <w:r>
              <w:rPr/>
              <w:t> </w:t>
            </w:r>
          </w:p>
        </w:tc>
        <w:tc>
          <w:tcPr>
            <w:tcW w:w="3278"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pPr>
            <w:r>
              <w:rPr/>
              <w:t> </w:t>
            </w:r>
          </w:p>
        </w:tc>
        <w:tc>
          <w:tcPr>
            <w:tcW w:w="3393" w:type="dxa"/>
            <w:tcBorders/>
            <w:shd w:fill="auto" w:val="clear"/>
            <w:vAlign w:val="bottom"/>
          </w:tcPr>
          <w:p>
            <w:pPr>
              <w:pStyle w:val="TableContents"/>
              <w:spacing w:before="0" w:after="283"/>
              <w:rPr>
                <w:sz w:val="4"/>
                <w:szCs w:val="4"/>
              </w:rPr>
            </w:pPr>
            <w:r>
              <w:rPr>
                <w:sz w:val="4"/>
                <w:szCs w:val="4"/>
              </w:rPr>
            </w:r>
          </w:p>
        </w:tc>
      </w:tr>
      <w:tr>
        <w:trPr/>
        <w:tc>
          <w:tcPr>
            <w:tcW w:w="546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_____________________________________________</w:t>
            </w:r>
            <w:r>
              <w:rPr>
                <w:rFonts w:ascii="Times New Roman" w:hAnsi="Times New Roman"/>
                <w:b/>
                <w:sz w:val="20"/>
              </w:rPr>
              <w:t>]</w:t>
            </w:r>
          </w:p>
        </w:tc>
        <w:tc>
          <w:tcPr>
            <w:tcW w:w="124"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pPr>
            <w:r>
              <w:rPr/>
              <w:t> </w:t>
            </w:r>
          </w:p>
        </w:tc>
        <w:tc>
          <w:tcPr>
            <w:tcW w:w="3393"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SECTION 203. </w:t>
      </w:r>
      <w:r>
        <w:rPr>
          <w:rFonts w:ascii="Times New Roman" w:hAnsi="Times New Roman"/>
          <w:b/>
          <w:sz w:val="20"/>
          <w:u w:val="single"/>
        </w:rPr>
        <w:t>Form of Reverse of Security</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This Security is one of a duly authorized issue of securities of the Company (herein called the Securities), issued and to be issued in one or more series under an Indenture, dated as of </w:t>
      </w:r>
      <w:r>
        <w:rPr>
          <w:rFonts w:ascii="Times New Roman" w:hAnsi="Times New Roman"/>
          <w:sz w:val="20"/>
          <w:u w:val="single"/>
        </w:rPr>
        <w:t>                    </w:t>
      </w:r>
      <w:r>
        <w:rPr>
          <w:rFonts w:ascii="Times New Roman" w:hAnsi="Times New Roman"/>
          <w:sz w:val="20"/>
        </w:rPr>
        <w:t>, 20__ (herein called the Indenture, which term shall have the meaning assigned to it in such instrument), among the Company, the Subsidiary Guarantors named therein and [</w:t>
      </w:r>
      <w:r>
        <w:rPr>
          <w:rFonts w:ascii="Times New Roman" w:hAnsi="Times New Roman"/>
          <w:sz w:val="20"/>
          <w:u w:val="single"/>
        </w:rPr>
        <w:t>                                </w:t>
      </w:r>
      <w:r>
        <w:rPr>
          <w:rFonts w:ascii="Times New Roman" w:hAnsi="Times New Roman"/>
          <w:sz w:val="20"/>
        </w:rPr>
        <w:t>], as Trustee (herein called the Trustee, which term includes any successor trustee under the Indenture), and reference is hereby made to the Indenture for a statement of the respective rights, limitations of rights, duties and immunities thereunder of the Company, the Subsidiary Guarantors, the Trustee, the holders of Senior Debt and the Holders of the Securities and of the terms upon which the Securities are, and are to be, authenticated and delivered. This Security is one of the series designated on the face hereof [if applicable, insert  , limited in aggregate principal amount to $</w:t>
      </w:r>
      <w:r>
        <w:rPr>
          <w:rFonts w:ascii="Times New Roman" w:hAnsi="Times New Roman"/>
          <w:sz w:val="20"/>
          <w:u w:val="single"/>
        </w:rPr>
        <w:t>                    </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applicable, insert  The Securities of this series are subject to redemption upon not less than 30 nor more than 60 days notice by mail, [if applicable, insert  (1) on </w:t>
      </w:r>
      <w:r>
        <w:rPr>
          <w:rFonts w:ascii="Times New Roman" w:hAnsi="Times New Roman"/>
          <w:sz w:val="20"/>
          <w:u w:val="single"/>
        </w:rPr>
        <w:t>                    </w:t>
      </w:r>
      <w:r>
        <w:rPr>
          <w:rFonts w:ascii="Times New Roman" w:hAnsi="Times New Roman"/>
          <w:sz w:val="20"/>
        </w:rPr>
        <w:t xml:space="preserve"> in any year commencing with the year </w:t>
      </w:r>
      <w:r>
        <w:rPr>
          <w:rFonts w:ascii="Times New Roman" w:hAnsi="Times New Roman"/>
          <w:sz w:val="20"/>
          <w:u w:val="single"/>
        </w:rPr>
        <w:t>                    </w:t>
      </w:r>
      <w:r>
        <w:rPr>
          <w:rFonts w:ascii="Times New Roman" w:hAnsi="Times New Roman"/>
          <w:sz w:val="20"/>
        </w:rPr>
        <w:t xml:space="preserve"> and ending with the year </w:t>
      </w:r>
      <w:r>
        <w:rPr>
          <w:rFonts w:ascii="Times New Roman" w:hAnsi="Times New Roman"/>
          <w:sz w:val="20"/>
          <w:u w:val="single"/>
        </w:rPr>
        <w:t>                    </w:t>
      </w:r>
      <w:r>
        <w:rPr>
          <w:rFonts w:ascii="Times New Roman" w:hAnsi="Times New Roman"/>
          <w:sz w:val="20"/>
        </w:rPr>
        <w:t xml:space="preserve"> through operation of the sinking fund for this series at a Redemption Price equal to 100% of the principal amount, and (2)] at any time [if applicable, insert  on or after </w:t>
      </w:r>
      <w:r>
        <w:rPr>
          <w:rFonts w:ascii="Times New Roman" w:hAnsi="Times New Roman"/>
          <w:sz w:val="20"/>
          <w:u w:val="single"/>
        </w:rPr>
        <w:t>                    </w:t>
      </w:r>
      <w:r>
        <w:rPr>
          <w:rFonts w:ascii="Times New Roman" w:hAnsi="Times New Roman"/>
          <w:sz w:val="20"/>
        </w:rPr>
        <w:t xml:space="preserve">, 20__], as a whole or in part, at the election of the Company, at the following Redemption Prices (expressed as percentages of the principal amount): If redeemed [if applicable, insert  on or before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and if redeemed] during the 12-month period beginning </w:t>
      </w:r>
      <w:r>
        <w:rPr>
          <w:rFonts w:ascii="Times New Roman" w:hAnsi="Times New Roman"/>
          <w:sz w:val="20"/>
          <w:u w:val="single"/>
        </w:rPr>
        <w:t>                        </w:t>
      </w:r>
      <w:r>
        <w:rPr>
          <w:rFonts w:ascii="Times New Roman" w:hAnsi="Times New Roman"/>
          <w:sz w:val="20"/>
        </w:rPr>
        <w:t xml:space="preserve"> of the years indicated,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rPr/>
      </w:pPr>
      <w:r>
        <w:rPr/>
      </w:r>
    </w:p>
    <w:p>
      <w:pPr>
        <w:pStyle w:val="TextBody"/>
        <w:rPr/>
      </w:pPr>
      <w:r>
        <w:rPr/>
        <w:t> </w:t>
      </w:r>
    </w:p>
    <w:tbl>
      <w:tblPr>
        <w:tblW w:w="5000" w:type="pct"/>
        <w:jc w:val="center"/>
        <w:tblInd w:w="0" w:type="dxa"/>
        <w:tblCellMar>
          <w:top w:w="0" w:type="dxa"/>
          <w:left w:w="0" w:type="dxa"/>
          <w:bottom w:w="0" w:type="dxa"/>
          <w:right w:w="0" w:type="dxa"/>
        </w:tblCellMar>
      </w:tblPr>
      <w:tblGrid>
        <w:gridCol w:w="2733"/>
        <w:gridCol w:w="112"/>
        <w:gridCol w:w="2443"/>
        <w:gridCol w:w="111"/>
        <w:gridCol w:w="2533"/>
        <w:gridCol w:w="125"/>
        <w:gridCol w:w="2148"/>
      </w:tblGrid>
      <w:tr>
        <w:trPr/>
        <w:tc>
          <w:tcPr>
            <w:tcW w:w="273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253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48" w:type="dxa"/>
            <w:tcBorders/>
            <w:shd w:fill="auto" w:val="clear"/>
            <w:vAlign w:val="center"/>
          </w:tcPr>
          <w:p>
            <w:pPr>
              <w:pStyle w:val="TableContents"/>
              <w:spacing w:before="0" w:after="283"/>
              <w:rPr>
                <w:sz w:val="4"/>
                <w:szCs w:val="4"/>
              </w:rPr>
            </w:pPr>
            <w:r>
              <w:rPr>
                <w:sz w:val="4"/>
                <w:szCs w:val="4"/>
              </w:rPr>
            </w:r>
          </w:p>
        </w:tc>
      </w:tr>
      <w:tr>
        <w:trPr/>
        <w:tc>
          <w:tcPr>
            <w:tcW w:w="5288" w:type="dxa"/>
            <w:gridSpan w:val="3"/>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Redemption</w:t>
            </w:r>
          </w:p>
        </w:tc>
        <w:tc>
          <w:tcPr>
            <w:tcW w:w="111" w:type="dxa"/>
            <w:tcBorders/>
            <w:shd w:fill="auto" w:val="clear"/>
            <w:vAlign w:val="bottom"/>
          </w:tcPr>
          <w:p>
            <w:pPr>
              <w:pStyle w:val="TableContents"/>
              <w:spacing w:before="0" w:after="283"/>
              <w:rPr/>
            </w:pPr>
            <w:r>
              <w:rPr/>
              <w:t> </w:t>
            </w:r>
          </w:p>
        </w:tc>
        <w:tc>
          <w:tcPr>
            <w:tcW w:w="4806" w:type="dxa"/>
            <w:gridSpan w:val="3"/>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Redemption</w:t>
            </w:r>
          </w:p>
        </w:tc>
      </w:tr>
      <w:tr>
        <w:trPr/>
        <w:tc>
          <w:tcPr>
            <w:tcW w:w="2733"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Year</w:t>
            </w:r>
          </w:p>
        </w:tc>
        <w:tc>
          <w:tcPr>
            <w:tcW w:w="112" w:type="dxa"/>
            <w:tcBorders/>
            <w:shd w:fill="auto" w:val="clear"/>
            <w:vAlign w:val="bottom"/>
          </w:tcPr>
          <w:p>
            <w:pPr>
              <w:pStyle w:val="TableContents"/>
              <w:spacing w:before="0" w:after="283"/>
              <w:rPr/>
            </w:pPr>
            <w:r>
              <w:rPr/>
              <w:t> </w:t>
            </w:r>
          </w:p>
        </w:tc>
        <w:tc>
          <w:tcPr>
            <w:tcW w:w="2443"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Price</w:t>
            </w:r>
          </w:p>
        </w:tc>
        <w:tc>
          <w:tcPr>
            <w:tcW w:w="111" w:type="dxa"/>
            <w:tcBorders/>
            <w:shd w:fill="auto" w:val="clear"/>
            <w:vAlign w:val="bottom"/>
          </w:tcPr>
          <w:p>
            <w:pPr>
              <w:pStyle w:val="TableContents"/>
              <w:spacing w:before="0" w:after="283"/>
              <w:rPr/>
            </w:pPr>
            <w:r>
              <w:rPr/>
              <w:t> </w:t>
            </w:r>
          </w:p>
        </w:tc>
        <w:tc>
          <w:tcPr>
            <w:tcW w:w="2533"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Year</w:t>
            </w:r>
          </w:p>
        </w:tc>
        <w:tc>
          <w:tcPr>
            <w:tcW w:w="125" w:type="dxa"/>
            <w:tcBorders/>
            <w:shd w:fill="auto" w:val="clear"/>
            <w:vAlign w:val="bottom"/>
          </w:tcPr>
          <w:p>
            <w:pPr>
              <w:pStyle w:val="TableContents"/>
              <w:spacing w:before="0" w:after="283"/>
              <w:rPr/>
            </w:pPr>
            <w:r>
              <w:rPr/>
              <w:t>  </w:t>
            </w:r>
          </w:p>
        </w:tc>
        <w:tc>
          <w:tcPr>
            <w:tcW w:w="2148"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Price</w:t>
            </w:r>
          </w:p>
        </w:tc>
      </w:tr>
    </w:tbl>
    <w:p>
      <w:pPr>
        <w:pStyle w:val="TextBody"/>
        <w:spacing w:before="180" w:after="0"/>
        <w:rPr>
          <w:rFonts w:ascii="Times New Roman" w:hAnsi="Times New Roman"/>
          <w:sz w:val="20"/>
        </w:rPr>
      </w:pPr>
      <w:r>
        <w:rPr>
          <w:rFonts w:ascii="Times New Roman" w:hAnsi="Times New Roman"/>
          <w:sz w:val="20"/>
        </w:rPr>
        <w:t xml:space="preserve">and thereafter at a Redemption Price equal to </w:t>
      </w:r>
      <w:r>
        <w:rPr>
          <w:rFonts w:ascii="Times New Roman" w:hAnsi="Times New Roman"/>
          <w:sz w:val="20"/>
          <w:u w:val="single"/>
        </w:rPr>
        <w:t>            </w:t>
      </w:r>
      <w:r>
        <w:rPr>
          <w:rFonts w:ascii="Times New Roman" w:hAnsi="Times New Roman"/>
          <w:sz w:val="20"/>
        </w:rPr>
        <w:t xml:space="preserve">% of the principal amount, together in the case of any such redemption [if applicable, insert 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 </w:t>
      </w:r>
    </w:p>
    <w:p>
      <w:pPr>
        <w:pStyle w:val="TextBody"/>
        <w:spacing w:before="180" w:after="0"/>
        <w:rPr>
          <w:rFonts w:ascii="Times New Roman" w:hAnsi="Times New Roman"/>
          <w:sz w:val="20"/>
        </w:rPr>
      </w:pPr>
      <w:r>
        <w:rPr>
          <w:rFonts w:ascii="Times New Roman" w:hAnsi="Times New Roman"/>
          <w:sz w:val="20"/>
        </w:rPr>
        <w:t xml:space="preserve">[If applicable, insert  The Securities of this series are subject to redemption upon not less than 30 nor more than 60 days notice by mail, (1) on </w:t>
      </w:r>
      <w:r>
        <w:rPr>
          <w:rFonts w:ascii="Times New Roman" w:hAnsi="Times New Roman"/>
          <w:sz w:val="20"/>
          <w:u w:val="single"/>
        </w:rPr>
        <w:t>                            </w:t>
      </w:r>
      <w:r>
        <w:rPr>
          <w:rFonts w:ascii="Times New Roman" w:hAnsi="Times New Roman"/>
          <w:sz w:val="20"/>
        </w:rPr>
        <w:t xml:space="preserve"> in any year commencing with the year </w:t>
      </w:r>
      <w:r>
        <w:rPr>
          <w:rFonts w:ascii="Times New Roman" w:hAnsi="Times New Roman"/>
          <w:sz w:val="20"/>
          <w:u w:val="single"/>
        </w:rPr>
        <w:t>            </w:t>
      </w:r>
      <w:r>
        <w:rPr>
          <w:rFonts w:ascii="Times New Roman" w:hAnsi="Times New Roman"/>
          <w:sz w:val="20"/>
        </w:rPr>
        <w:t xml:space="preserve"> and ending with the year </w:t>
      </w:r>
      <w:r>
        <w:rPr>
          <w:rFonts w:ascii="Times New Roman" w:hAnsi="Times New Roman"/>
          <w:sz w:val="20"/>
          <w:u w:val="single"/>
        </w:rPr>
        <w:t>                </w:t>
      </w:r>
      <w:r>
        <w:rPr>
          <w:rFonts w:ascii="Times New Roman" w:hAnsi="Times New Roman"/>
          <w:sz w:val="20"/>
        </w:rPr>
        <w:t xml:space="preserve"> through operation of the sinking fund for this series at the Redemption Prices for redemption through operation of the sinking fund (expressed as percentages of the principal amount) set forth in the table below, and (2) at any time [if applicable, insert  on or after </w:t>
      </w:r>
      <w:r>
        <w:rPr>
          <w:rFonts w:ascii="Times New Roman" w:hAnsi="Times New Roman"/>
          <w:sz w:val="20"/>
          <w:u w:val="single"/>
        </w:rPr>
        <w:t>                            </w:t>
      </w:r>
      <w:r>
        <w:rPr>
          <w:rFonts w:ascii="Times New Roman" w:hAnsi="Times New Roman"/>
          <w:sz w:val="20"/>
        </w:rPr>
        <w:t xml:space="preserve">], as a whole or in part, at the election of the Company, at the Redemption Prices for redemption otherwise than through operation of the sinking fund (expressed as percentages of the principal amount) set forth in the table below: If redeemed during the 12-month period beginning </w:t>
      </w:r>
      <w:r>
        <w:rPr>
          <w:rFonts w:ascii="Times New Roman" w:hAnsi="Times New Roman"/>
          <w:sz w:val="20"/>
          <w:u w:val="single"/>
        </w:rPr>
        <w:t>                            </w:t>
      </w:r>
      <w:r>
        <w:rPr>
          <w:rFonts w:ascii="Times New Roman" w:hAnsi="Times New Roman"/>
          <w:sz w:val="20"/>
        </w:rPr>
        <w:t xml:space="preserve"> of the years indicated,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Year</w:t>
            </w:r>
          </w:p>
        </w:tc>
        <w:tc>
          <w:tcPr>
            <w:tcW w:w="101" w:type="dxa"/>
            <w:tcBorders/>
            <w:shd w:fill="auto" w:val="clear"/>
            <w:vAlign w:val="bottom"/>
          </w:tcPr>
          <w:p>
            <w:pPr>
              <w:pStyle w:val="TableContents"/>
              <w:spacing w:before="0" w:after="283"/>
              <w:rPr/>
            </w:pPr>
            <w:r>
              <w:rPr/>
              <w:t> </w:t>
            </w:r>
          </w:p>
        </w:tc>
        <w:tc>
          <w:tcPr>
            <w:tcW w:w="3266"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Redemption Price For Redemption</w:t>
            </w:r>
          </w:p>
          <w:p>
            <w:pPr>
              <w:pStyle w:val="TableContents"/>
              <w:spacing w:before="0" w:after="0"/>
              <w:jc w:val="center"/>
              <w:rPr>
                <w:rFonts w:ascii="Times New Roman" w:hAnsi="Times New Roman"/>
                <w:b/>
                <w:sz w:val="14"/>
              </w:rPr>
            </w:pPr>
            <w:r>
              <w:rPr>
                <w:rFonts w:ascii="Times New Roman" w:hAnsi="Times New Roman"/>
                <w:b/>
                <w:sz w:val="14"/>
              </w:rPr>
              <w:t>Through Operation of the Sinking</w:t>
            </w:r>
          </w:p>
          <w:p>
            <w:pPr>
              <w:pStyle w:val="TableContents"/>
              <w:spacing w:before="0" w:after="15"/>
              <w:jc w:val="center"/>
              <w:rPr>
                <w:rFonts w:ascii="Times New Roman" w:hAnsi="Times New Roman"/>
                <w:b/>
                <w:sz w:val="14"/>
              </w:rPr>
            </w:pPr>
            <w:r>
              <w:rPr>
                <w:rFonts w:ascii="Times New Roman" w:hAnsi="Times New Roman"/>
                <w:b/>
                <w:sz w:val="14"/>
              </w:rPr>
              <w:t>Fund</w:t>
            </w:r>
          </w:p>
        </w:tc>
        <w:tc>
          <w:tcPr>
            <w:tcW w:w="101" w:type="dxa"/>
            <w:tcBorders/>
            <w:shd w:fill="auto" w:val="clear"/>
            <w:vAlign w:val="bottom"/>
          </w:tcPr>
          <w:p>
            <w:pPr>
              <w:pStyle w:val="TableContents"/>
              <w:spacing w:before="0" w:after="283"/>
              <w:rPr/>
            </w:pPr>
            <w:r>
              <w:rPr/>
              <w:t> </w:t>
            </w:r>
          </w:p>
        </w:tc>
        <w:tc>
          <w:tcPr>
            <w:tcW w:w="3267"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Redemption Price For Redemption</w:t>
            </w:r>
          </w:p>
          <w:p>
            <w:pPr>
              <w:pStyle w:val="TableContents"/>
              <w:spacing w:before="0" w:after="0"/>
              <w:jc w:val="center"/>
              <w:rPr>
                <w:rFonts w:ascii="Times New Roman" w:hAnsi="Times New Roman"/>
                <w:b/>
                <w:sz w:val="14"/>
              </w:rPr>
            </w:pPr>
            <w:r>
              <w:rPr>
                <w:rFonts w:ascii="Times New Roman" w:hAnsi="Times New Roman"/>
                <w:b/>
                <w:sz w:val="14"/>
              </w:rPr>
              <w:t>Otherwise Than Through Operation</w:t>
            </w:r>
          </w:p>
          <w:p>
            <w:pPr>
              <w:pStyle w:val="TableContents"/>
              <w:spacing w:before="0" w:after="15"/>
              <w:jc w:val="center"/>
              <w:rPr>
                <w:rFonts w:ascii="Times New Roman" w:hAnsi="Times New Roman"/>
                <w:b/>
                <w:sz w:val="14"/>
              </w:rPr>
            </w:pPr>
            <w:r>
              <w:rPr>
                <w:rFonts w:ascii="Times New Roman" w:hAnsi="Times New Roman"/>
                <w:b/>
                <w:sz w:val="14"/>
              </w:rPr>
              <w:t>of the Sinking Fund</w:t>
            </w:r>
          </w:p>
        </w:tc>
      </w:tr>
    </w:tbl>
    <w:p>
      <w:pPr>
        <w:pStyle w:val="TextBody"/>
        <w:spacing w:before="180" w:after="0"/>
        <w:rPr>
          <w:rFonts w:ascii="Times New Roman" w:hAnsi="Times New Roman"/>
          <w:sz w:val="20"/>
        </w:rPr>
      </w:pPr>
      <w:r>
        <w:rPr>
          <w:rFonts w:ascii="Times New Roman" w:hAnsi="Times New Roman"/>
          <w:sz w:val="20"/>
        </w:rPr>
        <w:t xml:space="preserve">and thereafter at a Redemption Price equal to </w:t>
      </w:r>
      <w:r>
        <w:rPr>
          <w:rFonts w:ascii="Times New Roman" w:hAnsi="Times New Roman"/>
          <w:sz w:val="20"/>
          <w:u w:val="single"/>
        </w:rPr>
        <w:t>            </w:t>
      </w:r>
      <w:r>
        <w:rPr>
          <w:rFonts w:ascii="Times New Roman" w:hAnsi="Times New Roman"/>
          <w:sz w:val="20"/>
        </w:rPr>
        <w:t xml:space="preserve">%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 </w:t>
      </w:r>
    </w:p>
    <w:p>
      <w:pPr>
        <w:pStyle w:val="TextBody"/>
        <w:spacing w:before="180" w:after="0"/>
        <w:rPr>
          <w:rFonts w:ascii="Times New Roman" w:hAnsi="Times New Roman"/>
          <w:sz w:val="20"/>
        </w:rPr>
      </w:pPr>
      <w:r>
        <w:rPr>
          <w:rFonts w:ascii="Times New Roman" w:hAnsi="Times New Roman"/>
          <w:sz w:val="20"/>
        </w:rPr>
        <w:t xml:space="preserve">[If applicable, insert  Notwithstanding the foregoing, the Company may not, prior to </w:t>
      </w:r>
      <w:r>
        <w:rPr>
          <w:rFonts w:ascii="Times New Roman" w:hAnsi="Times New Roman"/>
          <w:sz w:val="20"/>
          <w:u w:val="single"/>
        </w:rPr>
        <w:t>                            </w:t>
      </w:r>
      <w:r>
        <w:rPr>
          <w:rFonts w:ascii="Times New Roman" w:hAnsi="Times New Roman"/>
          <w:sz w:val="20"/>
        </w:rPr>
        <w:t xml:space="preserve">, redeem any Securities of this series as contemplated 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w:t>
      </w:r>
      <w:r>
        <w:rPr>
          <w:rFonts w:ascii="Times New Roman" w:hAnsi="Times New Roman"/>
          <w:sz w:val="20"/>
          <w:u w:val="single"/>
        </w:rPr>
        <w:t>            </w:t>
      </w:r>
      <w:r>
        <w:rPr>
          <w:rFonts w:ascii="Times New Roman" w:hAnsi="Times New Roman"/>
          <w:sz w:val="20"/>
        </w:rPr>
        <w:t xml:space="preserve">% per annum.] </w:t>
      </w:r>
    </w:p>
    <w:p>
      <w:pPr>
        <w:pStyle w:val="TextBody"/>
        <w:spacing w:before="180" w:after="0"/>
        <w:rPr>
          <w:rFonts w:ascii="Times New Roman" w:hAnsi="Times New Roman"/>
          <w:sz w:val="20"/>
        </w:rPr>
      </w:pPr>
      <w:r>
        <w:rPr>
          <w:rFonts w:ascii="Times New Roman" w:hAnsi="Times New Roman"/>
          <w:sz w:val="20"/>
        </w:rPr>
        <w:t xml:space="preserve">[If applicable, insert  The sinking fund for this series provides for the redemption on </w:t>
      </w:r>
      <w:r>
        <w:rPr>
          <w:rFonts w:ascii="Times New Roman" w:hAnsi="Times New Roman"/>
          <w:sz w:val="20"/>
          <w:u w:val="single"/>
        </w:rPr>
        <w:t>                            </w:t>
      </w:r>
      <w:r>
        <w:rPr>
          <w:rFonts w:ascii="Times New Roman" w:hAnsi="Times New Roman"/>
          <w:sz w:val="20"/>
        </w:rPr>
        <w:t xml:space="preserve"> in each year beginning with the year </w:t>
      </w:r>
      <w:r>
        <w:rPr>
          <w:rFonts w:ascii="Times New Roman" w:hAnsi="Times New Roman"/>
          <w:sz w:val="20"/>
          <w:u w:val="single"/>
        </w:rPr>
        <w:t>                    </w:t>
      </w:r>
      <w:r>
        <w:rPr>
          <w:rFonts w:ascii="Times New Roman" w:hAnsi="Times New Roman"/>
          <w:sz w:val="20"/>
        </w:rPr>
        <w:t xml:space="preserve"> and ending with the year </w:t>
      </w:r>
      <w:r>
        <w:rPr>
          <w:rFonts w:ascii="Times New Roman" w:hAnsi="Times New Roman"/>
          <w:sz w:val="20"/>
          <w:u w:val="single"/>
        </w:rPr>
        <w:t>                    </w:t>
      </w:r>
      <w:r>
        <w:rPr>
          <w:rFonts w:ascii="Times New Roman" w:hAnsi="Times New Roman"/>
          <w:sz w:val="20"/>
        </w:rPr>
        <w:t xml:space="preserve"> of [if applicable, insert  not less than $</w:t>
      </w:r>
      <w:r>
        <w:rPr>
          <w:rFonts w:ascii="Times New Roman" w:hAnsi="Times New Roman"/>
          <w:sz w:val="20"/>
          <w:u w:val="single"/>
        </w:rPr>
        <w:t>                </w:t>
      </w:r>
      <w:r>
        <w:rPr>
          <w:rFonts w:ascii="Times New Roman" w:hAnsi="Times New Roman"/>
          <w:sz w:val="20"/>
        </w:rPr>
        <w:t xml:space="preserve"> (mandatory sinking fund) and not more than] $ </w:t>
      </w:r>
      <w:r>
        <w:rPr>
          <w:rFonts w:ascii="Times New Roman" w:hAnsi="Times New Roman"/>
          <w:sz w:val="20"/>
          <w:u w:val="single"/>
        </w:rPr>
        <w:t>                </w:t>
      </w:r>
      <w:r>
        <w:rPr>
          <w:rFonts w:ascii="Times New Roman" w:hAnsi="Times New Roman"/>
          <w:sz w:val="20"/>
        </w:rPr>
        <w:t xml:space="preserve"> aggregate principal amount of Securities of this series. Securities of this series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acquired or redeemed by the Company otherwise than through [if applicable, insert  mandatory] sinking fund payments may be credited against subsequent [if applicable, insert  mandatory] sinking fund payments otherwise required to be made [if applicable, insert  , in the inverse order in which they become due].] </w:t>
      </w:r>
    </w:p>
    <w:p>
      <w:pPr>
        <w:pStyle w:val="TextBody"/>
        <w:spacing w:before="180" w:after="0"/>
        <w:rPr>
          <w:rFonts w:ascii="Times New Roman" w:hAnsi="Times New Roman"/>
          <w:sz w:val="20"/>
        </w:rPr>
      </w:pPr>
      <w:r>
        <w:rPr>
          <w:rFonts w:ascii="Times New Roman" w:hAnsi="Times New Roman"/>
          <w:sz w:val="20"/>
        </w:rPr>
        <w:t xml:space="preserve">[If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 </w:t>
      </w:r>
    </w:p>
    <w:p>
      <w:pPr>
        <w:pStyle w:val="TextBody"/>
        <w:spacing w:before="180" w:after="0"/>
        <w:rPr>
          <w:rFonts w:ascii="Times New Roman" w:hAnsi="Times New Roman"/>
          <w:sz w:val="20"/>
        </w:rPr>
      </w:pPr>
      <w:r>
        <w:rPr>
          <w:rFonts w:ascii="Times New Roman" w:hAnsi="Times New Roman"/>
          <w:sz w:val="20"/>
        </w:rPr>
        <w:t>[If the Security is subject to conversion, insert  Subject to the provisions of the Indenture, the Holder has the right to convert the principal amount of this Security into fully paid and nonassessable shares of Common Stock of the Company at the initial conversion price per share of Common Stock of $</w:t>
      </w:r>
      <w:r>
        <w:rPr>
          <w:rFonts w:ascii="Times New Roman" w:hAnsi="Times New Roman"/>
          <w:sz w:val="20"/>
          <w:u w:val="single"/>
        </w:rPr>
        <w:t>                </w:t>
      </w:r>
      <w:r>
        <w:rPr>
          <w:rFonts w:ascii="Times New Roman" w:hAnsi="Times New Roman"/>
          <w:sz w:val="20"/>
        </w:rPr>
        <w:t xml:space="preserve"> (or $</w:t>
      </w:r>
      <w:r>
        <w:rPr>
          <w:rFonts w:ascii="Times New Roman" w:hAnsi="Times New Roman"/>
          <w:sz w:val="20"/>
          <w:u w:val="single"/>
        </w:rPr>
        <w:t>                </w:t>
      </w:r>
      <w:r>
        <w:rPr>
          <w:rFonts w:ascii="Times New Roman" w:hAnsi="Times New Roman"/>
          <w:sz w:val="20"/>
        </w:rPr>
        <w:t xml:space="preserve"> in principal amount of Securities for each such share of Common Stock), or at the adjusted conversion price then in effect, if adjustment has been made as provided in the Indenture, upon surrender of the Security to the Conversion Agent, together with a fully executed notice in substantially the form attached hereto and, if required by the Indenture, an amount equal to accrued interest payable on this Security.] </w:t>
      </w:r>
    </w:p>
    <w:p>
      <w:pPr>
        <w:pStyle w:val="TextBody"/>
        <w:spacing w:before="180" w:after="0"/>
        <w:rPr>
          <w:rFonts w:ascii="Times New Roman" w:hAnsi="Times New Roman"/>
          <w:sz w:val="20"/>
        </w:rPr>
      </w:pPr>
      <w:r>
        <w:rPr>
          <w:rFonts w:ascii="Times New Roman" w:hAnsi="Times New Roman"/>
          <w:sz w:val="20"/>
        </w:rPr>
        <w:t xml:space="preserve">The indebtedness evidenced by this Security is, to the extent provided in the Indenture, subordinate and subject in right of payment to the prior payment in full of all Senior Debt of the Company, and this Security is issued subject to the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 </w:t>
      </w:r>
    </w:p>
    <w:p>
      <w:pPr>
        <w:pStyle w:val="TextBody"/>
        <w:spacing w:before="180" w:after="0"/>
        <w:rPr>
          <w:rFonts w:ascii="Times New Roman" w:hAnsi="Times New Roman"/>
          <w:sz w:val="20"/>
        </w:rPr>
      </w:pPr>
      <w:r>
        <w:rPr>
          <w:rFonts w:ascii="Times New Roman" w:hAnsi="Times New Roman"/>
          <w:sz w:val="20"/>
        </w:rPr>
        <w:t xml:space="preserve">[If applicable, insert  As provided in the Indenture and subject to certain limitations therein set forth, the obligations of the Company under this Security are guaranteed on a senior subordinated basis pursuant to the Indenture as indicated in the notation of Subsidiary Guarantee endorsed hereon. The Indenture provides that a Subsidiary Guarantor shall be released from its Subsidiary Guarantee upon compliance with certain conditions.] </w:t>
      </w:r>
    </w:p>
    <w:p>
      <w:pPr>
        <w:pStyle w:val="TextBody"/>
        <w:spacing w:before="180" w:after="0"/>
        <w:rPr>
          <w:rFonts w:ascii="Times New Roman" w:hAnsi="Times New Roman"/>
          <w:sz w:val="20"/>
        </w:rPr>
      </w:pPr>
      <w:r>
        <w:rPr>
          <w:rFonts w:ascii="Times New Roman" w:hAnsi="Times New Roman"/>
          <w:sz w:val="20"/>
        </w:rPr>
        <w:t xml:space="preserve">[If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 </w:t>
      </w:r>
    </w:p>
    <w:p>
      <w:pPr>
        <w:pStyle w:val="TextBody"/>
        <w:spacing w:before="180" w:after="0"/>
        <w:rPr>
          <w:rFonts w:ascii="Times New Roman" w:hAnsi="Times New Roman"/>
          <w:sz w:val="20"/>
        </w:rPr>
      </w:pPr>
      <w:r>
        <w:rPr>
          <w:rFonts w:ascii="Times New Roman" w:hAnsi="Times New Roman"/>
          <w:sz w:val="20"/>
        </w:rPr>
        <w:t xml:space="preserve">[If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 </w:t>
      </w:r>
    </w:p>
    <w:p>
      <w:pPr>
        <w:pStyle w:val="TextBody"/>
        <w:spacing w:before="180" w:after="0"/>
        <w:rPr>
          <w:rFonts w:ascii="Times New Roman" w:hAnsi="Times New Roman"/>
          <w:sz w:val="20"/>
        </w:rPr>
      </w:pPr>
      <w:r>
        <w:rPr>
          <w:rFonts w:ascii="Times New Roman" w:hAnsi="Times New Roman"/>
          <w:sz w:val="20"/>
        </w:rPr>
        <w:t xml:space="preserve">[If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 </w:t>
      </w:r>
    </w:p>
    <w:p>
      <w:pPr>
        <w:pStyle w:val="TextBody"/>
        <w:spacing w:before="180" w:after="0"/>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spacing w:before="180" w:after="0"/>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security or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[if applicable, insert  or the right to convert this Security in accordance with its terms]. </w:t>
      </w:r>
    </w:p>
    <w:p>
      <w:pPr>
        <w:pStyle w:val="TextBody"/>
        <w:spacing w:before="180" w:after="0"/>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[insert if applicable  and to convert such Security in accordance with its terms]. </w:t>
      </w:r>
    </w:p>
    <w:p>
      <w:pPr>
        <w:pStyle w:val="TextBody"/>
        <w:spacing w:before="180" w:after="0"/>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Securities of this series are issuable only in registered form without coupons in denominations of $ </w:t>
      </w:r>
      <w:r>
        <w:rPr>
          <w:rFonts w:ascii="Times New Roman" w:hAnsi="Times New Roman"/>
          <w:sz w:val="20"/>
          <w:u w:val="single"/>
        </w:rPr>
        <w:t>                </w:t>
      </w:r>
      <w:r>
        <w:rPr>
          <w:rFonts w:ascii="Times New Roman" w:hAnsi="Times New Roman"/>
          <w:sz w:val="20"/>
        </w:rPr>
        <w:t xml:space="preserve">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spacing w:before="180" w:after="0"/>
        <w:rPr>
          <w:rFonts w:ascii="Times New Roman" w:hAnsi="Times New Roman"/>
          <w:sz w:val="20"/>
        </w:rPr>
      </w:pPr>
      <w:r>
        <w:rPr>
          <w:rFonts w:ascii="Times New Roman" w:hAnsi="Times New Roman"/>
          <w:sz w:val="20"/>
        </w:rPr>
        <w:t xml:space="preserve">No service charge shall be made for any such registration of transfer or exchange, but the Company may require payment of a sum sufficient to cover any tax or other governmental charge payable in connection therewith. </w:t>
      </w:r>
    </w:p>
    <w:p>
      <w:pPr>
        <w:pStyle w:val="TextBody"/>
        <w:spacing w:before="180" w:after="0"/>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w:t>
      </w:r>
    </w:p>
    <w:p>
      <w:pPr>
        <w:pStyle w:val="TextBody"/>
        <w:spacing w:before="180" w:after="0"/>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p>
    <w:p>
      <w:pPr>
        <w:pStyle w:val="TextBody"/>
        <w:spacing w:before="180" w:after="0"/>
        <w:rPr>
          <w:rFonts w:ascii="Times New Roman" w:hAnsi="Times New Roman"/>
          <w:sz w:val="20"/>
        </w:rPr>
      </w:pPr>
      <w:r>
        <w:rPr>
          <w:rFonts w:ascii="Times New Roman" w:hAnsi="Times New Roman"/>
          <w:sz w:val="20"/>
        </w:rPr>
        <w:t xml:space="preserve">SECTION 204. </w:t>
      </w:r>
      <w:r>
        <w:rPr>
          <w:rFonts w:ascii="Times New Roman" w:hAnsi="Times New Roman"/>
          <w:b/>
          <w:sz w:val="20"/>
          <w:u w:val="single"/>
        </w:rPr>
        <w:t>Form of Notation of Subsidiary Guarantee</w:t>
      </w:r>
      <w:r>
        <w:rPr>
          <w:rFonts w:ascii="Times New Roman" w:hAnsi="Times New Roman"/>
          <w:b/>
          <w:sz w:val="20"/>
        </w:rPr>
        <w:t>.</w:t>
      </w:r>
      <w:r>
        <w:rPr>
          <w:rFonts w:ascii="Times New Roman" w:hAnsi="Times New Roman"/>
          <w:sz w:val="20"/>
        </w:rPr>
        <w:t xml:space="preserve"> </w:t>
      </w:r>
    </w:p>
    <w:p>
      <w:pPr>
        <w:pStyle w:val="TextBody"/>
        <w:spacing w:before="270" w:after="0"/>
        <w:jc w:val="center"/>
        <w:rPr>
          <w:rFonts w:ascii="Times New Roman" w:hAnsi="Times New Roman"/>
          <w:sz w:val="20"/>
          <w:u w:val="single"/>
        </w:rPr>
      </w:pPr>
      <w:r>
        <w:rPr>
          <w:rFonts w:ascii="Times New Roman" w:hAnsi="Times New Roman"/>
          <w:sz w:val="20"/>
          <w:u w:val="single"/>
        </w:rPr>
        <w:t xml:space="preserve">NOTATION OF SUBSIDIARY GUARANTEE </w:t>
      </w:r>
    </w:p>
    <w:p>
      <w:pPr>
        <w:pStyle w:val="TextBody"/>
        <w:spacing w:before="180" w:after="0"/>
        <w:rPr>
          <w:rFonts w:ascii="Times New Roman" w:hAnsi="Times New Roman"/>
          <w:sz w:val="20"/>
        </w:rPr>
      </w:pPr>
      <w:r>
        <w:rPr>
          <w:rFonts w:ascii="Times New Roman" w:hAnsi="Times New Roman"/>
          <w:sz w:val="20"/>
        </w:rPr>
        <w:t xml:space="preserve">Each of the Subsidiary Guarantors (which term includes any successor Person under the Indenture) has fully, unconditionally and absolutely guaranteed, to the extent set forth in the Indenture and subject to the provisions in the Indenture, the due and punctual payment of the principal of, and premium, if any, and interest on the Securities and all other amounts due and payable under the Indenture and the Securities by the Company. </w:t>
      </w:r>
    </w:p>
    <w:p>
      <w:pPr>
        <w:pStyle w:val="TextBody"/>
        <w:spacing w:before="180" w:after="0"/>
        <w:rPr>
          <w:rFonts w:ascii="Times New Roman" w:hAnsi="Times New Roman"/>
          <w:sz w:val="20"/>
        </w:rPr>
      </w:pPr>
      <w:r>
        <w:rPr>
          <w:rFonts w:ascii="Times New Roman" w:hAnsi="Times New Roman"/>
          <w:sz w:val="20"/>
        </w:rPr>
        <w:t xml:space="preserve">The obligations of the Subsidiary Guarantors to the Holders of Securities and to the Trustee pursuant to the Subsidiary Guarantee and the Indenture are expressly set forth in Article Thirteen of the Indenture and reference is hereby made to the Indenture for the precise terms of the Subsidiary Guarantee.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899"/>
        <w:gridCol w:w="105"/>
        <w:gridCol w:w="3078"/>
      </w:tblGrid>
      <w:tr>
        <w:trPr/>
        <w:tc>
          <w:tcPr>
            <w:tcW w:w="89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07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[Insert Names of Subsidiary Guarantors]</w:t>
            </w:r>
          </w:p>
        </w:tc>
      </w:tr>
      <w:tr>
        <w:trPr>
          <w:trHeight w:val="240" w:hRule="atLeast"/>
        </w:trPr>
        <w:tc>
          <w:tcPr>
            <w:tcW w:w="899" w:type="dxa"/>
            <w:tcBorders/>
            <w:shd w:fill="auto" w:val="clear"/>
            <w:vAlign w:val="center"/>
          </w:tcPr>
          <w:p>
            <w:pPr>
              <w:pStyle w:val="TableContents"/>
              <w:spacing w:before="0" w:after="283"/>
              <w:rPr>
                <w:sz w:val="4"/>
                <w:szCs w:val="4"/>
              </w:rPr>
            </w:pPr>
            <w:r>
              <w:rPr>
                <w:sz w:val="4"/>
                <w:szCs w:val="4"/>
              </w:rPr>
            </w:r>
          </w:p>
        </w:tc>
        <w:tc>
          <w:tcPr>
            <w:tcW w:w="3183"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5" w:type="dxa"/>
            <w:tcBorders>
              <w:bottom w:val="single" w:sz="2" w:space="0" w:color="000000"/>
            </w:tcBorders>
            <w:shd w:fill="auto" w:val="clear"/>
            <w:tcMar>
              <w:bottom w:w="28" w:type="dxa"/>
            </w:tcMar>
            <w:vAlign w:val="bottom"/>
          </w:tcPr>
          <w:p>
            <w:pPr>
              <w:pStyle w:val="TableContents"/>
              <w:spacing w:before="0" w:after="283"/>
              <w:rPr/>
            </w:pPr>
            <w:r>
              <w:rPr/>
              <w:t> </w:t>
            </w:r>
          </w:p>
        </w:tc>
        <w:tc>
          <w:tcPr>
            <w:tcW w:w="3078" w:type="dxa"/>
            <w:tcBorders>
              <w:bottom w:val="single" w:sz="2" w:space="0" w:color="000000"/>
            </w:tcBorders>
            <w:shd w:fill="auto" w:val="clear"/>
            <w:tcMar>
              <w:bottom w:w="28" w:type="dxa"/>
            </w:tcMar>
          </w:tcPr>
          <w:p>
            <w:pPr>
              <w:pStyle w:val="TableContents"/>
              <w:spacing w:before="0" w:after="283"/>
              <w:rPr/>
            </w:pPr>
            <w:r>
              <w:rPr/>
              <w:t> </w:t>
            </w:r>
          </w:p>
        </w:tc>
      </w:tr>
      <w:tr>
        <w:trPr/>
        <w:tc>
          <w:tcPr>
            <w:tcW w:w="899" w:type="dxa"/>
            <w:tcBorders/>
            <w:shd w:fill="auto" w:val="clear"/>
          </w:tcPr>
          <w:p>
            <w:pPr>
              <w:pStyle w:val="TableContents"/>
              <w:spacing w:before="0" w:after="283"/>
              <w:rPr>
                <w:rFonts w:ascii="Times New Roman" w:hAnsi="Times New Roman"/>
                <w:sz w:val="20"/>
              </w:rPr>
            </w:pPr>
            <w:r>
              <w:rPr>
                <w:rFonts w:ascii="Times New Roman" w:hAnsi="Times New Roman"/>
                <w:sz w:val="20"/>
              </w:rPr>
              <w:t>Title:  </w:t>
            </w:r>
          </w:p>
        </w:tc>
        <w:tc>
          <w:tcPr>
            <w:tcW w:w="105" w:type="dxa"/>
            <w:tcBorders>
              <w:bottom w:val="single" w:sz="2" w:space="0" w:color="000000"/>
            </w:tcBorders>
            <w:shd w:fill="auto" w:val="clear"/>
            <w:tcMar>
              <w:bottom w:w="28" w:type="dxa"/>
            </w:tcMar>
            <w:vAlign w:val="bottom"/>
          </w:tcPr>
          <w:p>
            <w:pPr>
              <w:pStyle w:val="TableContents"/>
              <w:spacing w:before="0" w:after="283"/>
              <w:rPr/>
            </w:pPr>
            <w:r>
              <w:rPr/>
              <w:t> </w:t>
            </w:r>
          </w:p>
        </w:tc>
        <w:tc>
          <w:tcPr>
            <w:tcW w:w="3078" w:type="dxa"/>
            <w:tcBorders>
              <w:bottom w:val="single" w:sz="2" w:space="0" w:color="000000"/>
            </w:tcBorders>
            <w:shd w:fill="auto" w:val="clear"/>
            <w:tcMar>
              <w:bottom w:w="28" w:type="dxa"/>
            </w:tcM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205. </w:t>
      </w:r>
      <w:r>
        <w:rPr>
          <w:rFonts w:ascii="Times New Roman" w:hAnsi="Times New Roman"/>
          <w:b/>
          <w:sz w:val="20"/>
          <w:u w:val="single"/>
        </w:rPr>
        <w:t>Form of Legend for Global Securities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Unless otherwise specified as contemplated by Section 301 for the Securities evidenced thereby, every Global Security authenticated and delivered hereunder shall bear a legend in substantially the following form: </w:t>
      </w:r>
    </w:p>
    <w:p>
      <w:pPr>
        <w:pStyle w:val="TextBody"/>
        <w:spacing w:before="90" w:after="0"/>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w:t>
      </w:r>
    </w:p>
    <w:p>
      <w:pPr>
        <w:pStyle w:val="TextBody"/>
        <w:spacing w:before="180" w:after="0"/>
        <w:rPr>
          <w:rFonts w:ascii="Times New Roman" w:hAnsi="Times New Roman"/>
          <w:sz w:val="20"/>
        </w:rPr>
      </w:pPr>
      <w:r>
        <w:rPr>
          <w:rFonts w:ascii="Times New Roman" w:hAnsi="Times New Roman"/>
          <w:sz w:val="20"/>
        </w:rPr>
        <w:t xml:space="preserve">SECTION 206. </w:t>
      </w:r>
      <w:r>
        <w:rPr>
          <w:rFonts w:ascii="Times New Roman" w:hAnsi="Times New Roman"/>
          <w:b/>
          <w:sz w:val="20"/>
          <w:u w:val="single"/>
        </w:rPr>
        <w:t>Form of Trustees Certificate of Authentication</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Trustees certificates of authentication shall be in substantially the following form: </w:t>
      </w:r>
    </w:p>
    <w:p>
      <w:pPr>
        <w:pStyle w:val="TextBody"/>
        <w:spacing w:before="180" w:after="0"/>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3"/>
        <w:gridCol w:w="92"/>
        <w:gridCol w:w="3667"/>
      </w:tblGrid>
      <w:tr>
        <w:trPr/>
        <w:tc>
          <w:tcPr>
            <w:tcW w:w="323"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w:t>
            </w:r>
          </w:p>
          <w:p>
            <w:pPr>
              <w:pStyle w:val="TableContents"/>
              <w:spacing w:before="0" w:after="15"/>
              <w:rPr>
                <w:rFonts w:ascii="Times New Roman" w:hAnsi="Times New Roman"/>
                <w:sz w:val="20"/>
              </w:rPr>
            </w:pPr>
            <w:r>
              <w:rPr>
                <w:rFonts w:ascii="Times New Roman" w:hAnsi="Times New Roman"/>
                <w:sz w:val="20"/>
              </w:rPr>
              <w:t>As Trustee</w:t>
            </w:r>
          </w:p>
        </w:tc>
      </w:tr>
      <w:tr>
        <w:trPr>
          <w:trHeight w:val="240" w:hRule="atLeast"/>
        </w:trPr>
        <w:tc>
          <w:tcPr>
            <w:tcW w:w="323" w:type="dxa"/>
            <w:tcBorders/>
            <w:shd w:fill="auto" w:val="clear"/>
            <w:vAlign w:val="center"/>
          </w:tcPr>
          <w:p>
            <w:pPr>
              <w:pStyle w:val="TableContents"/>
              <w:spacing w:before="0" w:after="283"/>
              <w:rPr>
                <w:sz w:val="4"/>
                <w:szCs w:val="4"/>
              </w:rPr>
            </w:pPr>
            <w:r>
              <w:rPr>
                <w:sz w:val="4"/>
                <w:szCs w:val="4"/>
              </w:rPr>
            </w:r>
          </w:p>
        </w:tc>
        <w:tc>
          <w:tcPr>
            <w:tcW w:w="3759" w:type="dxa"/>
            <w:gridSpan w:val="2"/>
            <w:tcBorders/>
            <w:shd w:fill="auto" w:val="clear"/>
            <w:vAlign w:val="center"/>
          </w:tcPr>
          <w:p>
            <w:pPr>
              <w:pStyle w:val="TableContents"/>
              <w:spacing w:before="0" w:after="283"/>
              <w:rPr>
                <w:sz w:val="4"/>
                <w:szCs w:val="4"/>
              </w:rPr>
            </w:pPr>
            <w:r>
              <w:rPr>
                <w:sz w:val="4"/>
                <w:szCs w:val="4"/>
              </w:rPr>
            </w:r>
          </w:p>
        </w:tc>
      </w:tr>
      <w:tr>
        <w:trPr/>
        <w:tc>
          <w:tcPr>
            <w:tcW w:w="32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7" w:type="dxa"/>
            <w:tcBorders>
              <w:bottom w:val="single" w:sz="2" w:space="0" w:color="000000"/>
            </w:tcBorders>
            <w:shd w:fill="auto" w:val="clear"/>
            <w:tcMar>
              <w:bottom w:w="28" w:type="dxa"/>
            </w:tcMar>
          </w:tcPr>
          <w:p>
            <w:pPr>
              <w:pStyle w:val="TableContents"/>
              <w:spacing w:before="0" w:after="283"/>
              <w:rPr/>
            </w:pPr>
            <w:r>
              <w:rPr/>
              <w:t> </w:t>
            </w:r>
          </w:p>
        </w:tc>
      </w:tr>
      <w:tr>
        <w:trPr/>
        <w:tc>
          <w:tcPr>
            <w:tcW w:w="323"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Authorized Officer</w:t>
            </w:r>
          </w:p>
        </w:tc>
      </w:tr>
    </w:tbl>
    <w:p>
      <w:pPr>
        <w:pStyle w:val="TextBody"/>
        <w:spacing w:before="180" w:after="0"/>
        <w:rPr>
          <w:rFonts w:ascii="Times New Roman" w:hAnsi="Times New Roman"/>
          <w:sz w:val="20"/>
        </w:rPr>
      </w:pPr>
      <w:r>
        <w:rPr>
          <w:rFonts w:ascii="Times New Roman" w:hAnsi="Times New Roman"/>
          <w:sz w:val="20"/>
        </w:rPr>
        <w:t xml:space="preserve">SECTION 207. </w:t>
      </w:r>
      <w:r>
        <w:rPr>
          <w:rFonts w:ascii="Times New Roman" w:hAnsi="Times New Roman"/>
          <w:b/>
          <w:sz w:val="20"/>
          <w:u w:val="single"/>
        </w:rPr>
        <w:t>Form of Conversion Notice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Each convertible Security shall have attached thereto, or set forth on the reverse of the Security, a notice of conversion in substantially the following form: </w:t>
      </w:r>
    </w:p>
    <w:p>
      <w:pPr>
        <w:pStyle w:val="TextBody"/>
        <w:spacing w:before="270" w:after="0"/>
        <w:jc w:val="center"/>
        <w:rPr>
          <w:rFonts w:ascii="Times New Roman" w:hAnsi="Times New Roman"/>
          <w:sz w:val="20"/>
          <w:u w:val="single"/>
        </w:rPr>
      </w:pPr>
      <w:r>
        <w:rPr>
          <w:rFonts w:ascii="Times New Roman" w:hAnsi="Times New Roman"/>
          <w:sz w:val="20"/>
          <w:u w:val="single"/>
        </w:rPr>
        <w:t xml:space="preserve">Conversion Notice </w:t>
      </w:r>
    </w:p>
    <w:p>
      <w:pPr>
        <w:pStyle w:val="TextBody"/>
        <w:spacing w:before="180" w:after="0"/>
        <w:rPr>
          <w:rFonts w:ascii="Times New Roman" w:hAnsi="Times New Roman"/>
          <w:sz w:val="20"/>
        </w:rPr>
      </w:pPr>
      <w:r>
        <w:rPr>
          <w:rFonts w:ascii="Times New Roman" w:hAnsi="Times New Roman"/>
          <w:sz w:val="20"/>
        </w:rPr>
        <w:t xml:space="preserve">To: EZCORP, Inc. </w:t>
      </w:r>
    </w:p>
    <w:p>
      <w:pPr>
        <w:pStyle w:val="TextBody"/>
        <w:spacing w:before="180" w:after="0"/>
        <w:rPr>
          <w:rFonts w:ascii="Times New Roman" w:hAnsi="Times New Roman"/>
          <w:sz w:val="20"/>
        </w:rPr>
      </w:pPr>
      <w:r>
        <w:rPr>
          <w:rFonts w:ascii="Times New Roman" w:hAnsi="Times New Roman"/>
          <w:sz w:val="20"/>
        </w:rPr>
        <w:t xml:space="preserve">The undersigned owner of this Security hereby: (i) irrevocably exercises the option to convert this Security, or the portion hereof below designated, for shares of Common Stock of EZCORP, Inc. in accordance with the terms of the Indenture referred to in this Security and (ii) directs that such shares of Common Stock deliverable upon the conversion, together with any check in payment for fractional shares and any Security(ies) representing any unconverted principal amount hereof, be issued and delivered to the registered holder hereof unless a different name has been indicated below. If shares are to be delivered registered in the name of a Person other than the undersigned, the undersigned will pay all transfer taxes payable with respect thereto. Any amount required to be paid by the undersigned on account of interest accompanies this Security.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6"/>
        <w:gridCol w:w="102"/>
        <w:gridCol w:w="408"/>
        <w:gridCol w:w="102"/>
        <w:gridCol w:w="4797"/>
      </w:tblGrid>
      <w:tr>
        <w:trPr/>
        <w:tc>
          <w:tcPr>
            <w:tcW w:w="479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4796"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rFonts w:ascii="Times New Roman" w:hAnsi="Times New Roman"/>
                <w:sz w:val="20"/>
              </w:rPr>
            </w:pPr>
            <w:r>
              <w:rPr>
                <w:rFonts w:ascii="Times New Roman" w:hAnsi="Times New Roman"/>
                <w:sz w:val="20"/>
              </w:rPr>
              <w:t>Dated: __________________________</w:t>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4797" w:type="dxa"/>
            <w:tcBorders>
              <w:bottom w:val="single" w:sz="2" w:space="0" w:color="000000"/>
            </w:tcBorders>
            <w:shd w:fill="auto" w:val="clear"/>
            <w:tcMar>
              <w:bottom w:w="28" w:type="dxa"/>
            </w:tcMar>
          </w:tcPr>
          <w:p>
            <w:pPr>
              <w:pStyle w:val="TableContents"/>
              <w:spacing w:before="0" w:after="283"/>
              <w:rPr/>
            </w:pPr>
            <w:r>
              <w:rPr/>
              <w:t>  </w:t>
            </w:r>
          </w:p>
        </w:tc>
      </w:tr>
      <w:tr>
        <w:trPr/>
        <w:tc>
          <w:tcPr>
            <w:tcW w:w="479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Signature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Fill in for registration of shares if to be delivered, and of Securities if to be issued, otherwise than to and in the name of the registered holder.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  </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Social Security or other Taxpayer</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Identification Number</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  </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bl>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  </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(Please print name and address)</w:t>
            </w:r>
          </w:p>
        </w:tc>
      </w:tr>
    </w:tbl>
    <w:p>
      <w:pPr>
        <w:pStyle w:val="TextBody"/>
        <w:spacing w:before="180" w:after="0"/>
        <w:rPr>
          <w:rFonts w:ascii="Times New Roman" w:hAnsi="Times New Roman"/>
          <w:sz w:val="20"/>
        </w:rPr>
      </w:pPr>
      <w:r>
        <w:rPr>
          <w:rFonts w:ascii="Times New Roman" w:hAnsi="Times New Roman"/>
          <w:sz w:val="20"/>
        </w:rPr>
        <w:t xml:space="preserve">Principal amount to be converted: (if less than all)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Signature Guarantee*</w:t>
            </w:r>
          </w:p>
        </w:tc>
      </w:tr>
    </w:tbl>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Participant in a recognized Signature Guarantee Medallion Program (or other signature acceptable to the Trustee). </w:t>
            </w:r>
          </w:p>
        </w:tc>
      </w:tr>
    </w:tbl>
    <w:p>
      <w:pPr>
        <w:pStyle w:val="TextBody"/>
        <w:spacing w:before="270" w:after="0"/>
        <w:jc w:val="center"/>
        <w:rPr>
          <w:rFonts w:ascii="Times New Roman" w:hAnsi="Times New Roman"/>
          <w:b/>
          <w:sz w:val="20"/>
        </w:rPr>
      </w:pPr>
      <w:r>
        <w:rPr>
          <w:rFonts w:ascii="Times New Roman" w:hAnsi="Times New Roman"/>
          <w:b/>
          <w:sz w:val="20"/>
        </w:rPr>
        <w:t xml:space="preserve">ARTICLE THREE </w:t>
      </w:r>
    </w:p>
    <w:p>
      <w:pPr>
        <w:pStyle w:val="TextBody"/>
        <w:spacing w:before="0" w:after="0"/>
        <w:jc w:val="center"/>
        <w:rPr>
          <w:rFonts w:ascii="Times New Roman" w:hAnsi="Times New Roman"/>
          <w:b/>
          <w:sz w:val="20"/>
        </w:rPr>
      </w:pPr>
      <w:r>
        <w:rPr>
          <w:rFonts w:ascii="Times New Roman" w:hAnsi="Times New Roman"/>
          <w:b/>
          <w:sz w:val="20"/>
        </w:rPr>
        <w:t xml:space="preserve">THE SECURITIES </w:t>
      </w:r>
    </w:p>
    <w:p>
      <w:pPr>
        <w:pStyle w:val="TextBody"/>
        <w:spacing w:before="180" w:after="0"/>
        <w:rPr>
          <w:rFonts w:ascii="Times New Roman" w:hAnsi="Times New Roman"/>
          <w:sz w:val="20"/>
        </w:rPr>
      </w:pPr>
      <w:r>
        <w:rPr>
          <w:rFonts w:ascii="Times New Roman" w:hAnsi="Times New Roman"/>
          <w:sz w:val="20"/>
        </w:rPr>
        <w:t xml:space="preserve">SECTION 301. </w:t>
      </w:r>
      <w:r>
        <w:rPr>
          <w:rFonts w:ascii="Times New Roman" w:hAnsi="Times New Roman"/>
          <w:b/>
          <w:sz w:val="20"/>
          <w:u w:val="single"/>
        </w:rPr>
        <w:t>Amount Unlimited; Issuable in Series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aggregate principal amount of Securities which may be authenticated and delivered under this Indenture is unlimited. </w:t>
      </w:r>
    </w:p>
    <w:p>
      <w:pPr>
        <w:pStyle w:val="TextBody"/>
        <w:spacing w:before="180" w:after="0"/>
        <w:rPr>
          <w:rFonts w:ascii="Times New Roman" w:hAnsi="Times New Roman"/>
          <w:sz w:val="20"/>
        </w:rPr>
      </w:pPr>
      <w:r>
        <w:rPr>
          <w:rFonts w:ascii="Times New Roman" w:hAnsi="Times New Roman"/>
          <w:sz w:val="20"/>
        </w:rPr>
        <w:t xml:space="preserve">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 </w:t>
      </w:r>
    </w:p>
    <w:p>
      <w:pPr>
        <w:pStyle w:val="TextBody"/>
        <w:spacing w:before="180" w:after="0"/>
        <w:rPr>
          <w:rFonts w:ascii="Times New Roman" w:hAnsi="Times New Roman"/>
          <w:sz w:val="20"/>
        </w:rPr>
      </w:pPr>
      <w:r>
        <w:rPr>
          <w:rFonts w:ascii="Times New Roman" w:hAnsi="Times New Roman"/>
          <w:sz w:val="20"/>
        </w:rPr>
        <w:t xml:space="preserve">(1) the title of the Securities of the series (which shall distinguish the Securities of the series from Securities of any other series); </w:t>
      </w:r>
    </w:p>
    <w:p>
      <w:pPr>
        <w:pStyle w:val="TextBody"/>
        <w:spacing w:before="180" w:after="0"/>
        <w:rPr>
          <w:rFonts w:ascii="Times New Roman" w:hAnsi="Times New Roman"/>
          <w:sz w:val="20"/>
        </w:rPr>
      </w:pPr>
      <w:r>
        <w:rPr>
          <w:rFonts w:ascii="Times New Roman" w:hAnsi="Times New Roman"/>
          <w:sz w:val="20"/>
        </w:rPr>
        <w:t xml:space="preserve">(2) if the Securities of the series will not have the benefit of the Subsidiary Guarantees of the Subsidiary Guarantors;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(3) any change to the subordination provisions which applies to the Securities of the series from those contained in Article Twelve with respect to the Securities and/or, if applicable, those contained in Article Fourteen with respect to the Subsidiary Guarantees, and the definitions of Senior Debt and Designated Senior Debt which shall apply to the Securities of the series, and, if applicable, the Subsidiary Guarantees; </w:t>
      </w:r>
    </w:p>
    <w:p>
      <w:pPr>
        <w:pStyle w:val="TextBody"/>
        <w:spacing w:before="180" w:after="0"/>
        <w:rPr>
          <w:rFonts w:ascii="Times New Roman" w:hAnsi="Times New Roman"/>
          <w:sz w:val="20"/>
        </w:rPr>
      </w:pPr>
      <w:r>
        <w:rPr>
          <w:rFonts w:ascii="Times New Roman" w:hAnsi="Times New Roman"/>
          <w:sz w:val="20"/>
        </w:rPr>
        <w:t xml:space="preserve">(4)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 </w:t>
      </w:r>
    </w:p>
    <w:p>
      <w:pPr>
        <w:pStyle w:val="TextBody"/>
        <w:spacing w:before="180" w:after="0"/>
        <w:rPr>
          <w:rFonts w:ascii="Times New Roman" w:hAnsi="Times New Roman"/>
          <w:sz w:val="20"/>
        </w:rPr>
      </w:pPr>
      <w:r>
        <w:rPr>
          <w:rFonts w:ascii="Times New Roman" w:hAnsi="Times New Roman"/>
          <w:sz w:val="20"/>
        </w:rPr>
        <w:t xml:space="preserve">(5) the Person to whom any interest on a Security of the series shall be payable, if other than the Person in whose name that Security (or one or more Predecessor Securities) is registered at the close of business on the Regular Record Date for such interest; </w:t>
      </w:r>
    </w:p>
    <w:p>
      <w:pPr>
        <w:pStyle w:val="TextBody"/>
        <w:spacing w:before="180" w:after="0"/>
        <w:rPr>
          <w:rFonts w:ascii="Times New Roman" w:hAnsi="Times New Roman"/>
          <w:sz w:val="20"/>
        </w:rPr>
      </w:pPr>
      <w:r>
        <w:rPr>
          <w:rFonts w:ascii="Times New Roman" w:hAnsi="Times New Roman"/>
          <w:sz w:val="20"/>
        </w:rPr>
        <w:t xml:space="preserve">(6) the date or dates on which the principal of any Securities of the series is payable; </w:t>
      </w:r>
    </w:p>
    <w:p>
      <w:pPr>
        <w:pStyle w:val="TextBody"/>
        <w:spacing w:before="180" w:after="0"/>
        <w:rPr>
          <w:rFonts w:ascii="Times New Roman" w:hAnsi="Times New Roman"/>
          <w:sz w:val="20"/>
        </w:rPr>
      </w:pPr>
      <w:r>
        <w:rPr>
          <w:rFonts w:ascii="Times New Roman" w:hAnsi="Times New Roman"/>
          <w:sz w:val="20"/>
        </w:rPr>
        <w:t xml:space="preserve">(7) 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w:t>
      </w:r>
    </w:p>
    <w:p>
      <w:pPr>
        <w:pStyle w:val="TextBody"/>
        <w:spacing w:before="180" w:after="0"/>
        <w:rPr>
          <w:rFonts w:ascii="Times New Roman" w:hAnsi="Times New Roman"/>
          <w:sz w:val="20"/>
        </w:rPr>
      </w:pPr>
      <w:r>
        <w:rPr>
          <w:rFonts w:ascii="Times New Roman" w:hAnsi="Times New Roman"/>
          <w:sz w:val="20"/>
        </w:rPr>
        <w:t xml:space="preserve">(8) the place or places where the principal of and any premium and interest on any Securities of the series shall be payable; </w:t>
      </w:r>
    </w:p>
    <w:p>
      <w:pPr>
        <w:pStyle w:val="TextBody"/>
        <w:spacing w:before="180" w:after="0"/>
        <w:rPr>
          <w:rFonts w:ascii="Times New Roman" w:hAnsi="Times New Roman"/>
          <w:sz w:val="20"/>
        </w:rPr>
      </w:pPr>
      <w:r>
        <w:rPr>
          <w:rFonts w:ascii="Times New Roman" w:hAnsi="Times New Roman"/>
          <w:sz w:val="20"/>
        </w:rPr>
        <w:t xml:space="preserve">(9) 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 </w:t>
      </w:r>
    </w:p>
    <w:p>
      <w:pPr>
        <w:pStyle w:val="TextBody"/>
        <w:spacing w:before="180" w:after="0"/>
        <w:rPr>
          <w:rFonts w:ascii="Times New Roman" w:hAnsi="Times New Roman"/>
          <w:sz w:val="20"/>
        </w:rPr>
      </w:pPr>
      <w:r>
        <w:rPr>
          <w:rFonts w:ascii="Times New Roman" w:hAnsi="Times New Roman"/>
          <w:sz w:val="20"/>
        </w:rPr>
        <w:t xml:space="preserve">(10) 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 </w:t>
      </w:r>
    </w:p>
    <w:p>
      <w:pPr>
        <w:pStyle w:val="TextBody"/>
        <w:spacing w:before="180" w:after="0"/>
        <w:rPr>
          <w:rFonts w:ascii="Times New Roman" w:hAnsi="Times New Roman"/>
          <w:sz w:val="20"/>
        </w:rPr>
      </w:pPr>
      <w:r>
        <w:rPr>
          <w:rFonts w:ascii="Times New Roman" w:hAnsi="Times New Roman"/>
          <w:sz w:val="20"/>
        </w:rPr>
        <w:t xml:space="preserve">(11) if other than denominations of $1,000 and any integral multiple thereof, the denominations in which any Securities of the series shall be issuable; </w:t>
      </w:r>
    </w:p>
    <w:p>
      <w:pPr>
        <w:pStyle w:val="TextBody"/>
        <w:spacing w:before="180" w:after="0"/>
        <w:rPr>
          <w:rFonts w:ascii="Times New Roman" w:hAnsi="Times New Roman"/>
          <w:sz w:val="20"/>
        </w:rPr>
      </w:pPr>
      <w:r>
        <w:rPr>
          <w:rFonts w:ascii="Times New Roman" w:hAnsi="Times New Roman"/>
          <w:sz w:val="20"/>
        </w:rPr>
        <w:t xml:space="preserve">(12) if the amount of principal of or any premium or interest on any Securities of the series may be determined with reference to an index or pursuant to a formula, the manner in which such amounts shall be determined; </w:t>
      </w:r>
    </w:p>
    <w:p>
      <w:pPr>
        <w:pStyle w:val="TextBody"/>
        <w:spacing w:before="180" w:after="0"/>
        <w:rPr>
          <w:rFonts w:ascii="Times New Roman" w:hAnsi="Times New Roman"/>
          <w:sz w:val="20"/>
        </w:rPr>
      </w:pPr>
      <w:r>
        <w:rPr>
          <w:rFonts w:ascii="Times New Roman" w:hAnsi="Times New Roman"/>
          <w:sz w:val="20"/>
        </w:rPr>
        <w:t xml:space="preserve">(13) 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(14) 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 </w:t>
      </w:r>
    </w:p>
    <w:p>
      <w:pPr>
        <w:pStyle w:val="TextBody"/>
        <w:spacing w:before="180" w:after="0"/>
        <w:rPr>
          <w:rFonts w:ascii="Times New Roman" w:hAnsi="Times New Roman"/>
          <w:sz w:val="20"/>
        </w:rPr>
      </w:pPr>
      <w:r>
        <w:rPr>
          <w:rFonts w:ascii="Times New Roman" w:hAnsi="Times New Roman"/>
          <w:sz w:val="20"/>
        </w:rPr>
        <w:t xml:space="preserve">(15) if other than the entire principal amount thereof, the portion of the principal amount of any Securities of the series which shall be payable upon declaration of acceleration of the Maturity thereof pursuant to Section 502; </w:t>
      </w:r>
    </w:p>
    <w:p>
      <w:pPr>
        <w:pStyle w:val="TextBody"/>
        <w:spacing w:before="180" w:after="0"/>
        <w:rPr>
          <w:rFonts w:ascii="Times New Roman" w:hAnsi="Times New Roman"/>
          <w:sz w:val="20"/>
        </w:rPr>
      </w:pPr>
      <w:r>
        <w:rPr>
          <w:rFonts w:ascii="Times New Roman" w:hAnsi="Times New Roman"/>
          <w:sz w:val="20"/>
        </w:rPr>
        <w:t xml:space="preserve">(16) 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w:t>
      </w:r>
    </w:p>
    <w:p>
      <w:pPr>
        <w:pStyle w:val="TextBody"/>
        <w:spacing w:before="180" w:after="0"/>
        <w:rPr>
          <w:rFonts w:ascii="Times New Roman" w:hAnsi="Times New Roman"/>
          <w:sz w:val="20"/>
        </w:rPr>
      </w:pPr>
      <w:r>
        <w:rPr>
          <w:rFonts w:ascii="Times New Roman" w:hAnsi="Times New Roman"/>
          <w:sz w:val="20"/>
        </w:rPr>
        <w:t xml:space="preserve">(17) if applicable, that the Securities of the series, in whole or any specified part, shall be defeasible pursuant to Section 1502 or Section 1503 or both such Sections and, if other than by a Board Resolution, the manner in which any election by the Company to defease such Securities shall be evidenced; </w:t>
      </w:r>
    </w:p>
    <w:p>
      <w:pPr>
        <w:pStyle w:val="TextBody"/>
        <w:spacing w:before="180" w:after="0"/>
        <w:rPr>
          <w:rFonts w:ascii="Times New Roman" w:hAnsi="Times New Roman"/>
          <w:sz w:val="20"/>
        </w:rPr>
      </w:pPr>
      <w:r>
        <w:rPr>
          <w:rFonts w:ascii="Times New Roman" w:hAnsi="Times New Roman"/>
          <w:sz w:val="20"/>
        </w:rPr>
        <w:t xml:space="preserve">(18) if applicable, that any Securities of the series shall be issuable in whole or in part in the form of one or more Global Securities and, in such case, the respective Depositories for such Global Securities, the form of any legend or legends which shall be borne by any such Global Security in addition to or in lieu of that set forth in Section 205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w:t>
      </w:r>
    </w:p>
    <w:p>
      <w:pPr>
        <w:pStyle w:val="TextBody"/>
        <w:spacing w:before="180" w:after="0"/>
        <w:rPr>
          <w:rFonts w:ascii="Times New Roman" w:hAnsi="Times New Roman"/>
          <w:sz w:val="20"/>
        </w:rPr>
      </w:pPr>
      <w:r>
        <w:rPr>
          <w:rFonts w:ascii="Times New Roman" w:hAnsi="Times New Roman"/>
          <w:sz w:val="20"/>
        </w:rPr>
        <w:t xml:space="preserve">(19) any addition to or change in the Events of Default which applies to any Securities of the series and any change in the right of the Trustee or the requisite Holders of such Securities to declare the principal amount thereof due and payable pursuant to Section 502; </w:t>
      </w:r>
    </w:p>
    <w:p>
      <w:pPr>
        <w:pStyle w:val="TextBody"/>
        <w:spacing w:before="180" w:after="0"/>
        <w:rPr>
          <w:rFonts w:ascii="Times New Roman" w:hAnsi="Times New Roman"/>
          <w:sz w:val="20"/>
        </w:rPr>
      </w:pPr>
      <w:r>
        <w:rPr>
          <w:rFonts w:ascii="Times New Roman" w:hAnsi="Times New Roman"/>
          <w:sz w:val="20"/>
        </w:rPr>
        <w:t xml:space="preserve">(20) any addition to or change in the covenants set forth in Article Ten which applies to Securities of the series; </w:t>
      </w:r>
    </w:p>
    <w:p>
      <w:pPr>
        <w:pStyle w:val="TextBody"/>
        <w:spacing w:before="180" w:after="0"/>
        <w:rPr>
          <w:rFonts w:ascii="Times New Roman" w:hAnsi="Times New Roman"/>
          <w:sz w:val="20"/>
        </w:rPr>
      </w:pPr>
      <w:r>
        <w:rPr>
          <w:rFonts w:ascii="Times New Roman" w:hAnsi="Times New Roman"/>
          <w:sz w:val="20"/>
        </w:rPr>
        <w:t xml:space="preserve">(21) whether the Securities of the series will be convertible into Common Stock (or cash in lieu thereof) and, if so, the terms and conditions upon which such conversion will be effected;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(22) any other terms of the series (which terms shall not be inconsistent with the provisions of this Indenture, except as permitted by Section 901(5)). </w:t>
      </w:r>
    </w:p>
    <w:p>
      <w:pPr>
        <w:pStyle w:val="TextBody"/>
        <w:spacing w:before="180" w:after="0"/>
        <w:rPr>
          <w:rFonts w:ascii="Times New Roman" w:hAnsi="Times New Roman"/>
          <w:sz w:val="20"/>
        </w:rPr>
      </w:pPr>
      <w:r>
        <w:rPr>
          <w:rFonts w:ascii="Times New Roman" w:hAnsi="Times New Roman"/>
          <w:sz w:val="20"/>
        </w:rPr>
        <w:t xml:space="preserve">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 </w:t>
      </w:r>
    </w:p>
    <w:p>
      <w:pPr>
        <w:pStyle w:val="TextBody"/>
        <w:spacing w:before="180" w:after="0"/>
        <w:rPr>
          <w:rFonts w:ascii="Times New Roman" w:hAnsi="Times New Roman"/>
          <w:sz w:val="20"/>
        </w:rPr>
      </w:pPr>
      <w:r>
        <w:rPr>
          <w:rFonts w:ascii="Times New Roman" w:hAnsi="Times New Roman"/>
          <w:sz w:val="20"/>
        </w:rPr>
        <w:t xml:space="preserve">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 </w:t>
      </w:r>
    </w:p>
    <w:p>
      <w:pPr>
        <w:pStyle w:val="TextBody"/>
        <w:spacing w:before="180" w:after="0"/>
        <w:rPr>
          <w:rFonts w:ascii="Times New Roman" w:hAnsi="Times New Roman"/>
          <w:sz w:val="20"/>
        </w:rPr>
      </w:pPr>
      <w:r>
        <w:rPr>
          <w:rFonts w:ascii="Times New Roman" w:hAnsi="Times New Roman"/>
          <w:sz w:val="20"/>
        </w:rPr>
        <w:t xml:space="preserve">The Securities of each series shall have the benefit of the Subsidiary Guarantees unless the Company elects otherwise upon the establishment of a series pursuant to this Section 301. </w:t>
      </w:r>
    </w:p>
    <w:p>
      <w:pPr>
        <w:pStyle w:val="TextBody"/>
        <w:spacing w:before="180" w:after="0"/>
        <w:rPr>
          <w:rFonts w:ascii="Times New Roman" w:hAnsi="Times New Roman"/>
          <w:sz w:val="20"/>
        </w:rPr>
      </w:pPr>
      <w:r>
        <w:rPr>
          <w:rFonts w:ascii="Times New Roman" w:hAnsi="Times New Roman"/>
          <w:sz w:val="20"/>
        </w:rPr>
        <w:t xml:space="preserve">SECTION 302. </w:t>
      </w:r>
      <w:r>
        <w:rPr>
          <w:rFonts w:ascii="Times New Roman" w:hAnsi="Times New Roman"/>
          <w:b/>
          <w:sz w:val="20"/>
          <w:u w:val="single"/>
        </w:rPr>
        <w:t>Denominations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 </w:t>
      </w:r>
    </w:p>
    <w:p>
      <w:pPr>
        <w:pStyle w:val="TextBody"/>
        <w:spacing w:before="180" w:after="0"/>
        <w:rPr>
          <w:rFonts w:ascii="Times New Roman" w:hAnsi="Times New Roman"/>
          <w:sz w:val="20"/>
        </w:rPr>
      </w:pPr>
      <w:r>
        <w:rPr>
          <w:rFonts w:ascii="Times New Roman" w:hAnsi="Times New Roman"/>
          <w:sz w:val="20"/>
        </w:rPr>
        <w:t xml:space="preserve">SECTION 303. </w:t>
      </w:r>
      <w:r>
        <w:rPr>
          <w:rFonts w:ascii="Times New Roman" w:hAnsi="Times New Roman"/>
          <w:b/>
          <w:sz w:val="20"/>
          <w:u w:val="single"/>
        </w:rPr>
        <w:t>Execution, Authentication, Delivery and Dating</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Securities shall be executed on behalf of the Company by its Chairman of the Board of Directors, its Vice Chairman of the Board of Directors, its President or one of its Vice Presidents. If its corporate seal is reproduced thereon, then it shall be attested by its Secretary or one of its Assistant Secretaries. The signature of any of these officers on the Securities may be manual or facsimile. </w:t>
      </w:r>
    </w:p>
    <w:p>
      <w:pPr>
        <w:pStyle w:val="TextBody"/>
        <w:spacing w:before="180" w:after="0"/>
        <w:rPr>
          <w:rFonts w:ascii="Times New Roman" w:hAnsi="Times New Roman"/>
          <w:sz w:val="20"/>
        </w:rPr>
      </w:pPr>
      <w:r>
        <w:rPr>
          <w:rFonts w:ascii="Times New Roman" w:hAnsi="Times New Roman"/>
          <w:sz w:val="20"/>
        </w:rPr>
        <w:t xml:space="preserve">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w:t>
      </w:r>
    </w:p>
    <w:p>
      <w:pPr>
        <w:pStyle w:val="TextBody"/>
        <w:spacing w:before="180" w:after="0"/>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executed by the Company and, if applicable, having endorsed thereon the notations of Subsidiary Guarantees executed as provided in Section 1303 by the Subsidiary Guarantors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 if the form of such Securities has been established by or pursuant to Board Resolution as permitted by Section 201, that such form has been established in conformity with the provisions of this Indenture; </w:t>
      </w:r>
    </w:p>
    <w:p>
      <w:pPr>
        <w:pStyle w:val="TextBody"/>
        <w:spacing w:before="180" w:after="0"/>
        <w:rPr>
          <w:rFonts w:ascii="Times New Roman" w:hAnsi="Times New Roman"/>
          <w:sz w:val="20"/>
        </w:rPr>
      </w:pPr>
      <w:r>
        <w:rPr>
          <w:rFonts w:ascii="Times New Roman" w:hAnsi="Times New Roman"/>
          <w:sz w:val="20"/>
        </w:rPr>
        <w:t xml:space="preserve">(2) if the terms of such Securities have been established by or pursuant to Board Resolution as permitted by Section 301, that such terms have been established in conformity with the provisions of this Indenture; and </w:t>
      </w:r>
    </w:p>
    <w:p>
      <w:pPr>
        <w:pStyle w:val="TextBody"/>
        <w:spacing w:before="180" w:after="0"/>
        <w:rPr>
          <w:rFonts w:ascii="Times New Roman" w:hAnsi="Times New Roman"/>
          <w:sz w:val="20"/>
        </w:rPr>
      </w:pPr>
      <w:r>
        <w:rPr>
          <w:rFonts w:ascii="Times New Roman" w:hAnsi="Times New Roman"/>
          <w:sz w:val="20"/>
        </w:rPr>
        <w:t xml:space="preserve">(3) that such Securities, when authenticated and delivered by the Trustee and issued by the Company in the manner and subject to any conditions specified in such Opinion of Counsel, will constitute valid and legally binding obligations of the Company, and, if applicable, the notations of Subsidiary Guarantees endorsed thereon will constitute valid and legally binding obligations of the Subsidiary Guarantors, enforceable in accordance with their terms, subject to bankruptcy, insolvency, fraudulent transfer, reorganization, moratorium and similar laws of general applicability relating to or affecting creditors rights and to general equity principles. </w:t>
      </w:r>
    </w:p>
    <w:p>
      <w:pPr>
        <w:pStyle w:val="TextBody"/>
        <w:spacing w:before="180" w:after="0"/>
        <w:rPr>
          <w:rFonts w:ascii="Times New Roman" w:hAnsi="Times New Roman"/>
          <w:sz w:val="20"/>
        </w:rPr>
      </w:pPr>
      <w:r>
        <w:rPr>
          <w:rFonts w:ascii="Times New Roman" w:hAnsi="Times New Roman"/>
          <w:sz w:val="20"/>
        </w:rPr>
        <w:t xml:space="preserve">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 </w:t>
      </w:r>
    </w:p>
    <w:p>
      <w:pPr>
        <w:pStyle w:val="TextBody"/>
        <w:spacing w:before="180" w:after="0"/>
        <w:rPr>
          <w:rFonts w:ascii="Times New Roman" w:hAnsi="Times New Roman"/>
          <w:sz w:val="20"/>
        </w:rPr>
      </w:pPr>
      <w:r>
        <w:rPr>
          <w:rFonts w:ascii="Times New Roman" w:hAnsi="Times New Roman"/>
          <w:sz w:val="20"/>
        </w:rPr>
        <w:t xml:space="preserve">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 </w:t>
      </w:r>
    </w:p>
    <w:p>
      <w:pPr>
        <w:pStyle w:val="TextBody"/>
        <w:spacing w:before="180" w:after="0"/>
        <w:rPr>
          <w:rFonts w:ascii="Times New Roman" w:hAnsi="Times New Roman"/>
          <w:sz w:val="20"/>
        </w:rPr>
      </w:pPr>
      <w:r>
        <w:rPr>
          <w:rFonts w:ascii="Times New Roman" w:hAnsi="Times New Roman"/>
          <w:sz w:val="20"/>
        </w:rPr>
        <w:t xml:space="preserve">Each Security shall be dated the date of its authentication. </w:t>
      </w:r>
    </w:p>
    <w:p>
      <w:pPr>
        <w:pStyle w:val="TextBody"/>
        <w:spacing w:before="180" w:after="0"/>
        <w:rPr>
          <w:rFonts w:ascii="Times New Roman" w:hAnsi="Times New Roman"/>
          <w:sz w:val="20"/>
        </w:rPr>
      </w:pPr>
      <w:r>
        <w:rPr>
          <w:rFonts w:ascii="Times New Roman" w:hAnsi="Times New Roman"/>
          <w:sz w:val="20"/>
        </w:rPr>
        <w:t xml:space="preserve">No Security or Subsidiary Guarantee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304. </w:t>
      </w:r>
      <w:r>
        <w:rPr>
          <w:rFonts w:ascii="Times New Roman" w:hAnsi="Times New Roman"/>
          <w:b/>
          <w:sz w:val="20"/>
          <w:u w:val="single"/>
        </w:rPr>
        <w:t>Temporary Securities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and, if applicable, having endorsed thereon the notations of Subsidiary Guarantees in lieu of which they are issued and with such appropriate insertions, omissions, substitutions and other variations as the officers executing such Securities and, if applicable, notations of Subsidiary Guarantees may determine, as evidenced by their execution of such Securities and notations of Subsidiary Guarantees. </w:t>
      </w:r>
    </w:p>
    <w:p>
      <w:pPr>
        <w:pStyle w:val="TextBody"/>
        <w:spacing w:before="180" w:after="0"/>
        <w:rPr>
          <w:rFonts w:ascii="Times New Roman" w:hAnsi="Times New Roman"/>
          <w:sz w:val="20"/>
        </w:rPr>
      </w:pPr>
      <w:r>
        <w:rPr>
          <w:rFonts w:ascii="Times New Roman" w:hAnsi="Times New Roman"/>
          <w:sz w:val="20"/>
        </w:rPr>
        <w:t xml:space="preserve">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and, if applicable, having endorsed thereon notations of Subsidiary Guarantees executed by the Subsidiary Guarantors. Until so exchanged, the temporary Securities of any series shall in all respects be entitled to the same benefits under this Indenture as definitive Securities of such series and tenor. </w:t>
      </w:r>
    </w:p>
    <w:p>
      <w:pPr>
        <w:pStyle w:val="TextBody"/>
        <w:spacing w:before="180" w:after="0"/>
        <w:rPr>
          <w:rFonts w:ascii="Times New Roman" w:hAnsi="Times New Roman"/>
          <w:sz w:val="20"/>
        </w:rPr>
      </w:pPr>
      <w:r>
        <w:rPr>
          <w:rFonts w:ascii="Times New Roman" w:hAnsi="Times New Roman"/>
          <w:sz w:val="20"/>
        </w:rPr>
        <w:t xml:space="preserve">SECTION 305. </w:t>
      </w:r>
      <w:r>
        <w:rPr>
          <w:rFonts w:ascii="Times New Roman" w:hAnsi="Times New Roman"/>
          <w:b/>
          <w:sz w:val="20"/>
          <w:u w:val="single"/>
        </w:rPr>
        <w:t>Registration, Registration of Transfer and Exchange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The Company shall cause to be kept at the Corporate Trust Office of the Trustee a register (the register maintained in such office and in any other office or agency of the Company in a Place of Payment being herein sometimes collectively referred to as the </w:t>
      </w:r>
      <w:r>
        <w:rPr>
          <w:rFonts w:ascii="Times New Roman" w:hAnsi="Times New Roman"/>
          <w:b/>
          <w:sz w:val="20"/>
        </w:rPr>
        <w:t>Security Register</w:t>
      </w:r>
      <w:r>
        <w:rPr>
          <w:rFonts w:ascii="Times New Roman" w:hAnsi="Times New Roman"/>
          <w:sz w:val="20"/>
        </w:rPr>
        <w:t>) in which, subject to such reasonable regulations as it may prescribe, the Company shall provide for the registration of Securities and of transfers of Securities. The Trustee is hereby appointed </w:t>
      </w:r>
      <w:r>
        <w:rPr>
          <w:rFonts w:ascii="Times New Roman" w:hAnsi="Times New Roman"/>
          <w:b/>
          <w:sz w:val="20"/>
        </w:rPr>
        <w:t>Security Registrar</w:t>
      </w:r>
      <w:r>
        <w:rPr>
          <w:rFonts w:ascii="Times New Roman" w:hAnsi="Times New Roman"/>
          <w:sz w:val="20"/>
        </w:rPr>
        <w:t xml:space="preserve"> for the purpose of registering Securities and transfers of Securities as herein provided. </w:t>
      </w:r>
    </w:p>
    <w:p>
      <w:pPr>
        <w:pStyle w:val="TextBody"/>
        <w:spacing w:before="180" w:after="0"/>
        <w:rPr>
          <w:rFonts w:ascii="Times New Roman" w:hAnsi="Times New Roman"/>
          <w:sz w:val="20"/>
        </w:rPr>
      </w:pPr>
      <w:r>
        <w:rPr>
          <w:rFonts w:ascii="Times New Roman" w:hAnsi="Times New Roman"/>
          <w:sz w:val="20"/>
        </w:rPr>
        <w:t xml:space="preserve">Upon surrender for registration of transfer of any Security of a series at the office or agency of the Company in a Place of Payment for that series, the Company shall execute, if applicable the Subsidiary Guarantors shall execute the notations of Subsidiary Guarantees endorsed thereon and the Trustee shall authenticate and deliver, in the name of the designated transferee or transferees, one or more new Securities of the same series, of any authorized denominations and of like tenor and aggregate principal amount. </w:t>
      </w:r>
    </w:p>
    <w:p>
      <w:pPr>
        <w:pStyle w:val="TextBody"/>
        <w:spacing w:before="180" w:after="0"/>
        <w:rPr>
          <w:rFonts w:ascii="Times New Roman" w:hAnsi="Times New Roman"/>
          <w:sz w:val="20"/>
        </w:rPr>
      </w:pPr>
      <w:r>
        <w:rPr>
          <w:rFonts w:ascii="Times New Roman" w:hAnsi="Times New Roman"/>
          <w:sz w:val="20"/>
        </w:rPr>
        <w:t xml:space="preserve">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if applicable the Subsidiary Guarantors shall execute the notations of Subsidiary Guarantees endorsed thereon and the Trustee shall authenticate and deliver, the Securities which the Holder making the exchange is entitled to receive.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w:t>
      </w:r>
    </w:p>
    <w:p>
      <w:pPr>
        <w:pStyle w:val="TextBody"/>
        <w:spacing w:before="180" w:after="0"/>
        <w:rPr>
          <w:rFonts w:ascii="Times New Roman" w:hAnsi="Times New Roman"/>
          <w:sz w:val="20"/>
        </w:rPr>
      </w:pPr>
      <w:r>
        <w:rPr>
          <w:rFonts w:ascii="Times New Roman" w:hAnsi="Times New Roman"/>
          <w:sz w:val="20"/>
        </w:rPr>
        <w:t xml:space="preserve">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 </w:t>
      </w:r>
    </w:p>
    <w:p>
      <w:pPr>
        <w:pStyle w:val="TextBody"/>
        <w:spacing w:before="180" w:after="0"/>
        <w:rPr>
          <w:rFonts w:ascii="Times New Roman" w:hAnsi="Times New Roman"/>
          <w:sz w:val="20"/>
        </w:rPr>
      </w:pPr>
      <w:r>
        <w:rPr>
          <w:rFonts w:ascii="Times New Roman" w:hAnsi="Times New Roman"/>
          <w:sz w:val="20"/>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1107 or otherwise not involving any transfer. </w:t>
      </w:r>
    </w:p>
    <w:p>
      <w:pPr>
        <w:pStyle w:val="TextBody"/>
        <w:spacing w:before="180" w:after="0"/>
        <w:rPr>
          <w:rFonts w:ascii="Times New Roman" w:hAnsi="Times New Roman"/>
          <w:sz w:val="20"/>
        </w:rPr>
      </w:pPr>
      <w:r>
        <w:rPr>
          <w:rFonts w:ascii="Times New Roman" w:hAnsi="Times New Roman"/>
          <w:sz w:val="20"/>
        </w:rPr>
        <w:t xml:space="preserve">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 </w:t>
      </w:r>
    </w:p>
    <w:p>
      <w:pPr>
        <w:pStyle w:val="TextBody"/>
        <w:spacing w:before="180" w:after="0"/>
        <w:rPr>
          <w:rFonts w:ascii="Times New Roman" w:hAnsi="Times New Roman"/>
          <w:sz w:val="20"/>
        </w:rPr>
      </w:pPr>
      <w:r>
        <w:rPr>
          <w:rFonts w:ascii="Times New Roman" w:hAnsi="Times New Roman"/>
          <w:sz w:val="20"/>
        </w:rPr>
        <w:t xml:space="preserve">The provisions of clauses (1), (2), (3) and (4) below shall apply only to Global Securities: </w:t>
      </w:r>
    </w:p>
    <w:p>
      <w:pPr>
        <w:pStyle w:val="TextBody"/>
        <w:spacing w:before="180" w:after="0"/>
        <w:rPr>
          <w:rFonts w:ascii="Times New Roman" w:hAnsi="Times New Roman"/>
          <w:sz w:val="20"/>
        </w:rPr>
      </w:pPr>
      <w:r>
        <w:rPr>
          <w:rFonts w:ascii="Times New Roman" w:hAnsi="Times New Roman"/>
          <w:sz w:val="20"/>
        </w:rPr>
        <w:t xml:space="preserve">(1) 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 </w:t>
      </w:r>
    </w:p>
    <w:p>
      <w:pPr>
        <w:pStyle w:val="TextBody"/>
        <w:spacing w:before="180" w:after="0"/>
        <w:rPr>
          <w:rFonts w:ascii="Times New Roman" w:hAnsi="Times New Roman"/>
          <w:sz w:val="20"/>
        </w:rPr>
      </w:pPr>
      <w:r>
        <w:rPr>
          <w:rFonts w:ascii="Times New Roman" w:hAnsi="Times New Roman"/>
          <w:sz w:val="20"/>
        </w:rPr>
        <w:t xml:space="preserve">(2) 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and in either case the Company fails to appoint a successor Depositary within 90 days, (B) there shall have occurred and be continuing an Event of Default with respect to such Global Security and the Depositary shall have notified the Trustee of its decision to exchange such Global Security for Securities in certificated form, (C) subject to the rules of the Depositary, the Company shall have elected to terminate the book-entry system through the Depositary, or (D) there shall exist such circumstances, if any, in addition to or in lieu of the foregoing as have been specified for this purpose as contemplated by Section 301.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(3) 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 </w:t>
      </w:r>
    </w:p>
    <w:p>
      <w:pPr>
        <w:pStyle w:val="TextBody"/>
        <w:spacing w:before="180" w:after="0"/>
        <w:rPr>
          <w:rFonts w:ascii="Times New Roman" w:hAnsi="Times New Roman"/>
          <w:sz w:val="20"/>
        </w:rPr>
      </w:pPr>
      <w:r>
        <w:rPr>
          <w:rFonts w:ascii="Times New Roman" w:hAnsi="Times New Roman"/>
          <w:sz w:val="20"/>
        </w:rPr>
        <w:t xml:space="preserve">(4) 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 </w:t>
      </w:r>
    </w:p>
    <w:p>
      <w:pPr>
        <w:pStyle w:val="TextBody"/>
        <w:spacing w:before="180" w:after="0"/>
        <w:rPr>
          <w:rFonts w:ascii="Times New Roman" w:hAnsi="Times New Roman"/>
          <w:sz w:val="20"/>
        </w:rPr>
      </w:pPr>
      <w:r>
        <w:rPr>
          <w:rFonts w:ascii="Times New Roman" w:hAnsi="Times New Roman"/>
          <w:sz w:val="20"/>
        </w:rPr>
        <w:t xml:space="preserve">SECTION 306. </w:t>
      </w:r>
      <w:r>
        <w:rPr>
          <w:rFonts w:ascii="Times New Roman" w:hAnsi="Times New Roman"/>
          <w:b/>
          <w:sz w:val="20"/>
          <w:u w:val="single"/>
        </w:rPr>
        <w:t>Mutilated, Destroyed, Lost and Stolen Securities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and, if applicable, the Subsidiary Guarantors shall execute the notation of Subsidiary Guarantee endorsed thereon. </w:t>
      </w:r>
    </w:p>
    <w:p>
      <w:pPr>
        <w:pStyle w:val="TextBody"/>
        <w:spacing w:before="180" w:after="0"/>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as may be required by them to save each of them and any agent of either of them harmless from any loss that any of them may suffer if a Security is replaced, then, in the absence of notice to the Company or the Trustee that such Security has been acquired by a protected purchaser, the Company shall execute, and the Trustee shall authenticate and deliver, in lieu of any such destroyed, lost or stolen Security, a new Security of the same series and of like tenor and principal amount and bearing a number not contemporaneously outstanding, and, if applicable, the Subsidiary Guarantors shall execute the notation of Subsidiary Guarantee endorsed thereon. In case any such mutilated, destroyed, lost or stolen Security has become or is about to become due and payable or is to be converted, the Company in its discretion may, instead of issuing a new Security, pay or authorize the conversion of such Security (without surrender thereof save in the case of a mutilated Security). </w:t>
      </w:r>
    </w:p>
    <w:p>
      <w:pPr>
        <w:pStyle w:val="TextBody"/>
        <w:spacing w:before="180" w:after="0"/>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spacing w:before="180" w:after="0"/>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spacing w:before="180" w:after="0"/>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payment or conversion of mutilated, destroyed, lost or stolen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307. </w:t>
      </w:r>
      <w:r>
        <w:rPr>
          <w:rFonts w:ascii="Times New Roman" w:hAnsi="Times New Roman"/>
          <w:b/>
          <w:sz w:val="20"/>
          <w:u w:val="single"/>
        </w:rPr>
        <w:t>Payment of Interest; Interest Rights Preserved</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w:t>
      </w:r>
    </w:p>
    <w:p>
      <w:pPr>
        <w:pStyle w:val="TextBody"/>
        <w:spacing w:before="180" w:after="0"/>
        <w:rPr>
          <w:rFonts w:ascii="Times New Roman" w:hAnsi="Times New Roman"/>
          <w:sz w:val="20"/>
        </w:rPr>
      </w:pPr>
      <w:r>
        <w:rPr>
          <w:rFonts w:ascii="Times New Roman" w:hAnsi="Times New Roman"/>
          <w:sz w:val="20"/>
        </w:rPr>
        <w:t>Any interest on any Security of any series which is payable, but is not punctually paid or duly provided for, on any Interest Payment Date (herein called </w:t>
      </w:r>
      <w:r>
        <w:rPr>
          <w:rFonts w:ascii="Times New Roman" w:hAnsi="Times New Roman"/>
          <w:b/>
          <w:sz w:val="20"/>
        </w:rPr>
        <w:t>Defaulted Interest</w:t>
      </w:r>
      <w:r>
        <w:rPr>
          <w:rFonts w:ascii="Times New Roman" w:hAnsi="Times New Roman"/>
          <w:sz w:val="20"/>
        </w:rPr>
        <w:t xml:space="preserve">) shall forthwith cease to be payable to the Holder on the relevant Regular Record Date by virtue of having been such Holder, and such Defaulted Interest may be paid by the Company, at its election in each case, as provided in clause (1) or (2) below: </w:t>
      </w:r>
    </w:p>
    <w:p>
      <w:pPr>
        <w:pStyle w:val="TextBody"/>
        <w:spacing w:before="180" w:after="0"/>
        <w:rPr>
          <w:rFonts w:ascii="Times New Roman" w:hAnsi="Times New Roman"/>
          <w:sz w:val="20"/>
        </w:rPr>
      </w:pPr>
      <w:r>
        <w:rPr>
          <w:rFonts w:ascii="Times New Roman" w:hAnsi="Times New Roman"/>
          <w:sz w:val="20"/>
        </w:rPr>
        <w:t xml:space="preserve">(1) 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 </w:t>
      </w:r>
    </w:p>
    <w:p>
      <w:pPr>
        <w:pStyle w:val="TextBody"/>
        <w:spacing w:before="180" w:after="0"/>
        <w:rPr>
          <w:rFonts w:ascii="Times New Roman" w:hAnsi="Times New Roman"/>
          <w:sz w:val="20"/>
        </w:rPr>
      </w:pPr>
      <w:r>
        <w:rPr>
          <w:rFonts w:ascii="Times New Roman" w:hAnsi="Times New Roman"/>
          <w:sz w:val="20"/>
        </w:rPr>
        <w:t xml:space="preserve">(2) 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spacing w:before="180" w:after="0"/>
        <w:rPr>
          <w:rFonts w:ascii="Times New Roman" w:hAnsi="Times New Roman"/>
          <w:sz w:val="20"/>
        </w:rPr>
      </w:pPr>
      <w:r>
        <w:rPr>
          <w:rFonts w:ascii="Times New Roman" w:hAnsi="Times New Roman"/>
          <w:sz w:val="20"/>
        </w:rPr>
        <w:t xml:space="preserve">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308. </w:t>
      </w:r>
      <w:r>
        <w:rPr>
          <w:rFonts w:ascii="Times New Roman" w:hAnsi="Times New Roman"/>
          <w:b/>
          <w:sz w:val="20"/>
          <w:u w:val="single"/>
        </w:rPr>
        <w:t>Persons Deemed Owners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Prior to due presentment of a Security for registration of transfer, the Company, the Subsidiary Guarantors, the Trustee and any agent of the Company, the Subsidiary Guarantors,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any Subsidiary Guarantor, the Trustee nor any agent of the Company, any Subsidiary Guarantor, or the Trustee shall be affected by notice to the contrary. </w:t>
      </w:r>
    </w:p>
    <w:p>
      <w:pPr>
        <w:pStyle w:val="TextBody"/>
        <w:spacing w:before="180" w:after="0"/>
        <w:rPr>
          <w:rFonts w:ascii="Times New Roman" w:hAnsi="Times New Roman"/>
          <w:sz w:val="20"/>
        </w:rPr>
      </w:pPr>
      <w:r>
        <w:rPr>
          <w:rFonts w:ascii="Times New Roman" w:hAnsi="Times New Roman"/>
          <w:sz w:val="20"/>
        </w:rPr>
        <w:t xml:space="preserve">SECTION 309. </w:t>
      </w:r>
      <w:r>
        <w:rPr>
          <w:rFonts w:ascii="Times New Roman" w:hAnsi="Times New Roman"/>
          <w:b/>
          <w:sz w:val="20"/>
          <w:u w:val="single"/>
        </w:rPr>
        <w:t>Cancellation</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All Securities surrendered for payment, redemption, purchase,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accordance with its standard procedures, unless as otherwise directed by a Company Order. </w:t>
      </w:r>
    </w:p>
    <w:p>
      <w:pPr>
        <w:pStyle w:val="TextBody"/>
        <w:spacing w:before="180" w:after="0"/>
        <w:rPr>
          <w:rFonts w:ascii="Times New Roman" w:hAnsi="Times New Roman"/>
          <w:sz w:val="20"/>
        </w:rPr>
      </w:pPr>
      <w:r>
        <w:rPr>
          <w:rFonts w:ascii="Times New Roman" w:hAnsi="Times New Roman"/>
          <w:sz w:val="20"/>
        </w:rPr>
        <w:t xml:space="preserve">SECTION 310. </w:t>
      </w:r>
      <w:r>
        <w:rPr>
          <w:rFonts w:ascii="Times New Roman" w:hAnsi="Times New Roman"/>
          <w:b/>
          <w:sz w:val="20"/>
          <w:u w:val="single"/>
        </w:rPr>
        <w:t>Computation of Interest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Except as otherwise specified as contemplated by Section 301 for Securities of any series, interest on the Securities of each series shall be computed on the basis of a 360-day year of twelve 30-day months. </w:t>
      </w:r>
    </w:p>
    <w:p>
      <w:pPr>
        <w:pStyle w:val="TextBody"/>
        <w:spacing w:before="270" w:after="0"/>
        <w:jc w:val="center"/>
        <w:rPr>
          <w:rFonts w:ascii="Times New Roman" w:hAnsi="Times New Roman"/>
          <w:b/>
          <w:sz w:val="20"/>
        </w:rPr>
      </w:pPr>
      <w:r>
        <w:rPr>
          <w:rFonts w:ascii="Times New Roman" w:hAnsi="Times New Roman"/>
          <w:b/>
          <w:sz w:val="20"/>
        </w:rPr>
        <w:t xml:space="preserve">ARTICLE FOUR </w:t>
      </w:r>
    </w:p>
    <w:p>
      <w:pPr>
        <w:pStyle w:val="TextBody"/>
        <w:spacing w:before="0" w:after="0"/>
        <w:jc w:val="center"/>
        <w:rPr>
          <w:rFonts w:ascii="Times New Roman" w:hAnsi="Times New Roman"/>
          <w:b/>
          <w:sz w:val="20"/>
        </w:rPr>
      </w:pPr>
      <w:r>
        <w:rPr>
          <w:rFonts w:ascii="Times New Roman" w:hAnsi="Times New Roman"/>
          <w:b/>
          <w:sz w:val="20"/>
        </w:rPr>
        <w:t xml:space="preserve">SATISFACTION AND DISCHARGE </w:t>
      </w:r>
    </w:p>
    <w:p>
      <w:pPr>
        <w:pStyle w:val="TextBody"/>
        <w:spacing w:before="180" w:after="0"/>
        <w:rPr>
          <w:rFonts w:ascii="Times New Roman" w:hAnsi="Times New Roman"/>
          <w:sz w:val="20"/>
        </w:rPr>
      </w:pPr>
      <w:r>
        <w:rPr>
          <w:rFonts w:ascii="Times New Roman" w:hAnsi="Times New Roman"/>
          <w:sz w:val="20"/>
        </w:rPr>
        <w:t xml:space="preserve">SECTION 401. </w:t>
      </w:r>
      <w:r>
        <w:rPr>
          <w:rFonts w:ascii="Times New Roman" w:hAnsi="Times New Roman"/>
          <w:b/>
          <w:sz w:val="20"/>
          <w:u w:val="single"/>
        </w:rPr>
        <w:t>Satisfaction and Discharge of Indenture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This Indenture shall upon Company Request cease to be of further effect with respect to the Securities of any series, and the Trustee, at the expense of the Company, shall execute proper instruments acknowledging satisfaction and discharge of this Indenture, when </w:t>
      </w:r>
    </w:p>
    <w:p>
      <w:pPr>
        <w:pStyle w:val="TextBody"/>
        <w:spacing w:before="180" w:after="0"/>
        <w:rPr>
          <w:rFonts w:ascii="Times New Roman" w:hAnsi="Times New Roman"/>
          <w:sz w:val="20"/>
        </w:rPr>
      </w:pPr>
      <w:r>
        <w:rPr>
          <w:rFonts w:ascii="Times New Roman" w:hAnsi="Times New Roman"/>
          <w:sz w:val="20"/>
        </w:rPr>
        <w:t xml:space="preserve">(1) either </w:t>
      </w:r>
    </w:p>
    <w:p>
      <w:pPr>
        <w:pStyle w:val="TextBody"/>
        <w:spacing w:before="90" w:after="0"/>
        <w:rPr>
          <w:rFonts w:ascii="Times New Roman" w:hAnsi="Times New Roman"/>
          <w:sz w:val="20"/>
        </w:rPr>
      </w:pPr>
      <w:r>
        <w:rPr>
          <w:rFonts w:ascii="Times New Roman" w:hAnsi="Times New Roman"/>
          <w:sz w:val="20"/>
        </w:rPr>
        <w:t xml:space="preserve">(A) all Securities of such series theretofore authenticated and delivered (other than (i) Securities of such series which have been destroyed, lost or stolen and which have been replaced or paid as provided in Section 306 and (ii) Securities of such series for whose payment money has theretofore been deposited in trust or segregated and held in trust by the Company and thereafter repaid to the Company or discharged from such trust, as provided in Section 1003) have been delivered to the Trustee for cancellation;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all such Securities of such series not theretofore delivered to the Trustee for cancellation </w:t>
      </w:r>
    </w:p>
    <w:p>
      <w:pPr>
        <w:pStyle w:val="TextBody"/>
        <w:spacing w:before="90" w:after="0"/>
        <w:rPr>
          <w:rFonts w:ascii="Times New Roman" w:hAnsi="Times New Roman"/>
          <w:sz w:val="20"/>
        </w:rPr>
      </w:pPr>
      <w:r>
        <w:rPr>
          <w:rFonts w:ascii="Times New Roman" w:hAnsi="Times New Roman"/>
          <w:sz w:val="20"/>
        </w:rPr>
        <w:t xml:space="preserve">(i) have become due and payable, or </w:t>
      </w:r>
    </w:p>
    <w:p>
      <w:pPr>
        <w:pStyle w:val="TextBody"/>
        <w:spacing w:before="90" w:after="0"/>
        <w:rPr>
          <w:rFonts w:ascii="Times New Roman" w:hAnsi="Times New Roman"/>
          <w:sz w:val="20"/>
        </w:rPr>
      </w:pPr>
      <w:r>
        <w:rPr>
          <w:rFonts w:ascii="Times New Roman" w:hAnsi="Times New Roman"/>
          <w:sz w:val="20"/>
        </w:rPr>
        <w:t xml:space="preserve">(ii) will become due and payable at their Stated Maturity within one year, or </w:t>
      </w:r>
    </w:p>
    <w:p>
      <w:pPr>
        <w:pStyle w:val="TextBody"/>
        <w:spacing w:before="90" w:after="0"/>
        <w:rPr>
          <w:rFonts w:ascii="Times New Roman" w:hAnsi="Times New Roman"/>
          <w:sz w:val="20"/>
        </w:rPr>
      </w:pPr>
      <w:r>
        <w:rPr>
          <w:rFonts w:ascii="Times New Roman" w:hAnsi="Times New Roman"/>
          <w:sz w:val="20"/>
        </w:rPr>
        <w:t xml:space="preserve">(iii) are to be called for redemption within one year under arrangements satisfactory to the Trustee for the giving of notice of redemption by the Trustee in the name, and at the expense, of the Company, </w:t>
      </w:r>
    </w:p>
    <w:p>
      <w:pPr>
        <w:pStyle w:val="TextBody"/>
        <w:spacing w:before="180" w:after="0"/>
        <w:rPr>
          <w:rFonts w:ascii="Times New Roman" w:hAnsi="Times New Roman"/>
          <w:sz w:val="20"/>
        </w:rPr>
      </w:pPr>
      <w:r>
        <w:rPr>
          <w:rFonts w:ascii="Times New Roman" w:hAnsi="Times New Roman"/>
          <w:sz w:val="20"/>
        </w:rPr>
        <w:t xml:space="preserve">and the Company or, if applicable, a Subsidiary Guarantor, in the case of (i), (ii) or (iii) above, has irrevocably deposited or caused to be deposited with the Trustee as trust funds in trust for the purpose money in an amount sufficient, without consideration of any reinvestment of interest,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 </w:t>
      </w:r>
    </w:p>
    <w:p>
      <w:pPr>
        <w:pStyle w:val="TextBody"/>
        <w:spacing w:before="180" w:after="0"/>
        <w:rPr>
          <w:rFonts w:ascii="Times New Roman" w:hAnsi="Times New Roman"/>
          <w:sz w:val="20"/>
        </w:rPr>
      </w:pPr>
      <w:r>
        <w:rPr>
          <w:rFonts w:ascii="Times New Roman" w:hAnsi="Times New Roman"/>
          <w:sz w:val="20"/>
        </w:rPr>
        <w:t xml:space="preserve">(2) the Company or a Subsidiary Guarantor has paid or caused to be paid all other sums payable hereunder by the Company and the Subsidiary Guarantors with respect to the Securities of such series; and </w:t>
      </w:r>
    </w:p>
    <w:p>
      <w:pPr>
        <w:pStyle w:val="TextBody"/>
        <w:spacing w:before="180" w:after="0"/>
        <w:rPr>
          <w:rFonts w:ascii="Times New Roman" w:hAnsi="Times New Roman"/>
          <w:sz w:val="20"/>
        </w:rPr>
      </w:pPr>
      <w:r>
        <w:rPr>
          <w:rFonts w:ascii="Times New Roman" w:hAnsi="Times New Roman"/>
          <w:sz w:val="20"/>
        </w:rPr>
        <w:t xml:space="preserve">(3) 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 </w:t>
      </w:r>
    </w:p>
    <w:p>
      <w:pPr>
        <w:pStyle w:val="TextBody"/>
        <w:spacing w:before="180" w:after="0"/>
        <w:rPr>
          <w:rFonts w:ascii="Times New Roman" w:hAnsi="Times New Roman"/>
          <w:sz w:val="20"/>
        </w:rPr>
      </w:pPr>
      <w:r>
        <w:rPr>
          <w:rFonts w:ascii="Times New Roman" w:hAnsi="Times New Roman"/>
          <w:sz w:val="20"/>
        </w:rPr>
        <w:t xml:space="preserve">Notwithstanding the satisfaction and discharge of this Indenture, the obligations of the Company to the Trustee under Section 607, the obligations of the Company with respect to the Securities of such series under Sections 304, 305, 306, 1002 and 1003, any surviving rights of conversion,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 </w:t>
      </w:r>
    </w:p>
    <w:p>
      <w:pPr>
        <w:pStyle w:val="TextBody"/>
        <w:spacing w:before="180" w:after="0"/>
        <w:rPr>
          <w:rFonts w:ascii="Times New Roman" w:hAnsi="Times New Roman"/>
          <w:sz w:val="20"/>
        </w:rPr>
      </w:pPr>
      <w:r>
        <w:rPr>
          <w:rFonts w:ascii="Times New Roman" w:hAnsi="Times New Roman"/>
          <w:sz w:val="20"/>
        </w:rPr>
        <w:t xml:space="preserve">SECTION 402. </w:t>
      </w:r>
      <w:r>
        <w:rPr>
          <w:rFonts w:ascii="Times New Roman" w:hAnsi="Times New Roman"/>
          <w:b/>
          <w:sz w:val="20"/>
          <w:u w:val="single"/>
        </w:rPr>
        <w:t>Application of Trust Money</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FIVE </w:t>
      </w:r>
    </w:p>
    <w:p>
      <w:pPr>
        <w:pStyle w:val="TextBody"/>
        <w:spacing w:before="0" w:after="0"/>
        <w:jc w:val="center"/>
        <w:rPr>
          <w:rFonts w:ascii="Times New Roman" w:hAnsi="Times New Roman"/>
          <w:b/>
          <w:sz w:val="20"/>
        </w:rPr>
      </w:pPr>
      <w:r>
        <w:rPr>
          <w:rFonts w:ascii="Times New Roman" w:hAnsi="Times New Roman"/>
          <w:b/>
          <w:sz w:val="20"/>
        </w:rPr>
        <w:t xml:space="preserve">REMEDIES </w:t>
      </w:r>
    </w:p>
    <w:p>
      <w:pPr>
        <w:pStyle w:val="TextBody"/>
        <w:spacing w:before="180" w:after="0"/>
        <w:rPr>
          <w:rFonts w:ascii="Times New Roman" w:hAnsi="Times New Roman"/>
          <w:sz w:val="20"/>
        </w:rPr>
      </w:pPr>
      <w:r>
        <w:rPr>
          <w:rFonts w:ascii="Times New Roman" w:hAnsi="Times New Roman"/>
          <w:sz w:val="20"/>
        </w:rPr>
        <w:t xml:space="preserve">SECTION 501. </w:t>
      </w:r>
      <w:r>
        <w:rPr>
          <w:rFonts w:ascii="Times New Roman" w:hAnsi="Times New Roman"/>
          <w:b/>
          <w:sz w:val="20"/>
          <w:u w:val="single"/>
        </w:rPr>
        <w:t>Events of Default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Event of Default</w:t>
      </w:r>
      <w:r>
        <w:rPr>
          <w:rFonts w:ascii="Times New Roman" w:hAnsi="Times New Roman"/>
          <w:sz w:val="20"/>
        </w:rPr>
        <w:t xml:space="preserve">, wherever used herein with respect to Securities of any series, means any one of the following events (whatever the reason for such Event of Default and whether it shall be occasioned by the provisions of Article Twelve or Fourteen or voluntary or involuntary or be effected by operation of law or pursuant to any judgment, decree or order of any court or any order, rule or regulation of any administrative or governmental body): </w:t>
      </w:r>
    </w:p>
    <w:p>
      <w:pPr>
        <w:pStyle w:val="TextBody"/>
        <w:spacing w:before="180" w:after="0"/>
        <w:rPr>
          <w:rFonts w:ascii="Times New Roman" w:hAnsi="Times New Roman"/>
          <w:sz w:val="20"/>
        </w:rPr>
      </w:pPr>
      <w:r>
        <w:rPr>
          <w:rFonts w:ascii="Times New Roman" w:hAnsi="Times New Roman"/>
          <w:sz w:val="20"/>
        </w:rPr>
        <w:t xml:space="preserve">(1) default in the payment of any interest upon any Security of that series when it becomes due and payable, and continuance of such default for a period of 30 days; or </w:t>
      </w:r>
    </w:p>
    <w:p>
      <w:pPr>
        <w:pStyle w:val="TextBody"/>
        <w:spacing w:before="180" w:after="0"/>
        <w:rPr>
          <w:rFonts w:ascii="Times New Roman" w:hAnsi="Times New Roman"/>
          <w:sz w:val="20"/>
        </w:rPr>
      </w:pPr>
      <w:r>
        <w:rPr>
          <w:rFonts w:ascii="Times New Roman" w:hAnsi="Times New Roman"/>
          <w:sz w:val="20"/>
        </w:rPr>
        <w:t xml:space="preserve">(2) default in the payment of the principal of or any premium on any Security of that series at its Maturity; or </w:t>
      </w:r>
    </w:p>
    <w:p>
      <w:pPr>
        <w:pStyle w:val="TextBody"/>
        <w:spacing w:before="180" w:after="0"/>
        <w:rPr>
          <w:rFonts w:ascii="Times New Roman" w:hAnsi="Times New Roman"/>
          <w:sz w:val="20"/>
        </w:rPr>
      </w:pPr>
      <w:r>
        <w:rPr>
          <w:rFonts w:ascii="Times New Roman" w:hAnsi="Times New Roman"/>
          <w:sz w:val="20"/>
        </w:rPr>
        <w:t xml:space="preserve">(3) default in the deposit of any sinking fund payment, when and as due by the terms of a Security of that series; or </w:t>
      </w:r>
    </w:p>
    <w:p>
      <w:pPr>
        <w:pStyle w:val="TextBody"/>
        <w:spacing w:before="180" w:after="0"/>
        <w:rPr>
          <w:rFonts w:ascii="Times New Roman" w:hAnsi="Times New Roman"/>
          <w:sz w:val="20"/>
        </w:rPr>
      </w:pPr>
      <w:r>
        <w:rPr>
          <w:rFonts w:ascii="Times New Roman" w:hAnsi="Times New Roman"/>
          <w:sz w:val="20"/>
        </w:rPr>
        <w:t xml:space="preserve">(4) default in the performance, or breach, of any covenant of the Company or, if the Subsidiary Guarantors have issued Subsidiary Guarantees with respect to the Securities of such series, any Subsidiary Guarantor in Article Eight of this Indenture; or </w:t>
      </w:r>
    </w:p>
    <w:p>
      <w:pPr>
        <w:pStyle w:val="TextBody"/>
        <w:spacing w:before="180" w:after="0"/>
        <w:rPr>
          <w:rFonts w:ascii="Times New Roman" w:hAnsi="Times New Roman"/>
          <w:sz w:val="20"/>
        </w:rPr>
      </w:pPr>
      <w:r>
        <w:rPr>
          <w:rFonts w:ascii="Times New Roman" w:hAnsi="Times New Roman"/>
          <w:sz w:val="20"/>
        </w:rPr>
        <w:t>(5) default in the performance, or breach, of any covenant or warranty of the Company or, if the Subsidiary Guarantors have issued Subsidiary Guarantees with respect to the Securities of such series, any Subsidiary Guarantor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w:t>
      </w:r>
      <w:r>
        <w:rPr>
          <w:rFonts w:ascii="Times New Roman" w:hAnsi="Times New Roman"/>
          <w:b/>
          <w:sz w:val="20"/>
        </w:rPr>
        <w:t>Notice of Default</w:t>
      </w:r>
      <w:r>
        <w:rPr>
          <w:rFonts w:ascii="Times New Roman" w:hAnsi="Times New Roman"/>
          <w:sz w:val="20"/>
        </w:rPr>
        <w:t xml:space="preserve"> hereunder; or </w:t>
      </w:r>
    </w:p>
    <w:p>
      <w:pPr>
        <w:pStyle w:val="TextBody"/>
        <w:spacing w:before="180" w:after="0"/>
        <w:rPr>
          <w:rFonts w:ascii="Times New Roman" w:hAnsi="Times New Roman"/>
          <w:sz w:val="20"/>
        </w:rPr>
      </w:pPr>
      <w:r>
        <w:rPr>
          <w:rFonts w:ascii="Times New Roman" w:hAnsi="Times New Roman"/>
          <w:sz w:val="20"/>
        </w:rPr>
        <w:t xml:space="preserve">(6) any Debt of the Company, any Significant Subsidiary or, if the Subsidiary Guarantors have issued Subsidiary Guarantees with respect to the Securities of such series, any Subsidiary Guarantor is not paid within any applicable grace period after final maturity or is accelerated by the holders thereof because of a default and the total amount of such Debt unpaid or accelerated exceeds $20.0 million, or its foreign currency equivalent at the time; or </w:t>
      </w:r>
    </w:p>
    <w:p>
      <w:pPr>
        <w:pStyle w:val="TextBody"/>
        <w:spacing w:before="180" w:after="0"/>
        <w:rPr>
          <w:rFonts w:ascii="Times New Roman" w:hAnsi="Times New Roman"/>
          <w:sz w:val="20"/>
        </w:rPr>
      </w:pPr>
      <w:r>
        <w:rPr>
          <w:rFonts w:ascii="Times New Roman" w:hAnsi="Times New Roman"/>
          <w:sz w:val="20"/>
        </w:rPr>
        <w:t xml:space="preserve">(7) any judgment or decree for the payment of money in excess of $20.0 million or its foreign currency equivalent at the time it is entered against the Company, any Significant Subsidiary or, if the Subsidiary Guarantors have issued Subsidiary Guarantees with respect to the Securities of such series, any Subsidiary Guarantor, remains outstanding for a period of 60 consecutive days following the entry of such judgment or decree and is not discharged, waived or the execution thereof stayed;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(8) the entry by a court having jurisdiction in the premises of (A) a decree or order for relief in respect of the Company, any Significant Subsidiary or, if the Subsidiary Guarantors have issued Subsidiary Guarantees with respect to the Securities of such series, any Subsidiary Guarantor in an involuntary case or proceeding under any applicable Federal or State bankruptcy, insolvency, reorganization or other similar law or (B) a decree or order adjudging the Company, any Significant Subsidiary or any such Subsidiary Guarantor a bankrupt or insolvent, or approving as properly filed a petition seeking reorganization, arrangement, adjustment or composition of or in respect of the Company, any Significant Subsidiary or any such Subsidiary Guarantor under any applicable Federal or State law, or appointing a custodian, receiver, liquidator, assignee, trustee, sequestrator or other similar official of the Company, any Significant Subsidiary or any such Subsidiary Guarantor or of any substantial part of its or their property, or ordering the winding up or liquidation of its or their affairs, and the continuance of any such decree or order for relief or any such other decree or order unstayed and in effect for a period of 60 consecutive days; or </w:t>
      </w:r>
    </w:p>
    <w:p>
      <w:pPr>
        <w:pStyle w:val="TextBody"/>
        <w:spacing w:before="180" w:after="0"/>
        <w:rPr>
          <w:rFonts w:ascii="Times New Roman" w:hAnsi="Times New Roman"/>
          <w:sz w:val="20"/>
        </w:rPr>
      </w:pPr>
      <w:r>
        <w:rPr>
          <w:rFonts w:ascii="Times New Roman" w:hAnsi="Times New Roman"/>
          <w:sz w:val="20"/>
        </w:rPr>
        <w:t xml:space="preserve">(9) the commencement by the Company, any Significant Subsidiary or, if the Subsidiary Guarantors have issued Subsidiary Guarantees with respect to the Securities of such series, any Subsidiary Guarantor of a voluntary case or proceeding under any applicable Federal or State bankruptcy, insolvency, reorganization or other similar law or of any other case or proceeding to be adjudicated a bankrupt or insolvent, or the consent by it or them to the entry of a decree or order for relief in respect of the Company, any Significant Subsidiary or any such Subsidiary Guarantor in an involuntary case or proceeding under any applicable Federal or State bankruptcy, insolvency, reorganization or other similar law or to the commencement of any bankruptcy or insolvency case or proceeding against it or them, or the filing by it or them of a petition or answer or consent seeking reorganization or relief under any applicable Federal or State law, or the consent by it or them to the filing of such petition or to the appointment of or taking possession by a custodian, receiver, liquidator, assignee, trustee, sequestrator or other similar official of the Company, any Significant Subsidiary or any such Subsidiary Guarantor or of any substantial part of its or their property, or the making by it or them of an assignment for the benefit of creditors, or the admission by it or them in writing of its or their inability to pay its or their debts generally as they become due, or the taking of corporate action by the Company, any Significant Subsidiary or any such Subsidiary Guarantor in furtherance of any such action; or </w:t>
      </w:r>
    </w:p>
    <w:p>
      <w:pPr>
        <w:pStyle w:val="TextBody"/>
        <w:spacing w:before="180" w:after="0"/>
        <w:rPr>
          <w:rFonts w:ascii="Times New Roman" w:hAnsi="Times New Roman"/>
          <w:sz w:val="20"/>
        </w:rPr>
      </w:pPr>
      <w:r>
        <w:rPr>
          <w:rFonts w:ascii="Times New Roman" w:hAnsi="Times New Roman"/>
          <w:sz w:val="20"/>
        </w:rPr>
        <w:t xml:space="preserve">(10) in the event the Subsidiary Guarantors have issued Subsidiary Guarantees with respect to the Securities of such series, the Subsidiary Guarantee of any Subsidiary Guarantor is held by a final non-appealable order or judgment of a court of competent jurisdiction to be unenforceable or invalid or ceases for any reason to be in full force and effect (other than in accordance with the terms of this Indenture) or any Subsidiary Guarantor or any Person acting on behalf of any Subsidiary Guarantor denies or disaffirms such Subsidiary Guarantors obligations under its Subsidiary Guarantee (other than by reason of a release of such Subsidiary Guarantor from its Subsidiary Guarantee in accordance with the terms of this Indenture); or </w:t>
      </w:r>
    </w:p>
    <w:p>
      <w:pPr>
        <w:pStyle w:val="TextBody"/>
        <w:spacing w:before="180" w:after="0"/>
        <w:rPr>
          <w:rFonts w:ascii="Times New Roman" w:hAnsi="Times New Roman"/>
          <w:sz w:val="20"/>
        </w:rPr>
      </w:pPr>
      <w:r>
        <w:rPr>
          <w:rFonts w:ascii="Times New Roman" w:hAnsi="Times New Roman"/>
          <w:sz w:val="20"/>
        </w:rPr>
        <w:t xml:space="preserve">(11) any other Event of Default provided with respect to Securities of that series.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502. </w:t>
      </w:r>
      <w:r>
        <w:rPr>
          <w:rFonts w:ascii="Times New Roman" w:hAnsi="Times New Roman"/>
          <w:b/>
          <w:sz w:val="20"/>
          <w:u w:val="single"/>
        </w:rPr>
        <w:t>Acceleration of Maturity; Rescission and Annulment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an Event of Default (other than an Event of Default with respect to the Company specified in Section 501(8) or 501(9))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together with any accrued and unpaid interest thereon, shall become immediately due and payable. If an Event of Default with respect to the Company specified in Section 501(8) or 501 (9)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together with any accrued and unpaid interest thereon, shall automatically, and without any declaration or other action on the part of the Trustee or any Holder, become immediately due and payable. </w:t>
      </w:r>
    </w:p>
    <w:p>
      <w:pPr>
        <w:pStyle w:val="TextBody"/>
        <w:spacing w:before="180" w:after="0"/>
        <w:rPr>
          <w:rFonts w:ascii="Times New Roman" w:hAnsi="Times New Roman"/>
          <w:sz w:val="20"/>
        </w:rPr>
      </w:pPr>
      <w:r>
        <w:rPr>
          <w:rFonts w:ascii="Times New Roman" w:hAnsi="Times New Roman"/>
          <w:sz w:val="20"/>
        </w:rPr>
        <w:t xml:space="preserve">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w:t>
      </w:r>
    </w:p>
    <w:p>
      <w:pPr>
        <w:pStyle w:val="TextBody"/>
        <w:spacing w:before="180" w:after="0"/>
        <w:rPr>
          <w:rFonts w:ascii="Times New Roman" w:hAnsi="Times New Roman"/>
          <w:sz w:val="20"/>
        </w:rPr>
      </w:pPr>
      <w:r>
        <w:rPr>
          <w:rFonts w:ascii="Times New Roman" w:hAnsi="Times New Roman"/>
          <w:sz w:val="20"/>
        </w:rPr>
        <w:t xml:space="preserve">(1) the Company or, if applicable, any Subsidiary Guarantor has paid or deposited with the Trustee a sum sufficient to pay </w:t>
      </w:r>
    </w:p>
    <w:p>
      <w:pPr>
        <w:pStyle w:val="TextBody"/>
        <w:spacing w:before="90" w:after="0"/>
        <w:rPr>
          <w:rFonts w:ascii="Times New Roman" w:hAnsi="Times New Roman"/>
          <w:sz w:val="20"/>
        </w:rPr>
      </w:pPr>
      <w:r>
        <w:rPr>
          <w:rFonts w:ascii="Times New Roman" w:hAnsi="Times New Roman"/>
          <w:sz w:val="20"/>
        </w:rPr>
        <w:t xml:space="preserve">(A) all overdue interest on all Securities of that series, </w:t>
      </w:r>
    </w:p>
    <w:p>
      <w:pPr>
        <w:pStyle w:val="TextBody"/>
        <w:spacing w:before="90" w:after="0"/>
        <w:rPr>
          <w:rFonts w:ascii="Times New Roman" w:hAnsi="Times New Roman"/>
          <w:sz w:val="20"/>
        </w:rPr>
      </w:pPr>
      <w:r>
        <w:rPr>
          <w:rFonts w:ascii="Times New Roman" w:hAnsi="Times New Roman"/>
          <w:sz w:val="20"/>
        </w:rPr>
        <w:t xml:space="preserve">(B) the principal of (and premium, if any, on) any Securities of that series which have become due otherwise than by such declaration of acceleration and any interest thereon at the rate or rates prescribed therefor in such Securities, </w:t>
      </w:r>
    </w:p>
    <w:p>
      <w:pPr>
        <w:pStyle w:val="TextBody"/>
        <w:spacing w:before="90" w:after="0"/>
        <w:rPr>
          <w:rFonts w:ascii="Times New Roman" w:hAnsi="Times New Roman"/>
          <w:sz w:val="20"/>
        </w:rPr>
      </w:pPr>
      <w:r>
        <w:rPr>
          <w:rFonts w:ascii="Times New Roman" w:hAnsi="Times New Roman"/>
          <w:sz w:val="20"/>
        </w:rPr>
        <w:t xml:space="preserve">(C) to the extent that payment of such interest is lawful, interest upon overdue interest at the rate or rates prescribed therefor in such Securities, and </w:t>
      </w:r>
    </w:p>
    <w:p>
      <w:pPr>
        <w:pStyle w:val="TextBody"/>
        <w:spacing w:before="90" w:after="0"/>
        <w:rPr>
          <w:rFonts w:ascii="Times New Roman" w:hAnsi="Times New Roman"/>
          <w:sz w:val="20"/>
        </w:rPr>
      </w:pPr>
      <w:r>
        <w:rPr>
          <w:rFonts w:ascii="Times New Roman" w:hAnsi="Times New Roman"/>
          <w:sz w:val="20"/>
        </w:rPr>
        <w:t xml:space="preserve">(D) all sums paid or advanced by the Trustee hereunder and the reasonable compensation, expenses, disbursements and advances of the Trustee, its agents and counsel; and </w:t>
      </w:r>
    </w:p>
    <w:p>
      <w:pPr>
        <w:pStyle w:val="TextBody"/>
        <w:spacing w:before="180" w:after="0"/>
        <w:rPr>
          <w:rFonts w:ascii="Times New Roman" w:hAnsi="Times New Roman"/>
          <w:sz w:val="20"/>
        </w:rPr>
      </w:pPr>
      <w:r>
        <w:rPr>
          <w:rFonts w:ascii="Times New Roman" w:hAnsi="Times New Roman"/>
          <w:sz w:val="20"/>
        </w:rPr>
        <w:t xml:space="preserve">(2) all Events of Default with respect to Securities of that series, other than the non-payment of the principal of Securities of that series which has become due solely by such declaration of acceleration, have been cured or waived as provided in Section 513. </w:t>
      </w:r>
    </w:p>
    <w:p>
      <w:pPr>
        <w:pStyle w:val="TextBody"/>
        <w:spacing w:before="180" w:after="0"/>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503. </w:t>
      </w:r>
      <w:r>
        <w:rPr>
          <w:rFonts w:ascii="Times New Roman" w:hAnsi="Times New Roman"/>
          <w:b/>
          <w:sz w:val="20"/>
          <w:u w:val="single"/>
        </w:rPr>
        <w:t>Collection of Indebtedness and Suits for Enforcement by Trustee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covenants that if </w:t>
      </w:r>
    </w:p>
    <w:p>
      <w:pPr>
        <w:pStyle w:val="TextBody"/>
        <w:spacing w:before="180" w:after="0"/>
        <w:rPr>
          <w:rFonts w:ascii="Times New Roman" w:hAnsi="Times New Roman"/>
          <w:sz w:val="20"/>
        </w:rPr>
      </w:pPr>
      <w:r>
        <w:rPr>
          <w:rFonts w:ascii="Times New Roman" w:hAnsi="Times New Roman"/>
          <w:sz w:val="20"/>
        </w:rPr>
        <w:t xml:space="preserve">(1) default is made in the payment of any interest on any Security when such interest becomes due and payable and such default continues for a period of 30 days, or </w:t>
      </w:r>
    </w:p>
    <w:p>
      <w:pPr>
        <w:pStyle w:val="TextBody"/>
        <w:spacing w:before="180" w:after="0"/>
        <w:rPr>
          <w:rFonts w:ascii="Times New Roman" w:hAnsi="Times New Roman"/>
          <w:sz w:val="20"/>
        </w:rPr>
      </w:pPr>
      <w:r>
        <w:rPr>
          <w:rFonts w:ascii="Times New Roman" w:hAnsi="Times New Roman"/>
          <w:sz w:val="20"/>
        </w:rPr>
        <w:t xml:space="preserve">(2) default is made in the payment of the principal of (or premium, if any, on) any Security at the Maturity thereof, </w:t>
      </w:r>
    </w:p>
    <w:p>
      <w:pPr>
        <w:pStyle w:val="TextBody"/>
        <w:spacing w:before="180" w:after="0"/>
        <w:rPr>
          <w:rFonts w:ascii="Times New Roman" w:hAnsi="Times New Roman"/>
          <w:sz w:val="20"/>
        </w:rPr>
      </w:pPr>
      <w:r>
        <w:rPr>
          <w:rFonts w:ascii="Times New Roman" w:hAnsi="Times New Roman"/>
          <w:sz w:val="20"/>
        </w:rPr>
        <w:t xml:space="preserve">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spacing w:before="180" w:after="0"/>
        <w:rPr>
          <w:rFonts w:ascii="Times New Roman" w:hAnsi="Times New Roman"/>
          <w:sz w:val="20"/>
        </w:rPr>
      </w:pPr>
      <w:r>
        <w:rPr>
          <w:rFonts w:ascii="Times New Roman" w:hAnsi="Times New Roman"/>
          <w:sz w:val="20"/>
        </w:rPr>
        <w:t xml:space="preserve">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spacing w:before="180" w:after="0"/>
        <w:rPr>
          <w:rFonts w:ascii="Times New Roman" w:hAnsi="Times New Roman"/>
          <w:sz w:val="20"/>
        </w:rPr>
      </w:pPr>
      <w:r>
        <w:rPr>
          <w:rFonts w:ascii="Times New Roman" w:hAnsi="Times New Roman"/>
          <w:sz w:val="20"/>
        </w:rPr>
        <w:t xml:space="preserve">SECTION 504. </w:t>
      </w:r>
      <w:r>
        <w:rPr>
          <w:rFonts w:ascii="Times New Roman" w:hAnsi="Times New Roman"/>
          <w:b/>
          <w:sz w:val="20"/>
          <w:u w:val="single"/>
        </w:rPr>
        <w:t>Trustee May File Proofs of Claim</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case of any judicial proceeding relative to the Company, any Subsidiary Guarantor or any other obligor upon the Securities, or the property or creditors of the Company, any Subsidiary Guarantor or any other obligor upon the Securities,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 </w:t>
      </w:r>
    </w:p>
    <w:p>
      <w:pPr>
        <w:pStyle w:val="TextBody"/>
        <w:spacing w:before="180" w:after="0"/>
        <w:rPr>
          <w:rFonts w:ascii="Times New Roman" w:hAnsi="Times New Roman"/>
          <w:sz w:val="20"/>
        </w:rPr>
      </w:pPr>
      <w:r>
        <w:rPr>
          <w:rFonts w:ascii="Times New Roman" w:hAnsi="Times New Roman"/>
          <w:sz w:val="20"/>
        </w:rPr>
        <w:t xml:space="preserve">No provision of this Indenture shall be deemed to authorize the Trustee to authorize or consent to or accept or adopt on behalf of any Holder any plan of reorganization, arrangement, adjustment or composition affecting the Securities or any Subsidiary Guarantee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505. </w:t>
      </w:r>
      <w:r>
        <w:rPr>
          <w:rFonts w:ascii="Times New Roman" w:hAnsi="Times New Roman"/>
          <w:b/>
          <w:sz w:val="20"/>
          <w:u w:val="single"/>
        </w:rPr>
        <w:t>Trustee May Enforce Claims Without Possession of Securities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All rights of action and claims under this Indenture or the Securities or any Subsidiary Guarantee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w:t>
      </w:r>
    </w:p>
    <w:p>
      <w:pPr>
        <w:pStyle w:val="TextBody"/>
        <w:spacing w:before="180" w:after="0"/>
        <w:rPr>
          <w:rFonts w:ascii="Times New Roman" w:hAnsi="Times New Roman"/>
          <w:sz w:val="20"/>
        </w:rPr>
      </w:pPr>
      <w:r>
        <w:rPr>
          <w:rFonts w:ascii="Times New Roman" w:hAnsi="Times New Roman"/>
          <w:sz w:val="20"/>
        </w:rPr>
        <w:t xml:space="preserve">SECTION 506. </w:t>
      </w:r>
      <w:r>
        <w:rPr>
          <w:rFonts w:ascii="Times New Roman" w:hAnsi="Times New Roman"/>
          <w:b/>
          <w:sz w:val="20"/>
          <w:u w:val="single"/>
        </w:rPr>
        <w:t>Application of Money Collected</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 </w:t>
      </w:r>
    </w:p>
    <w:p>
      <w:pPr>
        <w:pStyle w:val="TextBody"/>
        <w:spacing w:before="180" w:after="0"/>
        <w:rPr>
          <w:rFonts w:ascii="Times New Roman" w:hAnsi="Times New Roman"/>
          <w:sz w:val="20"/>
        </w:rPr>
      </w:pPr>
      <w:r>
        <w:rPr>
          <w:rFonts w:ascii="Times New Roman" w:hAnsi="Times New Roman"/>
          <w:sz w:val="20"/>
        </w:rPr>
        <w:t xml:space="preserve">FIRST: To the payment of all amounts due the Trustee under Section 607; </w:t>
      </w:r>
    </w:p>
    <w:p>
      <w:pPr>
        <w:pStyle w:val="TextBody"/>
        <w:spacing w:before="180" w:after="0"/>
        <w:rPr>
          <w:rFonts w:ascii="Times New Roman" w:hAnsi="Times New Roman"/>
          <w:sz w:val="20"/>
        </w:rPr>
      </w:pPr>
      <w:r>
        <w:rPr>
          <w:rFonts w:ascii="Times New Roman" w:hAnsi="Times New Roman"/>
          <w:sz w:val="20"/>
        </w:rPr>
        <w:t xml:space="preserve">SECOND: Subject to Articles Twelve and Fourteen,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 </w:t>
      </w:r>
    </w:p>
    <w:p>
      <w:pPr>
        <w:pStyle w:val="TextBody"/>
        <w:spacing w:before="180" w:after="0"/>
        <w:rPr>
          <w:rFonts w:ascii="Times New Roman" w:hAnsi="Times New Roman"/>
          <w:sz w:val="20"/>
        </w:rPr>
      </w:pPr>
      <w:r>
        <w:rPr>
          <w:rFonts w:ascii="Times New Roman" w:hAnsi="Times New Roman"/>
          <w:sz w:val="20"/>
        </w:rPr>
        <w:t xml:space="preserve">THIRD: The balance, if any, to the Company or to such other Person as a court of competent jurisdiction shall direct. </w:t>
      </w:r>
    </w:p>
    <w:p>
      <w:pPr>
        <w:pStyle w:val="TextBody"/>
        <w:spacing w:before="180" w:after="0"/>
        <w:rPr>
          <w:rFonts w:ascii="Times New Roman" w:hAnsi="Times New Roman"/>
          <w:sz w:val="20"/>
        </w:rPr>
      </w:pPr>
      <w:r>
        <w:rPr>
          <w:rFonts w:ascii="Times New Roman" w:hAnsi="Times New Roman"/>
          <w:sz w:val="20"/>
        </w:rPr>
        <w:t xml:space="preserve">SECTION 507. </w:t>
      </w:r>
      <w:r>
        <w:rPr>
          <w:rFonts w:ascii="Times New Roman" w:hAnsi="Times New Roman"/>
          <w:b/>
          <w:sz w:val="20"/>
          <w:u w:val="single"/>
        </w:rPr>
        <w:t>Limitation on Suits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spacing w:before="180" w:after="0"/>
        <w:rPr>
          <w:rFonts w:ascii="Times New Roman" w:hAnsi="Times New Roman"/>
          <w:sz w:val="20"/>
        </w:rPr>
      </w:pPr>
      <w:r>
        <w:rPr>
          <w:rFonts w:ascii="Times New Roman" w:hAnsi="Times New Roman"/>
          <w:sz w:val="20"/>
        </w:rPr>
        <w:t xml:space="preserve">(1) such Holder has previously given written notice to the Trustee of a continuing Event of Default with respect to the Securities of that series; </w:t>
      </w:r>
    </w:p>
    <w:p>
      <w:pPr>
        <w:pStyle w:val="TextBody"/>
        <w:spacing w:before="180" w:after="0"/>
        <w:rPr>
          <w:rFonts w:ascii="Times New Roman" w:hAnsi="Times New Roman"/>
          <w:sz w:val="20"/>
        </w:rPr>
      </w:pPr>
      <w:r>
        <w:rPr>
          <w:rFonts w:ascii="Times New Roman" w:hAnsi="Times New Roman"/>
          <w:sz w:val="20"/>
        </w:rPr>
        <w:t xml:space="preserve">(2)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spacing w:before="180" w:after="0"/>
        <w:rPr>
          <w:rFonts w:ascii="Times New Roman" w:hAnsi="Times New Roman"/>
          <w:sz w:val="20"/>
        </w:rPr>
      </w:pPr>
      <w:r>
        <w:rPr>
          <w:rFonts w:ascii="Times New Roman" w:hAnsi="Times New Roman"/>
          <w:sz w:val="20"/>
        </w:rPr>
        <w:t xml:space="preserve">(3) such Holder or Holders have offered to the Trustee reasonable security or indemnity against the costs, expenses and liabilities to be incurred in compliance with such request; </w:t>
      </w:r>
    </w:p>
    <w:p>
      <w:pPr>
        <w:pStyle w:val="TextBody"/>
        <w:spacing w:before="180" w:after="0"/>
        <w:rPr>
          <w:rFonts w:ascii="Times New Roman" w:hAnsi="Times New Roman"/>
          <w:sz w:val="20"/>
        </w:rPr>
      </w:pPr>
      <w:r>
        <w:rPr>
          <w:rFonts w:ascii="Times New Roman" w:hAnsi="Times New Roman"/>
          <w:sz w:val="20"/>
        </w:rPr>
        <w:t xml:space="preserve">(4) the Trustee for 60 days after its receipt of such notice, request and offer of security or indemnity has failed to institute any such proceeding;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(5) no direction inconsistent with such written request has been given to the Trustee during such 60-day period by the Holders of a majority in principal amount of the Outstanding Securities of that series; </w:t>
      </w:r>
    </w:p>
    <w:p>
      <w:pPr>
        <w:pStyle w:val="TextBody"/>
        <w:spacing w:before="180" w:after="0"/>
        <w:rPr>
          <w:rFonts w:ascii="Times New Roman" w:hAnsi="Times New Roman"/>
          <w:sz w:val="20"/>
        </w:rPr>
      </w:pPr>
      <w:r>
        <w:rPr>
          <w:rFonts w:ascii="Times New Roman" w:hAnsi="Times New Roman"/>
          <w:sz w:val="20"/>
        </w:rPr>
        <w:t xml:space="preserve">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 </w:t>
      </w:r>
    </w:p>
    <w:p>
      <w:pPr>
        <w:pStyle w:val="TextBody"/>
        <w:spacing w:before="180" w:after="0"/>
        <w:rPr>
          <w:rFonts w:ascii="Times New Roman" w:hAnsi="Times New Roman"/>
          <w:sz w:val="20"/>
        </w:rPr>
      </w:pPr>
      <w:r>
        <w:rPr>
          <w:rFonts w:ascii="Times New Roman" w:hAnsi="Times New Roman"/>
          <w:sz w:val="20"/>
        </w:rPr>
        <w:t xml:space="preserve">SECTION 508. </w:t>
      </w:r>
      <w:r>
        <w:rPr>
          <w:rFonts w:ascii="Times New Roman" w:hAnsi="Times New Roman"/>
          <w:b/>
          <w:sz w:val="20"/>
          <w:u w:val="single"/>
        </w:rPr>
        <w:t>Unconditional Right of Holders to Receive Principal, Premium and Interest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or offer by the Company to purchase the Securities pursuant to the terms of this Indenture, on the Redemption Date or purchase date, as applicable) and, if applicable, to convert such Security in accordance with its terms, and to institute suit for the enforcement of any such right, and such rights shall not be impaired without the consent of such Holder. </w:t>
      </w:r>
    </w:p>
    <w:p>
      <w:pPr>
        <w:pStyle w:val="TextBody"/>
        <w:spacing w:before="180" w:after="0"/>
        <w:rPr>
          <w:rFonts w:ascii="Times New Roman" w:hAnsi="Times New Roman"/>
          <w:sz w:val="20"/>
        </w:rPr>
      </w:pPr>
      <w:r>
        <w:rPr>
          <w:rFonts w:ascii="Times New Roman" w:hAnsi="Times New Roman"/>
          <w:sz w:val="20"/>
        </w:rPr>
        <w:t xml:space="preserve">SECTION 509. </w:t>
      </w:r>
      <w:r>
        <w:rPr>
          <w:rFonts w:ascii="Times New Roman" w:hAnsi="Times New Roman"/>
          <w:b/>
          <w:sz w:val="20"/>
          <w:u w:val="single"/>
        </w:rPr>
        <w:t>Restoration of Rights and Remedies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Subsidiary Guarantors,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spacing w:before="180" w:after="0"/>
        <w:rPr>
          <w:rFonts w:ascii="Times New Roman" w:hAnsi="Times New Roman"/>
          <w:sz w:val="20"/>
        </w:rPr>
      </w:pPr>
      <w:r>
        <w:rPr>
          <w:rFonts w:ascii="Times New Roman" w:hAnsi="Times New Roman"/>
          <w:sz w:val="20"/>
        </w:rPr>
        <w:t xml:space="preserve">SECTION 510. </w:t>
      </w:r>
      <w:r>
        <w:rPr>
          <w:rFonts w:ascii="Times New Roman" w:hAnsi="Times New Roman"/>
          <w:b/>
          <w:sz w:val="20"/>
          <w:u w:val="single"/>
        </w:rPr>
        <w:t>Rights and Remedies Cumulative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spacing w:before="180" w:after="0"/>
        <w:rPr>
          <w:rFonts w:ascii="Times New Roman" w:hAnsi="Times New Roman"/>
          <w:sz w:val="20"/>
        </w:rPr>
      </w:pPr>
      <w:r>
        <w:rPr>
          <w:rFonts w:ascii="Times New Roman" w:hAnsi="Times New Roman"/>
          <w:sz w:val="20"/>
        </w:rPr>
        <w:t xml:space="preserve">SECTION 511. </w:t>
      </w:r>
      <w:r>
        <w:rPr>
          <w:rFonts w:ascii="Times New Roman" w:hAnsi="Times New Roman"/>
          <w:b/>
          <w:sz w:val="20"/>
          <w:u w:val="single"/>
        </w:rPr>
        <w:t>Delay or Omission Not Waiver</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512. </w:t>
      </w:r>
      <w:r>
        <w:rPr>
          <w:rFonts w:ascii="Times New Roman" w:hAnsi="Times New Roman"/>
          <w:b/>
          <w:sz w:val="20"/>
          <w:u w:val="single"/>
        </w:rPr>
        <w:t>Control by Holders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spacing w:before="180" w:after="0"/>
        <w:rPr>
          <w:rFonts w:ascii="Times New Roman" w:hAnsi="Times New Roman"/>
          <w:sz w:val="20"/>
        </w:rPr>
      </w:pPr>
      <w:r>
        <w:rPr>
          <w:rFonts w:ascii="Times New Roman" w:hAnsi="Times New Roman"/>
          <w:sz w:val="20"/>
        </w:rPr>
        <w:t xml:space="preserve">(1) such direction shall not be in conflict with any rule of law or with this Indenture, and </w:t>
      </w:r>
    </w:p>
    <w:p>
      <w:pPr>
        <w:pStyle w:val="TextBody"/>
        <w:spacing w:before="180" w:after="0"/>
        <w:rPr>
          <w:rFonts w:ascii="Times New Roman" w:hAnsi="Times New Roman"/>
          <w:sz w:val="20"/>
        </w:rPr>
      </w:pPr>
      <w:r>
        <w:rPr>
          <w:rFonts w:ascii="Times New Roman" w:hAnsi="Times New Roman"/>
          <w:sz w:val="20"/>
        </w:rPr>
        <w:t xml:space="preserve">(2) the Trustee may take any other action deemed proper by the Trustee which is not inconsistent with such direction. </w:t>
      </w:r>
    </w:p>
    <w:p>
      <w:pPr>
        <w:pStyle w:val="TextBody"/>
        <w:spacing w:before="180" w:after="0"/>
        <w:rPr>
          <w:rFonts w:ascii="Times New Roman" w:hAnsi="Times New Roman"/>
          <w:sz w:val="20"/>
        </w:rPr>
      </w:pPr>
      <w:r>
        <w:rPr>
          <w:rFonts w:ascii="Times New Roman" w:hAnsi="Times New Roman"/>
          <w:sz w:val="20"/>
        </w:rPr>
        <w:t xml:space="preserve">SECTION 513. </w:t>
      </w:r>
      <w:r>
        <w:rPr>
          <w:rFonts w:ascii="Times New Roman" w:hAnsi="Times New Roman"/>
          <w:b/>
          <w:sz w:val="20"/>
          <w:u w:val="single"/>
        </w:rPr>
        <w:t>Waiver of Past Defaults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Holders of a majority in principal amount of the Outstanding Securities of any series may on behalf of the Holders of all the Securities of such series waive any past default hereunder with respect to such series and its consequences, except a default </w:t>
      </w:r>
    </w:p>
    <w:p>
      <w:pPr>
        <w:pStyle w:val="TextBody"/>
        <w:spacing w:before="180" w:after="0"/>
        <w:rPr>
          <w:rFonts w:ascii="Times New Roman" w:hAnsi="Times New Roman"/>
          <w:sz w:val="20"/>
        </w:rPr>
      </w:pPr>
      <w:r>
        <w:rPr>
          <w:rFonts w:ascii="Times New Roman" w:hAnsi="Times New Roman"/>
          <w:sz w:val="20"/>
        </w:rPr>
        <w:t xml:space="preserve">(1) in the payment of the principal of or any premium or interest on any Security of such series (including any Security which is required to have been purchased by the Company pursuant to an offer to purchase by the Company made pursuant to the terms of this Indenture), or </w:t>
      </w:r>
    </w:p>
    <w:p>
      <w:pPr>
        <w:pStyle w:val="TextBody"/>
        <w:spacing w:before="180" w:after="0"/>
        <w:rPr>
          <w:rFonts w:ascii="Times New Roman" w:hAnsi="Times New Roman"/>
          <w:sz w:val="20"/>
        </w:rPr>
      </w:pPr>
      <w:r>
        <w:rPr>
          <w:rFonts w:ascii="Times New Roman" w:hAnsi="Times New Roman"/>
          <w:sz w:val="20"/>
        </w:rPr>
        <w:t xml:space="preserve">(2) in respect of a covenant or provision hereof which under Article Nine cannot be modified or amended without the consent of the Holder of each Outstanding Security of such series. </w:t>
      </w:r>
    </w:p>
    <w:p>
      <w:pPr>
        <w:pStyle w:val="TextBody"/>
        <w:spacing w:before="180" w:after="0"/>
        <w:rPr>
          <w:rFonts w:ascii="Times New Roman" w:hAnsi="Times New Roman"/>
          <w:sz w:val="20"/>
        </w:rPr>
      </w:pPr>
      <w:r>
        <w:rPr>
          <w:rFonts w:ascii="Times New Roman" w:hAnsi="Times New Roman"/>
          <w:sz w:val="20"/>
        </w:rPr>
        <w:t xml:space="preserve">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spacing w:before="180" w:after="0"/>
        <w:rPr>
          <w:rFonts w:ascii="Times New Roman" w:hAnsi="Times New Roman"/>
          <w:sz w:val="20"/>
        </w:rPr>
      </w:pPr>
      <w:r>
        <w:rPr>
          <w:rFonts w:ascii="Times New Roman" w:hAnsi="Times New Roman"/>
          <w:sz w:val="20"/>
        </w:rPr>
        <w:t xml:space="preserve">SECTION 514. </w:t>
      </w:r>
      <w:r>
        <w:rPr>
          <w:rFonts w:ascii="Times New Roman" w:hAnsi="Times New Roman"/>
          <w:b/>
          <w:sz w:val="20"/>
          <w:u w:val="single"/>
        </w:rPr>
        <w:t>Undertaking for Costs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however, that neither this Section nor the Trust Indenture Act shall be deemed to authorize any court to require such an undertaking or to make such an assessment in any suit instituted by the Company or any Subsidiary Guarantor.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- 38 -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515. </w:t>
      </w:r>
      <w:r>
        <w:rPr>
          <w:rFonts w:ascii="Times New Roman" w:hAnsi="Times New Roman"/>
          <w:b/>
          <w:sz w:val="20"/>
          <w:u w:val="single"/>
        </w:rPr>
        <w:t>Waiver of Usury, Stay or Extension Laws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Each of the Company and the Subsidiary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each of the Company and the Subsidiary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spacing w:before="270" w:after="0"/>
        <w:jc w:val="center"/>
        <w:rPr>
          <w:rFonts w:ascii="Times New Roman" w:hAnsi="Times New Roman"/>
          <w:b/>
          <w:sz w:val="20"/>
        </w:rPr>
      </w:pPr>
      <w:r>
        <w:rPr>
          <w:rFonts w:ascii="Times New Roman" w:hAnsi="Times New Roman"/>
          <w:b/>
          <w:sz w:val="20"/>
        </w:rPr>
        <w:t xml:space="preserve">ARTICLE SIX </w:t>
      </w:r>
    </w:p>
    <w:p>
      <w:pPr>
        <w:pStyle w:val="TextBody"/>
        <w:spacing w:before="0" w:after="0"/>
        <w:jc w:val="center"/>
        <w:rPr>
          <w:rFonts w:ascii="Times New Roman" w:hAnsi="Times New Roman"/>
          <w:b/>
          <w:sz w:val="20"/>
        </w:rPr>
      </w:pPr>
      <w:r>
        <w:rPr>
          <w:rFonts w:ascii="Times New Roman" w:hAnsi="Times New Roman"/>
          <w:b/>
          <w:sz w:val="20"/>
        </w:rPr>
        <w:t xml:space="preserve">THE TRUSTEE </w:t>
      </w:r>
    </w:p>
    <w:p>
      <w:pPr>
        <w:pStyle w:val="TextBody"/>
        <w:spacing w:before="180" w:after="0"/>
        <w:rPr>
          <w:rFonts w:ascii="Times New Roman" w:hAnsi="Times New Roman"/>
          <w:sz w:val="20"/>
        </w:rPr>
      </w:pPr>
      <w:r>
        <w:rPr>
          <w:rFonts w:ascii="Times New Roman" w:hAnsi="Times New Roman"/>
          <w:sz w:val="20"/>
        </w:rPr>
        <w:t xml:space="preserve">SECTION 601. </w:t>
      </w:r>
      <w:r>
        <w:rPr>
          <w:rFonts w:ascii="Times New Roman" w:hAnsi="Times New Roman"/>
          <w:b/>
          <w:sz w:val="20"/>
          <w:u w:val="single"/>
        </w:rPr>
        <w:t>Certain Duties and Responsibilities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duties and responsibilities of the Trustee shall be as expressly set forth in this Indenture and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 </w:t>
      </w:r>
    </w:p>
    <w:p>
      <w:pPr>
        <w:pStyle w:val="TextBody"/>
        <w:spacing w:before="180" w:after="0"/>
        <w:rPr>
          <w:rFonts w:ascii="Times New Roman" w:hAnsi="Times New Roman"/>
          <w:sz w:val="20"/>
        </w:rPr>
      </w:pPr>
      <w:r>
        <w:rPr>
          <w:rFonts w:ascii="Times New Roman" w:hAnsi="Times New Roman"/>
          <w:sz w:val="20"/>
        </w:rPr>
        <w:t xml:space="preserve">SECTION 602. </w:t>
      </w:r>
      <w:r>
        <w:rPr>
          <w:rFonts w:ascii="Times New Roman" w:hAnsi="Times New Roman"/>
          <w:b/>
          <w:sz w:val="20"/>
          <w:u w:val="single"/>
        </w:rPr>
        <w:t>Notice of Defaults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501(5)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 </w:t>
      </w:r>
    </w:p>
    <w:p>
      <w:pPr>
        <w:pStyle w:val="TextBody"/>
        <w:spacing w:before="180" w:after="0"/>
        <w:rPr>
          <w:rFonts w:ascii="Times New Roman" w:hAnsi="Times New Roman"/>
          <w:sz w:val="20"/>
        </w:rPr>
      </w:pPr>
      <w:r>
        <w:rPr>
          <w:rFonts w:ascii="Times New Roman" w:hAnsi="Times New Roman"/>
          <w:sz w:val="20"/>
        </w:rPr>
        <w:t xml:space="preserve">SECTION 603. </w:t>
      </w:r>
      <w:r>
        <w:rPr>
          <w:rFonts w:ascii="Times New Roman" w:hAnsi="Times New Roman"/>
          <w:b/>
          <w:sz w:val="20"/>
          <w:u w:val="single"/>
        </w:rPr>
        <w:t>Certain Rights of Trustee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Subject to the provisions of Section 601: </w:t>
      </w:r>
    </w:p>
    <w:p>
      <w:pPr>
        <w:pStyle w:val="TextBody"/>
        <w:spacing w:before="180" w:after="0"/>
        <w:rPr>
          <w:rFonts w:ascii="Times New Roman" w:hAnsi="Times New Roman"/>
          <w:sz w:val="20"/>
        </w:rPr>
      </w:pPr>
      <w:r>
        <w:rPr>
          <w:rFonts w:ascii="Times New Roman" w:hAnsi="Times New Roman"/>
          <w:sz w:val="20"/>
        </w:rPr>
        <w:t xml:space="preserve">(1)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- 39 -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(2) any request or direction of the Company mentioned herein shall be sufficiently evidenced by a Company Request or Company Order, and any resolution of the Board of Directors shall be sufficiently evidenced by a Board Resolution; </w:t>
      </w:r>
    </w:p>
    <w:p>
      <w:pPr>
        <w:pStyle w:val="TextBody"/>
        <w:spacing w:before="180" w:after="0"/>
        <w:rPr>
          <w:rFonts w:ascii="Times New Roman" w:hAnsi="Times New Roman"/>
          <w:sz w:val="20"/>
        </w:rPr>
      </w:pPr>
      <w:r>
        <w:rPr>
          <w:rFonts w:ascii="Times New Roman" w:hAnsi="Times New Roman"/>
          <w:sz w:val="20"/>
        </w:rPr>
        <w:t xml:space="preserve">(3)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w:t>
      </w:r>
    </w:p>
    <w:p>
      <w:pPr>
        <w:pStyle w:val="TextBody"/>
        <w:spacing w:before="180" w:after="0"/>
        <w:rPr>
          <w:rFonts w:ascii="Times New Roman" w:hAnsi="Times New Roman"/>
          <w:sz w:val="20"/>
        </w:rPr>
      </w:pPr>
      <w:r>
        <w:rPr>
          <w:rFonts w:ascii="Times New Roman" w:hAnsi="Times New Roman"/>
          <w:sz w:val="20"/>
        </w:rPr>
        <w:t xml:space="preserve">(4) the Trustee may consult with counsel and the written advice of such counsel or any Opinion of Counsel shall be full and complete authorization and protection in respect of any action taken, suffered or omitted by it hereunder in good faith and in reliance thereon; </w:t>
      </w:r>
    </w:p>
    <w:p>
      <w:pPr>
        <w:pStyle w:val="TextBody"/>
        <w:spacing w:before="180" w:after="0"/>
        <w:rPr>
          <w:rFonts w:ascii="Times New Roman" w:hAnsi="Times New Roman"/>
          <w:sz w:val="20"/>
        </w:rPr>
      </w:pPr>
      <w:r>
        <w:rPr>
          <w:rFonts w:ascii="Times New Roman" w:hAnsi="Times New Roman"/>
          <w:sz w:val="20"/>
        </w:rPr>
        <w:t xml:space="preserve">(5) 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 </w:t>
      </w:r>
    </w:p>
    <w:p>
      <w:pPr>
        <w:pStyle w:val="TextBody"/>
        <w:spacing w:before="180" w:after="0"/>
        <w:rPr>
          <w:rFonts w:ascii="Times New Roman" w:hAnsi="Times New Roman"/>
          <w:sz w:val="20"/>
        </w:rPr>
      </w:pPr>
      <w:r>
        <w:rPr>
          <w:rFonts w:ascii="Times New Roman" w:hAnsi="Times New Roman"/>
          <w:sz w:val="20"/>
        </w:rPr>
        <w:t xml:space="preserve">(6)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 </w:t>
      </w:r>
    </w:p>
    <w:p>
      <w:pPr>
        <w:pStyle w:val="TextBody"/>
        <w:spacing w:before="180" w:after="0"/>
        <w:rPr>
          <w:rFonts w:ascii="Times New Roman" w:hAnsi="Times New Roman"/>
          <w:sz w:val="20"/>
        </w:rPr>
      </w:pPr>
      <w:r>
        <w:rPr>
          <w:rFonts w:ascii="Times New Roman" w:hAnsi="Times New Roman"/>
          <w:sz w:val="20"/>
        </w:rPr>
        <w:t xml:space="preserve">(7)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spacing w:before="180" w:after="0"/>
        <w:rPr>
          <w:rFonts w:ascii="Times New Roman" w:hAnsi="Times New Roman"/>
          <w:sz w:val="20"/>
        </w:rPr>
      </w:pPr>
      <w:r>
        <w:rPr>
          <w:rFonts w:ascii="Times New Roman" w:hAnsi="Times New Roman"/>
          <w:sz w:val="20"/>
        </w:rPr>
        <w:t xml:space="preserve">SECTION 604. </w:t>
      </w:r>
      <w:r>
        <w:rPr>
          <w:rFonts w:ascii="Times New Roman" w:hAnsi="Times New Roman"/>
          <w:b/>
          <w:sz w:val="20"/>
          <w:u w:val="single"/>
        </w:rPr>
        <w:t>Not Responsible for Recitals or Issuance of Securities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recitals contained herein and in the Securities and the notations of Subsidiary Guarantees, except the Trustees certificates of authentication, shall be taken as the statements of the Company or the Subsidiary Guarantors, as the case may be, and neither the Trustee nor any Authenticating Agent assumes any responsibility for their correctness. The Trustee makes no representations as to the validity or sufficiency of this Indenture or of the Securities or the Subsidiary Guarantees. Neither the Trustee nor any Authenticating Agent shall be accountable for the use or application by the Company of Securities or the proceeds thereof. </w:t>
      </w:r>
    </w:p>
    <w:p>
      <w:pPr>
        <w:pStyle w:val="TextBody"/>
        <w:spacing w:before="180" w:after="0"/>
        <w:rPr>
          <w:rFonts w:ascii="Times New Roman" w:hAnsi="Times New Roman"/>
          <w:sz w:val="20"/>
        </w:rPr>
      </w:pPr>
      <w:r>
        <w:rPr>
          <w:rFonts w:ascii="Times New Roman" w:hAnsi="Times New Roman"/>
          <w:sz w:val="20"/>
        </w:rPr>
        <w:t>SECTION 605. </w:t>
      </w:r>
      <w:r>
        <w:rPr>
          <w:rFonts w:ascii="Times New Roman" w:hAnsi="Times New Roman"/>
          <w:b/>
          <w:sz w:val="20"/>
          <w:u w:val="single"/>
        </w:rPr>
        <w:t>May Hold Securities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any Authenticating Agent, any Paying Agent, any Security Registrar or any other agent of the Company or any Subsidiary Guarantor, in its individual or any other capacity, may become the owner or pledgee of Securities and, subject to Sections 608 and 613, may otherwise deal with the Company and any Subsidiary Guarantor with the same rights it would have if it were not Trustee, Authenticating Agent, Paying Agent, Security Registrar or such other agent.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- 40 -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606. </w:t>
      </w:r>
      <w:r>
        <w:rPr>
          <w:rFonts w:ascii="Times New Roman" w:hAnsi="Times New Roman"/>
          <w:b/>
          <w:sz w:val="20"/>
          <w:u w:val="single"/>
        </w:rPr>
        <w:t>Money Held in Trust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Money held by the Trustee in trust hereunder need not be segregated from other funds except to the extent required by law. The Trustee shall be under no liability for interest on any money received by it hereunder except as otherwise agreed with the Company or any Subsidiary Guarantor, as the case may be. </w:t>
      </w:r>
    </w:p>
    <w:p>
      <w:pPr>
        <w:pStyle w:val="TextBody"/>
        <w:spacing w:before="180" w:after="0"/>
        <w:rPr>
          <w:rFonts w:ascii="Times New Roman" w:hAnsi="Times New Roman"/>
          <w:sz w:val="20"/>
        </w:rPr>
      </w:pPr>
      <w:r>
        <w:rPr>
          <w:rFonts w:ascii="Times New Roman" w:hAnsi="Times New Roman"/>
          <w:sz w:val="20"/>
        </w:rPr>
        <w:t xml:space="preserve">SECTION 607. </w:t>
      </w:r>
      <w:r>
        <w:rPr>
          <w:rFonts w:ascii="Times New Roman" w:hAnsi="Times New Roman"/>
          <w:b/>
          <w:sz w:val="20"/>
          <w:u w:val="single"/>
        </w:rPr>
        <w:t>Compensation and Reimbursement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and each Subsidiary Guarantor jointly and severally agree </w:t>
      </w:r>
    </w:p>
    <w:p>
      <w:pPr>
        <w:pStyle w:val="TextBody"/>
        <w:spacing w:before="180" w:after="0"/>
        <w:rPr>
          <w:rFonts w:ascii="Times New Roman" w:hAnsi="Times New Roman"/>
          <w:sz w:val="20"/>
        </w:rPr>
      </w:pPr>
      <w:r>
        <w:rPr>
          <w:rFonts w:ascii="Times New Roman" w:hAnsi="Times New Roman"/>
          <w:sz w:val="20"/>
        </w:rPr>
        <w:t xml:space="preserve">(1) to pay to the Trustee from time to time reasonable compensation for all services rendered by it hereunder (which compensation shall not be limited by any provision of law in regard to the compensation of a trustee of an express trust); </w:t>
      </w:r>
    </w:p>
    <w:p>
      <w:pPr>
        <w:pStyle w:val="TextBody"/>
        <w:spacing w:before="180" w:after="0"/>
        <w:rPr>
          <w:rFonts w:ascii="Times New Roman" w:hAnsi="Times New Roman"/>
          <w:sz w:val="20"/>
        </w:rPr>
      </w:pPr>
      <w:r>
        <w:rPr>
          <w:rFonts w:ascii="Times New Roman" w:hAnsi="Times New Roman"/>
          <w:sz w:val="20"/>
        </w:rPr>
        <w:t xml:space="preserve">(2) 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 </w:t>
      </w:r>
    </w:p>
    <w:p>
      <w:pPr>
        <w:pStyle w:val="TextBody"/>
        <w:spacing w:before="180" w:after="0"/>
        <w:rPr>
          <w:rFonts w:ascii="Times New Roman" w:hAnsi="Times New Roman"/>
          <w:sz w:val="20"/>
        </w:rPr>
      </w:pPr>
      <w:r>
        <w:rPr>
          <w:rFonts w:ascii="Times New Roman" w:hAnsi="Times New Roman"/>
          <w:sz w:val="20"/>
        </w:rPr>
        <w:t xml:space="preserve">(3) 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w:t>
      </w:r>
    </w:p>
    <w:p>
      <w:pPr>
        <w:pStyle w:val="TextBody"/>
        <w:spacing w:before="180" w:after="0"/>
        <w:rPr>
          <w:rFonts w:ascii="Times New Roman" w:hAnsi="Times New Roman"/>
          <w:sz w:val="20"/>
        </w:rPr>
      </w:pPr>
      <w:r>
        <w:rPr>
          <w:rFonts w:ascii="Times New Roman" w:hAnsi="Times New Roman"/>
          <w:sz w:val="20"/>
        </w:rPr>
        <w:t xml:space="preserve">SECTION 608. </w:t>
      </w:r>
      <w:r>
        <w:rPr>
          <w:rFonts w:ascii="Times New Roman" w:hAnsi="Times New Roman"/>
          <w:b/>
          <w:sz w:val="20"/>
          <w:u w:val="single"/>
        </w:rPr>
        <w:t>Conflicting Interests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 </w:t>
      </w:r>
    </w:p>
    <w:p>
      <w:pPr>
        <w:pStyle w:val="TextBody"/>
        <w:spacing w:before="180" w:after="0"/>
        <w:rPr>
          <w:rFonts w:ascii="Times New Roman" w:hAnsi="Times New Roman"/>
          <w:sz w:val="20"/>
        </w:rPr>
      </w:pPr>
      <w:r>
        <w:rPr>
          <w:rFonts w:ascii="Times New Roman" w:hAnsi="Times New Roman"/>
          <w:sz w:val="20"/>
        </w:rPr>
        <w:t xml:space="preserve">SECTION 609. </w:t>
      </w:r>
      <w:r>
        <w:rPr>
          <w:rFonts w:ascii="Times New Roman" w:hAnsi="Times New Roman"/>
          <w:b/>
          <w:sz w:val="20"/>
          <w:u w:val="single"/>
        </w:rPr>
        <w:t>Corporate Trustee Required; Eligibility</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- 41 -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 </w:t>
      </w:r>
    </w:p>
    <w:p>
      <w:pPr>
        <w:pStyle w:val="TextBody"/>
        <w:spacing w:before="180" w:after="0"/>
        <w:rPr>
          <w:rFonts w:ascii="Times New Roman" w:hAnsi="Times New Roman"/>
          <w:sz w:val="20"/>
        </w:rPr>
      </w:pPr>
      <w:r>
        <w:rPr>
          <w:rFonts w:ascii="Times New Roman" w:hAnsi="Times New Roman"/>
          <w:sz w:val="20"/>
        </w:rPr>
        <w:t xml:space="preserve">SECTION 610. </w:t>
      </w:r>
      <w:r>
        <w:rPr>
          <w:rFonts w:ascii="Times New Roman" w:hAnsi="Times New Roman"/>
          <w:b/>
          <w:sz w:val="20"/>
          <w:u w:val="single"/>
        </w:rPr>
        <w:t>Resignation and Removal; Appointment of Successor</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 resignation or removal of the Trustee and no appointment of a successor Trustee pursuant to this Article shall become effective until the acceptance of appointment by the successor Trustee in accordance with the applicable requirements of Section 611. </w:t>
      </w:r>
    </w:p>
    <w:p>
      <w:pPr>
        <w:pStyle w:val="TextBody"/>
        <w:spacing w:before="180" w:after="0"/>
        <w:rPr>
          <w:rFonts w:ascii="Times New Roman" w:hAnsi="Times New Roman"/>
          <w:sz w:val="20"/>
        </w:rPr>
      </w:pPr>
      <w:r>
        <w:rPr>
          <w:rFonts w:ascii="Times New Roman" w:hAnsi="Times New Roman"/>
          <w:sz w:val="20"/>
        </w:rPr>
        <w:t xml:space="preserve">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 </w:t>
      </w:r>
    </w:p>
    <w:p>
      <w:pPr>
        <w:pStyle w:val="TextBody"/>
        <w:spacing w:before="180" w:after="0"/>
        <w:rPr>
          <w:rFonts w:ascii="Times New Roman" w:hAnsi="Times New Roman"/>
          <w:sz w:val="20"/>
        </w:rPr>
      </w:pPr>
      <w:r>
        <w:rPr>
          <w:rFonts w:ascii="Times New Roman" w:hAnsi="Times New Roman"/>
          <w:sz w:val="20"/>
        </w:rPr>
        <w:t xml:space="preserve">The Trustee may be removed at any time with respect to the Securities of any series by Act of the Holders of a majority in principal amount of the Outstanding Securities of such series, delivered to the Trustee and to the Company. </w:t>
      </w:r>
    </w:p>
    <w:p>
      <w:pPr>
        <w:pStyle w:val="TextBody"/>
        <w:spacing w:before="180" w:after="0"/>
        <w:rPr>
          <w:rFonts w:ascii="Times New Roman" w:hAnsi="Times New Roman"/>
          <w:sz w:val="20"/>
        </w:rPr>
      </w:pPr>
      <w:r>
        <w:rPr>
          <w:rFonts w:ascii="Times New Roman" w:hAnsi="Times New Roman"/>
          <w:sz w:val="20"/>
        </w:rPr>
        <w:t xml:space="preserve">If at any time: </w:t>
      </w:r>
    </w:p>
    <w:p>
      <w:pPr>
        <w:pStyle w:val="TextBody"/>
        <w:spacing w:before="180" w:after="0"/>
        <w:rPr>
          <w:rFonts w:ascii="Times New Roman" w:hAnsi="Times New Roman"/>
          <w:sz w:val="20"/>
        </w:rPr>
      </w:pPr>
      <w:r>
        <w:rPr>
          <w:rFonts w:ascii="Times New Roman" w:hAnsi="Times New Roman"/>
          <w:sz w:val="20"/>
        </w:rPr>
        <w:t xml:space="preserve">(1) the Trustee shall fail to comply with Section 608 after written request therefor by the Company or by any Holder who has been a bona fide Holder of a Security for at least six months, or </w:t>
      </w:r>
    </w:p>
    <w:p>
      <w:pPr>
        <w:pStyle w:val="TextBody"/>
        <w:spacing w:before="180" w:after="0"/>
        <w:rPr>
          <w:rFonts w:ascii="Times New Roman" w:hAnsi="Times New Roman"/>
          <w:sz w:val="20"/>
        </w:rPr>
      </w:pPr>
      <w:r>
        <w:rPr>
          <w:rFonts w:ascii="Times New Roman" w:hAnsi="Times New Roman"/>
          <w:sz w:val="20"/>
        </w:rPr>
        <w:t xml:space="preserve">(2) the Trustee shall cease to be eligible under Section 609 and shall fail to resign after written request therefor by the Company or by any such Holder, or </w:t>
      </w:r>
    </w:p>
    <w:p>
      <w:pPr>
        <w:pStyle w:val="TextBody"/>
        <w:spacing w:before="180" w:after="0"/>
        <w:rPr>
          <w:rFonts w:ascii="Times New Roman" w:hAnsi="Times New Roman"/>
          <w:sz w:val="20"/>
        </w:rPr>
      </w:pPr>
      <w:r>
        <w:rPr>
          <w:rFonts w:ascii="Times New Roman" w:hAnsi="Times New Roman"/>
          <w:sz w:val="20"/>
        </w:rPr>
        <w:t xml:space="preserve">(3)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spacing w:before="180" w:after="0"/>
        <w:rPr>
          <w:rFonts w:ascii="Times New Roman" w:hAnsi="Times New Roman"/>
          <w:sz w:val="20"/>
        </w:rPr>
      </w:pPr>
      <w:r>
        <w:rPr>
          <w:rFonts w:ascii="Times New Roman" w:hAnsi="Times New Roman"/>
          <w:sz w:val="20"/>
        </w:rPr>
        <w:t xml:space="preserve">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 </w:t>
      </w:r>
    </w:p>
    <w:p>
      <w:pPr>
        <w:pStyle w:val="TextBody"/>
        <w:spacing w:before="180" w:after="0"/>
        <w:rPr>
          <w:rFonts w:ascii="Times New Roman" w:hAnsi="Times New Roman"/>
          <w:sz w:val="20"/>
        </w:rPr>
      </w:pPr>
      <w:r>
        <w:rPr>
          <w:rFonts w:ascii="Times New Roman" w:hAnsi="Times New Roman"/>
          <w:sz w:val="20"/>
        </w:rPr>
        <w:t xml:space="preserve">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- 42 -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 </w:t>
      </w:r>
    </w:p>
    <w:p>
      <w:pPr>
        <w:pStyle w:val="TextBody"/>
        <w:spacing w:before="180" w:after="0"/>
        <w:rPr>
          <w:rFonts w:ascii="Times New Roman" w:hAnsi="Times New Roman"/>
          <w:sz w:val="20"/>
        </w:rPr>
      </w:pPr>
      <w:r>
        <w:rPr>
          <w:rFonts w:ascii="Times New Roman" w:hAnsi="Times New Roman"/>
          <w:sz w:val="20"/>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 </w:t>
      </w:r>
    </w:p>
    <w:p>
      <w:pPr>
        <w:pStyle w:val="TextBody"/>
        <w:spacing w:before="180" w:after="0"/>
        <w:rPr>
          <w:rFonts w:ascii="Times New Roman" w:hAnsi="Times New Roman"/>
          <w:sz w:val="20"/>
        </w:rPr>
      </w:pPr>
      <w:r>
        <w:rPr>
          <w:rFonts w:ascii="Times New Roman" w:hAnsi="Times New Roman"/>
          <w:sz w:val="20"/>
        </w:rPr>
        <w:t xml:space="preserve">SECTION 611. </w:t>
      </w:r>
      <w:r>
        <w:rPr>
          <w:rFonts w:ascii="Times New Roman" w:hAnsi="Times New Roman"/>
          <w:b/>
          <w:sz w:val="20"/>
          <w:u w:val="single"/>
        </w:rPr>
        <w:t>Acceptance of Appointment by Successor</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case of the appointment hereunder of a successor Trustee with respect to all Securities, every such successor Trustee so appointed shall execute, acknowledge and deliver to the Company, the Subsidiary Guarantors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spacing w:before="180" w:after="0"/>
        <w:rPr>
          <w:rFonts w:ascii="Times New Roman" w:hAnsi="Times New Roman"/>
          <w:sz w:val="20"/>
        </w:rPr>
      </w:pPr>
      <w:r>
        <w:rPr>
          <w:rFonts w:ascii="Times New Roman" w:hAnsi="Times New Roman"/>
          <w:sz w:val="20"/>
        </w:rPr>
        <w:t xml:space="preserve">In case of the appointment hereunder of a successor Trustee with respect to the Securities of one or more (but not all) series, the Company, the Subsidiary Guarantors,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- 43 -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t>
      </w:r>
    </w:p>
    <w:p>
      <w:pPr>
        <w:pStyle w:val="TextBody"/>
        <w:spacing w:before="180" w:after="0"/>
        <w:rPr>
          <w:rFonts w:ascii="Times New Roman" w:hAnsi="Times New Roman"/>
          <w:sz w:val="20"/>
        </w:rPr>
      </w:pPr>
      <w:r>
        <w:rPr>
          <w:rFonts w:ascii="Times New Roman" w:hAnsi="Times New Roman"/>
          <w:sz w:val="20"/>
        </w:rPr>
        <w:t xml:space="preserve">Upon request of any such successor Trustee, the Company and the Subsidiary Guarantors shall execute any and all instruments for more fully and certainly vesting in and confirming to such successor Trustee all such rights, powers and trusts referred to in the first or second preceding paragraph, as the case may be. </w:t>
      </w:r>
    </w:p>
    <w:p>
      <w:pPr>
        <w:pStyle w:val="TextBody"/>
        <w:spacing w:before="180" w:after="0"/>
        <w:rPr>
          <w:rFonts w:ascii="Times New Roman" w:hAnsi="Times New Roman"/>
          <w:sz w:val="20"/>
        </w:rPr>
      </w:pPr>
      <w:r>
        <w:rPr>
          <w:rFonts w:ascii="Times New Roman" w:hAnsi="Times New Roman"/>
          <w:sz w:val="20"/>
        </w:rPr>
        <w:t xml:space="preserve">No successor Trustee shall accept its appointment unless at the time of such acceptance such successor Trustee shall be qualified and eligible under this Article. </w:t>
      </w:r>
    </w:p>
    <w:p>
      <w:pPr>
        <w:pStyle w:val="TextBody"/>
        <w:spacing w:before="180" w:after="0"/>
        <w:rPr>
          <w:rFonts w:ascii="Times New Roman" w:hAnsi="Times New Roman"/>
          <w:sz w:val="20"/>
        </w:rPr>
      </w:pPr>
      <w:r>
        <w:rPr>
          <w:rFonts w:ascii="Times New Roman" w:hAnsi="Times New Roman"/>
          <w:sz w:val="20"/>
        </w:rPr>
        <w:t xml:space="preserve">SECTION 612. </w:t>
      </w:r>
      <w:r>
        <w:rPr>
          <w:rFonts w:ascii="Times New Roman" w:hAnsi="Times New Roman"/>
          <w:b/>
          <w:sz w:val="20"/>
          <w:u w:val="single"/>
        </w:rPr>
        <w:t>Merger, Conversion, Consolidation or Succession to Business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Any Person into which the Trustee may be merged or converted or with which it may be consolidated, or any Person resulting from any merger, conversion or consolidation to which the Trustee shall be a party, or any Person succeeding to all or substantially all the corporate trust business of the Trustee, shall be the successor of the Trustee hereunder, provided such Person shall be otherwise qualified and eligible under this Article, without the execution or filing of any paper or any further act on the part of any of the parties hereto. As soon as practicable, the successor Trustee shall mail a notice of its succession to the Company and the Holders of the Securities then Outstanding.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spacing w:before="180" w:after="0"/>
        <w:rPr>
          <w:rFonts w:ascii="Times New Roman" w:hAnsi="Times New Roman"/>
          <w:sz w:val="20"/>
        </w:rPr>
      </w:pPr>
      <w:r>
        <w:rPr>
          <w:rFonts w:ascii="Times New Roman" w:hAnsi="Times New Roman"/>
          <w:sz w:val="20"/>
        </w:rPr>
        <w:t xml:space="preserve">SECTION 613. </w:t>
      </w:r>
      <w:r>
        <w:rPr>
          <w:rFonts w:ascii="Times New Roman" w:hAnsi="Times New Roman"/>
          <w:b/>
          <w:sz w:val="20"/>
          <w:u w:val="single"/>
        </w:rPr>
        <w:t>Preferential Collection of Claims Against Company and Subsidiary Guarantors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and when the Trustee shall be or become a creditor of the Company, any Subsidiary Guarantor or any other obligor upon the Securities, the Trustee shall be subject to the provisions of the Trust Indenture Act regarding the collection of claims against the Company, such Subsidiary Guarantor or any such other obligor.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- 44 -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614. </w:t>
      </w:r>
      <w:r>
        <w:rPr>
          <w:rFonts w:ascii="Times New Roman" w:hAnsi="Times New Roman"/>
          <w:b/>
          <w:sz w:val="20"/>
          <w:u w:val="single"/>
        </w:rPr>
        <w:t>Appointment of Authenticating Agent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may appoint an Authenticating Agent or Agents with respect to one or more series of Securities which shall be authorized to act on behalf of the Trustee to authenticate Securities of such series issued upon original issue and upon exchange, registration of transfer, conversion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 </w:t>
      </w:r>
    </w:p>
    <w:p>
      <w:pPr>
        <w:pStyle w:val="TextBody"/>
        <w:spacing w:before="180" w:after="0"/>
        <w:rPr>
          <w:rFonts w:ascii="Times New Roman" w:hAnsi="Times New Roman"/>
          <w:sz w:val="20"/>
        </w:rPr>
      </w:pPr>
      <w:r>
        <w:rPr>
          <w:rFonts w:ascii="Times New Roman" w:hAnsi="Times New Roman"/>
          <w:sz w:val="20"/>
        </w:rPr>
        <w:t xml:space="preserve">Any Person into which an Authenticating Agent may be merged or converted or with which it may be consolidated, or any Person resulting from any merger, conversion or consolidation to which such Authenticating Agent shall be a party, or any Person succeeding to the corporate agency or corporate trust business of an Authenticating Agent, shall continue to be an Authenticating Agent, provided such Person shall be otherwise eligible under this Section, without the execution or filing of any paper or any further act on the part of the Trustee or the Authenticating Agent. </w:t>
      </w:r>
    </w:p>
    <w:p>
      <w:pPr>
        <w:pStyle w:val="TextBody"/>
        <w:spacing w:before="180" w:after="0"/>
        <w:rPr>
          <w:rFonts w:ascii="Times New Roman" w:hAnsi="Times New Roman"/>
          <w:sz w:val="20"/>
        </w:rPr>
      </w:pPr>
      <w:r>
        <w:rPr>
          <w:rFonts w:ascii="Times New Roman" w:hAnsi="Times New Roman"/>
          <w:sz w:val="20"/>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w:t>
      </w:r>
    </w:p>
    <w:p>
      <w:pPr>
        <w:pStyle w:val="TextBody"/>
        <w:spacing w:before="180" w:after="0"/>
        <w:rPr>
          <w:rFonts w:ascii="Times New Roman" w:hAnsi="Times New Roman"/>
          <w:sz w:val="20"/>
        </w:rPr>
      </w:pPr>
      <w:r>
        <w:rPr>
          <w:rFonts w:ascii="Times New Roman" w:hAnsi="Times New Roman"/>
          <w:sz w:val="20"/>
        </w:rPr>
        <w:t xml:space="preserve">The Trustee agrees to pay to each Authenticating Agent from time to time reasonable compensation for its services under this Section, and the Trustee shall be entitled to be reimbursed for such payments, subject to the provisions of Section 607.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- 45 -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an appointment with respect to one or more series is made pursuant to this Section, the Securities of such series may have endorsed thereon, in addition to the Trustees certificate of authentication, an alternative certificate of authentication in the following form: </w:t>
      </w:r>
    </w:p>
    <w:p>
      <w:pPr>
        <w:pStyle w:val="TextBody"/>
        <w:spacing w:before="90" w:after="0"/>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As Trustee</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pPr>
            <w:r>
              <w:rPr/>
              <w:t> </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As Authenticating Agent</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pPr>
            <w:r>
              <w:rPr/>
              <w:t> </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Authorized Officer</w:t>
            </w:r>
          </w:p>
        </w:tc>
      </w:tr>
    </w:tbl>
    <w:p>
      <w:pPr>
        <w:pStyle w:val="TextBody"/>
        <w:spacing w:before="270" w:after="0"/>
        <w:jc w:val="center"/>
        <w:rPr>
          <w:rFonts w:ascii="Times New Roman" w:hAnsi="Times New Roman"/>
          <w:b/>
          <w:sz w:val="20"/>
        </w:rPr>
      </w:pPr>
      <w:r>
        <w:rPr>
          <w:rFonts w:ascii="Times New Roman" w:hAnsi="Times New Roman"/>
          <w:b/>
          <w:sz w:val="20"/>
        </w:rPr>
        <w:t xml:space="preserve">ARTICLE SEVEN </w:t>
      </w:r>
    </w:p>
    <w:p>
      <w:pPr>
        <w:pStyle w:val="TextBody"/>
        <w:spacing w:before="0" w:after="0"/>
        <w:jc w:val="center"/>
        <w:rPr>
          <w:rFonts w:ascii="Times New Roman" w:hAnsi="Times New Roman"/>
          <w:b/>
          <w:sz w:val="20"/>
        </w:rPr>
      </w:pPr>
      <w:r>
        <w:rPr>
          <w:rFonts w:ascii="Times New Roman" w:hAnsi="Times New Roman"/>
          <w:b/>
          <w:sz w:val="20"/>
        </w:rPr>
        <w:t xml:space="preserve">HOLDERS LISTS AND REPORTS BY TRUSTEE AND COMPANY </w:t>
      </w:r>
    </w:p>
    <w:p>
      <w:pPr>
        <w:pStyle w:val="TextBody"/>
        <w:spacing w:before="180" w:after="0"/>
        <w:rPr>
          <w:rFonts w:ascii="Times New Roman" w:hAnsi="Times New Roman"/>
          <w:sz w:val="20"/>
        </w:rPr>
      </w:pPr>
      <w:r>
        <w:rPr>
          <w:rFonts w:ascii="Times New Roman" w:hAnsi="Times New Roman"/>
          <w:sz w:val="20"/>
        </w:rPr>
        <w:t xml:space="preserve">SECTION 701. </w:t>
      </w:r>
      <w:r>
        <w:rPr>
          <w:rFonts w:ascii="Times New Roman" w:hAnsi="Times New Roman"/>
          <w:b/>
          <w:sz w:val="20"/>
          <w:u w:val="single"/>
        </w:rPr>
        <w:t>Company to Furnish Trustee Names and Addresses of Holders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will furnish or cause to be furnished to the Trustee with respect to the Securities of each series: </w:t>
      </w:r>
    </w:p>
    <w:p>
      <w:pPr>
        <w:pStyle w:val="TextBody"/>
        <w:spacing w:before="180" w:after="0"/>
        <w:rPr>
          <w:rFonts w:ascii="Times New Roman" w:hAnsi="Times New Roman"/>
          <w:sz w:val="20"/>
        </w:rPr>
      </w:pPr>
      <w:r>
        <w:rPr>
          <w:rFonts w:ascii="Times New Roman" w:hAnsi="Times New Roman"/>
          <w:sz w:val="20"/>
        </w:rPr>
        <w:t xml:space="preserve">(1) not more than 10 days after each record date with respect to the payment of interest, if any, a list, in such form as the Trustee may reasonably require, of the names and addresses of the Holders of Securities of such series as of such record date, and </w:t>
      </w:r>
    </w:p>
    <w:p>
      <w:pPr>
        <w:pStyle w:val="TextBody"/>
        <w:spacing w:before="180" w:after="0"/>
        <w:rPr>
          <w:rFonts w:ascii="Times New Roman" w:hAnsi="Times New Roman"/>
          <w:sz w:val="20"/>
        </w:rPr>
      </w:pPr>
      <w:r>
        <w:rPr>
          <w:rFonts w:ascii="Times New Roman" w:hAnsi="Times New Roman"/>
          <w:sz w:val="20"/>
        </w:rPr>
        <w:t xml:space="preserve">(2) at such other times as the Trustee may request in writing, within 30 days after the receipt by the Company of any such request, a list of similar form and content as of a date not more than 15 days prior to the time such list is furnished; </w:t>
      </w:r>
    </w:p>
    <w:p>
      <w:pPr>
        <w:pStyle w:val="TextBody"/>
        <w:spacing w:before="180" w:after="0"/>
        <w:rPr>
          <w:rFonts w:ascii="Times New Roman" w:hAnsi="Times New Roman"/>
          <w:sz w:val="20"/>
        </w:rPr>
      </w:pPr>
      <w:r>
        <w:rPr>
          <w:rFonts w:ascii="Times New Roman" w:hAnsi="Times New Roman"/>
          <w:sz w:val="20"/>
        </w:rPr>
        <w:t xml:space="preserve">excluding from any such list names and addresses received by the Trustee in its capacity as Security Registrar. </w:t>
      </w:r>
    </w:p>
    <w:p>
      <w:pPr>
        <w:pStyle w:val="TextBody"/>
        <w:spacing w:before="180" w:after="0"/>
        <w:rPr>
          <w:rFonts w:ascii="Times New Roman" w:hAnsi="Times New Roman"/>
          <w:sz w:val="20"/>
        </w:rPr>
      </w:pPr>
      <w:r>
        <w:rPr>
          <w:rFonts w:ascii="Times New Roman" w:hAnsi="Times New Roman"/>
          <w:sz w:val="20"/>
        </w:rPr>
        <w:t xml:space="preserve">SECTION 702. </w:t>
      </w:r>
      <w:r>
        <w:rPr>
          <w:rFonts w:ascii="Times New Roman" w:hAnsi="Times New Roman"/>
          <w:b/>
          <w:sz w:val="20"/>
          <w:u w:val="single"/>
        </w:rPr>
        <w:t>Preservation of Information; Communications to Holders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 The rights of Holders to communicate with other Holders with respect to their rights under this Indenture or under the Securities, and the corresponding rights and privileges of the Trustee, shall be as provided by the Trust Indenture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- 46 -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Every Holder of Securities, by receiving and holding the same, agrees with the Company and the Trustee that neither the Company, the Subsidiary Guarantors nor the Trustee nor any agent of any of them shall be held accountable by reason of any disclosure of information as to names and addresses of Holders made pursuant to the Trust Indenture Act. </w:t>
      </w:r>
    </w:p>
    <w:p>
      <w:pPr>
        <w:pStyle w:val="TextBody"/>
        <w:spacing w:before="180" w:after="0"/>
        <w:rPr>
          <w:rFonts w:ascii="Times New Roman" w:hAnsi="Times New Roman"/>
          <w:sz w:val="20"/>
        </w:rPr>
      </w:pPr>
      <w:r>
        <w:rPr>
          <w:rFonts w:ascii="Times New Roman" w:hAnsi="Times New Roman"/>
          <w:sz w:val="20"/>
        </w:rPr>
        <w:t xml:space="preserve">SECTION 703. </w:t>
      </w:r>
      <w:r>
        <w:rPr>
          <w:rFonts w:ascii="Times New Roman" w:hAnsi="Times New Roman"/>
          <w:b/>
          <w:sz w:val="20"/>
          <w:u w:val="single"/>
        </w:rPr>
        <w:t>Reports by Trustee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shall transmit to Holders such reports concerning the Trustee and its actions under this Indenture as may be required pursuant to the Trust Indenture Act at the times and in the manner provided pursuant thereto. </w:t>
      </w:r>
    </w:p>
    <w:p>
      <w:pPr>
        <w:pStyle w:val="TextBody"/>
        <w:spacing w:before="180" w:after="0"/>
        <w:rPr>
          <w:rFonts w:ascii="Times New Roman" w:hAnsi="Times New Roman"/>
          <w:sz w:val="20"/>
        </w:rPr>
      </w:pPr>
      <w:r>
        <w:rPr>
          <w:rFonts w:ascii="Times New Roman" w:hAnsi="Times New Roman"/>
          <w:sz w:val="20"/>
        </w:rPr>
        <w:t xml:space="preserve">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 </w:t>
      </w:r>
    </w:p>
    <w:p>
      <w:pPr>
        <w:pStyle w:val="TextBody"/>
        <w:spacing w:before="180" w:after="0"/>
        <w:rPr>
          <w:rFonts w:ascii="Times New Roman" w:hAnsi="Times New Roman"/>
          <w:sz w:val="20"/>
        </w:rPr>
      </w:pPr>
      <w:r>
        <w:rPr>
          <w:rFonts w:ascii="Times New Roman" w:hAnsi="Times New Roman"/>
          <w:sz w:val="20"/>
        </w:rPr>
        <w:t xml:space="preserve">SECTION 704. </w:t>
      </w:r>
      <w:r>
        <w:rPr>
          <w:rFonts w:ascii="Times New Roman" w:hAnsi="Times New Roman"/>
          <w:b/>
          <w:sz w:val="20"/>
          <w:u w:val="single"/>
        </w:rPr>
        <w:t>Reports by Company and Subsidiary Guarantors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and each of the Subsidiary Guarantors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filed with the Commission. </w:t>
      </w:r>
    </w:p>
    <w:p>
      <w:pPr>
        <w:pStyle w:val="TextBody"/>
        <w:spacing w:before="270" w:after="0"/>
        <w:jc w:val="center"/>
        <w:rPr>
          <w:rFonts w:ascii="Times New Roman" w:hAnsi="Times New Roman"/>
          <w:b/>
          <w:sz w:val="20"/>
        </w:rPr>
      </w:pPr>
      <w:r>
        <w:rPr>
          <w:rFonts w:ascii="Times New Roman" w:hAnsi="Times New Roman"/>
          <w:b/>
          <w:sz w:val="20"/>
        </w:rPr>
        <w:t xml:space="preserve">ARTICLE EIGHT </w:t>
      </w:r>
    </w:p>
    <w:p>
      <w:pPr>
        <w:pStyle w:val="TextBody"/>
        <w:spacing w:before="0" w:after="0"/>
        <w:jc w:val="center"/>
        <w:rPr>
          <w:rFonts w:ascii="Times New Roman" w:hAnsi="Times New Roman"/>
          <w:b/>
          <w:sz w:val="20"/>
        </w:rPr>
      </w:pPr>
      <w:r>
        <w:rPr>
          <w:rFonts w:ascii="Times New Roman" w:hAnsi="Times New Roman"/>
          <w:b/>
          <w:sz w:val="20"/>
        </w:rPr>
        <w:t xml:space="preserve">CONSOLIDATION, MERGER, CONVEYANCE, TRANSFER OR LEASE </w:t>
      </w:r>
    </w:p>
    <w:p>
      <w:pPr>
        <w:pStyle w:val="TextBody"/>
        <w:spacing w:before="180" w:after="0"/>
        <w:rPr>
          <w:rFonts w:ascii="Times New Roman" w:hAnsi="Times New Roman"/>
          <w:sz w:val="20"/>
        </w:rPr>
      </w:pPr>
      <w:r>
        <w:rPr>
          <w:rFonts w:ascii="Times New Roman" w:hAnsi="Times New Roman"/>
          <w:sz w:val="20"/>
        </w:rPr>
        <w:t xml:space="preserve">SECTION 801. </w:t>
      </w:r>
      <w:r>
        <w:rPr>
          <w:rFonts w:ascii="Times New Roman" w:hAnsi="Times New Roman"/>
          <w:b/>
          <w:sz w:val="20"/>
          <w:u w:val="single"/>
        </w:rPr>
        <w:t>Company May Consolidate, Etc., Only on Certain Terms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shall not, in a single transaction or a series of related transactions, consolidate with or merge into any other Person or permit any other Person to consolidate with or merge into the Company or, directly or indirectly, transfer, convey, sell, lease or otherwise dispose of all or substantially all of its assets, unless: </w:t>
      </w:r>
    </w:p>
    <w:p>
      <w:pPr>
        <w:pStyle w:val="TextBody"/>
        <w:spacing w:before="180" w:after="0"/>
        <w:rPr>
          <w:rFonts w:ascii="Times New Roman" w:hAnsi="Times New Roman"/>
          <w:sz w:val="20"/>
        </w:rPr>
      </w:pPr>
      <w:r>
        <w:rPr>
          <w:rFonts w:ascii="Times New Roman" w:hAnsi="Times New Roman"/>
          <w:sz w:val="20"/>
        </w:rPr>
        <w:t>(1) in a transaction in which the Company does not survive or in which the Company transfers, conveys, sells, leases or otherwise disposes of all or substantially all of its assets, the successor entity (for purposes of this Article Eight, a </w:t>
      </w:r>
      <w:r>
        <w:rPr>
          <w:rFonts w:ascii="Times New Roman" w:hAnsi="Times New Roman"/>
          <w:b/>
          <w:sz w:val="20"/>
        </w:rPr>
        <w:t>Successor Company</w:t>
      </w:r>
      <w:r>
        <w:rPr>
          <w:rFonts w:ascii="Times New Roman" w:hAnsi="Times New Roman"/>
          <w:sz w:val="20"/>
        </w:rPr>
        <w:t xml:space="preserve">) shall be a corporation, partnership, trust or other entity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w:t>
      </w:r>
    </w:p>
    <w:p>
      <w:pPr>
        <w:pStyle w:val="TextBody"/>
        <w:spacing w:before="180" w:after="0"/>
        <w:rPr>
          <w:rFonts w:ascii="Times New Roman" w:hAnsi="Times New Roman"/>
          <w:sz w:val="20"/>
        </w:rPr>
      </w:pPr>
      <w:r>
        <w:rPr>
          <w:rFonts w:ascii="Times New Roman" w:hAnsi="Times New Roman"/>
          <w:sz w:val="20"/>
        </w:rPr>
        <w:t xml:space="preserve">(2) immediately before and after giving pro forma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- 47 -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(3) if, as a result of any such consolidation or merger or such transfer, conveyance, sale, lease or other disposition, properties or assets of the Company would become subject to a mortgage, pledge, lien, security interest or other encumbrance which would not be permitted by this Indenture, the Company or the Successor Company, as the case may be, shall take such steps as shall be necessary effectively to secure the Securities equally and ratably with (or prior to) all indebtedness secured thereby; </w:t>
      </w:r>
    </w:p>
    <w:p>
      <w:pPr>
        <w:pStyle w:val="TextBody"/>
        <w:spacing w:before="180" w:after="0"/>
        <w:rPr>
          <w:rFonts w:ascii="Times New Roman" w:hAnsi="Times New Roman"/>
          <w:sz w:val="20"/>
        </w:rPr>
      </w:pPr>
      <w:r>
        <w:rPr>
          <w:rFonts w:ascii="Times New Roman" w:hAnsi="Times New Roman"/>
          <w:sz w:val="20"/>
        </w:rPr>
        <w:t xml:space="preserve">(4) any other conditions provided pursuant to Section 301 with respect to the Securities of a series are satisfied; and </w:t>
      </w:r>
    </w:p>
    <w:p>
      <w:pPr>
        <w:pStyle w:val="TextBody"/>
        <w:spacing w:before="180" w:after="0"/>
        <w:rPr>
          <w:rFonts w:ascii="Times New Roman" w:hAnsi="Times New Roman"/>
          <w:sz w:val="20"/>
        </w:rPr>
      </w:pPr>
      <w:r>
        <w:rPr>
          <w:rFonts w:ascii="Times New Roman" w:hAnsi="Times New Roman"/>
          <w:sz w:val="20"/>
        </w:rPr>
        <w:t xml:space="preserve">(5) the Company has delivered to the Trustee an Officers Certificate and an Opinion of Counsel, each stating that such consolidation, merger, transfer, conveyance, sale, lease or other disposition and, if a supplemental indenture is required in connection with such transaction, such supplemental indenture comply with this Article and that all conditions precedent herein provided for relating to such transaction have been complied with. </w:t>
      </w:r>
    </w:p>
    <w:p>
      <w:pPr>
        <w:pStyle w:val="TextBody"/>
        <w:spacing w:before="180" w:after="0"/>
        <w:rPr>
          <w:rFonts w:ascii="Times New Roman" w:hAnsi="Times New Roman"/>
          <w:sz w:val="20"/>
        </w:rPr>
      </w:pPr>
      <w:r>
        <w:rPr>
          <w:rFonts w:ascii="Times New Roman" w:hAnsi="Times New Roman"/>
          <w:sz w:val="20"/>
        </w:rPr>
        <w:t xml:space="preserve">SECTION 802. </w:t>
      </w:r>
      <w:r>
        <w:rPr>
          <w:rFonts w:ascii="Times New Roman" w:hAnsi="Times New Roman"/>
          <w:b/>
          <w:sz w:val="20"/>
          <w:u w:val="single"/>
        </w:rPr>
        <w:t>Subsidiary Guarantors May Consolidate, Etc., Only on Certain Terms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Except in a transaction resulting in the release of a Subsidiary Guarantor in accordance with the terms of this Indenture, each Subsidiary Guarantor shall not, and the Company shall not permit any Subsidiary Guarantor to, in a single or a series of related transactions, consolidate or merge with or into any Person (other than the Company or another Subsidiary Guarantor) or permit any Person (other than another Subsidiary Guarantor) to consolidate or merge with or into such Subsidiary Guarantor or, directly or indirectly, transfer, convey, sell, lease or otherwise dispose of all or substantially all of its assets unless, in each case: </w:t>
      </w:r>
    </w:p>
    <w:p>
      <w:pPr>
        <w:pStyle w:val="TextBody"/>
        <w:spacing w:before="180" w:after="0"/>
        <w:rPr>
          <w:rFonts w:ascii="Times New Roman" w:hAnsi="Times New Roman"/>
          <w:sz w:val="20"/>
        </w:rPr>
      </w:pPr>
      <w:r>
        <w:rPr>
          <w:rFonts w:ascii="Times New Roman" w:hAnsi="Times New Roman"/>
          <w:sz w:val="20"/>
        </w:rPr>
        <w:t>(1) in a transaction in which such Subsidiary Guarantor does not survive or in which all or substantially all of the assets of such Subsidiary Guarantor are transferred, conveyed, sold, leased or otherwise disposed of, the successor entity (the </w:t>
      </w:r>
      <w:r>
        <w:rPr>
          <w:rFonts w:ascii="Times New Roman" w:hAnsi="Times New Roman"/>
          <w:b/>
          <w:sz w:val="20"/>
        </w:rPr>
        <w:t>Successor Subsidiary Guarantor</w:t>
      </w:r>
      <w:r>
        <w:rPr>
          <w:rFonts w:ascii="Times New Roman" w:hAnsi="Times New Roman"/>
          <w:sz w:val="20"/>
        </w:rPr>
        <w:t xml:space="preserve">) shall be a corporation, partnership, trust or other entity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all obligations of such Subsidiary Guarantor under its Subsidiary Guarantee and this Indenture and the performance of every covenant of this Indenture on the part of such Subsidiary Guarantor to be performed or observed; and </w:t>
      </w:r>
    </w:p>
    <w:p>
      <w:pPr>
        <w:pStyle w:val="TextBody"/>
        <w:spacing w:before="180" w:after="0"/>
        <w:rPr>
          <w:rFonts w:ascii="Times New Roman" w:hAnsi="Times New Roman"/>
          <w:sz w:val="20"/>
        </w:rPr>
      </w:pPr>
      <w:r>
        <w:rPr>
          <w:rFonts w:ascii="Times New Roman" w:hAnsi="Times New Roman"/>
          <w:sz w:val="20"/>
        </w:rPr>
        <w:t xml:space="preserve">(2) the Company has delivered to the Trustee an Officers Certificate and an Opinion of Counsel, each stating that such consolidation, merger, transfer, conveyance, sale, lease or other disposition and, if a supplemental indenture is required in connection with such transaction, such supplemental indenture, comply with this Article and that all conditions precedent herein provided for relating to such transaction have been complied with.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- 48 -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803. </w:t>
      </w:r>
      <w:r>
        <w:rPr>
          <w:rFonts w:ascii="Times New Roman" w:hAnsi="Times New Roman"/>
          <w:b/>
          <w:sz w:val="20"/>
          <w:u w:val="single"/>
        </w:rPr>
        <w:t>Successor Substituted</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Upon any consolidation of the Company with, or merger of the Company into, any other Person or any transfer, conveyance, sale, lease or other disposition of all or substantially all of the assets of the Company in accordance with Section 801, the Successor Company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 </w:t>
      </w:r>
    </w:p>
    <w:p>
      <w:pPr>
        <w:pStyle w:val="TextBody"/>
        <w:spacing w:before="180" w:after="0"/>
        <w:rPr>
          <w:rFonts w:ascii="Times New Roman" w:hAnsi="Times New Roman"/>
          <w:sz w:val="20"/>
        </w:rPr>
      </w:pPr>
      <w:r>
        <w:rPr>
          <w:rFonts w:ascii="Times New Roman" w:hAnsi="Times New Roman"/>
          <w:sz w:val="20"/>
        </w:rPr>
        <w:t xml:space="preserve">(b) Upon any consolidation of a Subsidiary Guarantor with, or merger of such Subsidiary Guarantor into, any other Person or any transfer, conveyance, sale, lease or other disposition of all or substantially all of the assets of such Subsidiary Guarantor in accordance with Section 802, the Successor Subsidiary Guarantor shall succeed to, and be substituted for, and may exercise every right and power of, such Subsidiary Guarantor under this Indenture with the same effect as if such successor Person had been named as a Subsidiary Guarantor herein, and thereafter, except in the case of a lease, the predecessor Person shall be relieved of all obligations and covenants under this Indenture and its Subsidiary Guarantee. </w:t>
      </w:r>
    </w:p>
    <w:p>
      <w:pPr>
        <w:pStyle w:val="TextBody"/>
        <w:spacing w:before="270" w:after="0"/>
        <w:jc w:val="center"/>
        <w:rPr>
          <w:rFonts w:ascii="Times New Roman" w:hAnsi="Times New Roman"/>
          <w:b/>
          <w:sz w:val="20"/>
        </w:rPr>
      </w:pPr>
      <w:r>
        <w:rPr>
          <w:rFonts w:ascii="Times New Roman" w:hAnsi="Times New Roman"/>
          <w:b/>
          <w:sz w:val="20"/>
        </w:rPr>
        <w:t xml:space="preserve">ARTICLE NINE </w:t>
      </w:r>
    </w:p>
    <w:p>
      <w:pPr>
        <w:pStyle w:val="TextBody"/>
        <w:spacing w:before="0" w:after="0"/>
        <w:jc w:val="center"/>
        <w:rPr>
          <w:rFonts w:ascii="Times New Roman" w:hAnsi="Times New Roman"/>
          <w:b/>
          <w:sz w:val="20"/>
        </w:rPr>
      </w:pPr>
      <w:r>
        <w:rPr>
          <w:rFonts w:ascii="Times New Roman" w:hAnsi="Times New Roman"/>
          <w:b/>
          <w:sz w:val="20"/>
        </w:rPr>
        <w:t xml:space="preserve">SUPPLEMENTAL INDENTURES </w:t>
      </w:r>
    </w:p>
    <w:p>
      <w:pPr>
        <w:pStyle w:val="TextBody"/>
        <w:spacing w:before="180" w:after="0"/>
        <w:rPr>
          <w:rFonts w:ascii="Times New Roman" w:hAnsi="Times New Roman"/>
          <w:sz w:val="20"/>
        </w:rPr>
      </w:pPr>
      <w:r>
        <w:rPr>
          <w:rFonts w:ascii="Times New Roman" w:hAnsi="Times New Roman"/>
          <w:sz w:val="20"/>
        </w:rPr>
        <w:t xml:space="preserve">SECTION 901. </w:t>
      </w:r>
      <w:r>
        <w:rPr>
          <w:rFonts w:ascii="Times New Roman" w:hAnsi="Times New Roman"/>
          <w:b/>
          <w:sz w:val="20"/>
          <w:u w:val="single"/>
        </w:rPr>
        <w:t>Supplemental Indentures Without Consent of Holders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Without the consent of any Holders, the Company, when authorized by a Board Resolution, the Subsidiary Guarantors, when authorized by their respective Board Resolutions, and the Trustee, at any time and from time to time, may enter into one or more indentures supplemental hereto, in form satisfactory to the Trustee, for any of the following purposes: </w:t>
      </w:r>
    </w:p>
    <w:p>
      <w:pPr>
        <w:pStyle w:val="TextBody"/>
        <w:spacing w:before="180" w:after="0"/>
        <w:rPr>
          <w:rFonts w:ascii="Times New Roman" w:hAnsi="Times New Roman"/>
          <w:sz w:val="20"/>
        </w:rPr>
      </w:pPr>
      <w:r>
        <w:rPr>
          <w:rFonts w:ascii="Times New Roman" w:hAnsi="Times New Roman"/>
          <w:sz w:val="20"/>
        </w:rPr>
        <w:t xml:space="preserve">(1) to evidence the succession of another Person to the Company or any Subsidiary Guarantor and the assumption by any such successor of the covenants of the Company or any Subsidiary Guarantor herein and in the Securities or Subsidiary Guarantees, as the case may be; or </w:t>
      </w:r>
    </w:p>
    <w:p>
      <w:pPr>
        <w:pStyle w:val="TextBody"/>
        <w:spacing w:before="180" w:after="0"/>
        <w:rPr>
          <w:rFonts w:ascii="Times New Roman" w:hAnsi="Times New Roman"/>
          <w:sz w:val="20"/>
        </w:rPr>
      </w:pPr>
      <w:r>
        <w:rPr>
          <w:rFonts w:ascii="Times New Roman" w:hAnsi="Times New Roman"/>
          <w:sz w:val="20"/>
        </w:rPr>
        <w:t xml:space="preserve">(2) to add to the covenants of the Company or the Subsidiary Guarantors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the Subsidiary Guarantors; or </w:t>
      </w:r>
    </w:p>
    <w:p>
      <w:pPr>
        <w:pStyle w:val="TextBody"/>
        <w:spacing w:before="180" w:after="0"/>
        <w:rPr>
          <w:rFonts w:ascii="Times New Roman" w:hAnsi="Times New Roman"/>
          <w:sz w:val="20"/>
        </w:rPr>
      </w:pPr>
      <w:r>
        <w:rPr>
          <w:rFonts w:ascii="Times New Roman" w:hAnsi="Times New Roman"/>
          <w:sz w:val="20"/>
        </w:rPr>
        <w:t xml:space="preserve">(3) 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- 49 -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(4)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 </w:t>
      </w:r>
    </w:p>
    <w:p>
      <w:pPr>
        <w:pStyle w:val="TextBody"/>
        <w:spacing w:before="180" w:after="0"/>
        <w:rPr>
          <w:rFonts w:ascii="Times New Roman" w:hAnsi="Times New Roman"/>
          <w:sz w:val="20"/>
        </w:rPr>
      </w:pPr>
      <w:r>
        <w:rPr>
          <w:rFonts w:ascii="Times New Roman" w:hAnsi="Times New Roman"/>
          <w:sz w:val="20"/>
        </w:rPr>
        <w:t xml:space="preserve">(5) 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 </w:t>
      </w:r>
    </w:p>
    <w:p>
      <w:pPr>
        <w:pStyle w:val="TextBody"/>
        <w:spacing w:before="180" w:after="0"/>
        <w:rPr>
          <w:rFonts w:ascii="Times New Roman" w:hAnsi="Times New Roman"/>
          <w:sz w:val="20"/>
        </w:rPr>
      </w:pPr>
      <w:r>
        <w:rPr>
          <w:rFonts w:ascii="Times New Roman" w:hAnsi="Times New Roman"/>
          <w:sz w:val="20"/>
        </w:rPr>
        <w:t xml:space="preserve">(6) to secure the Securities; or </w:t>
      </w:r>
    </w:p>
    <w:p>
      <w:pPr>
        <w:pStyle w:val="TextBody"/>
        <w:spacing w:before="180" w:after="0"/>
        <w:rPr>
          <w:rFonts w:ascii="Times New Roman" w:hAnsi="Times New Roman"/>
          <w:sz w:val="20"/>
        </w:rPr>
      </w:pPr>
      <w:r>
        <w:rPr>
          <w:rFonts w:ascii="Times New Roman" w:hAnsi="Times New Roman"/>
          <w:sz w:val="20"/>
        </w:rPr>
        <w:t xml:space="preserve">(7) to establish the form or terms of Securities of any series as permitted by Sections 201 and 301; or </w:t>
      </w:r>
    </w:p>
    <w:p>
      <w:pPr>
        <w:pStyle w:val="TextBody"/>
        <w:spacing w:before="180" w:after="0"/>
        <w:rPr>
          <w:rFonts w:ascii="Times New Roman" w:hAnsi="Times New Roman"/>
          <w:sz w:val="20"/>
        </w:rPr>
      </w:pPr>
      <w:r>
        <w:rPr>
          <w:rFonts w:ascii="Times New Roman" w:hAnsi="Times New Roman"/>
          <w:sz w:val="20"/>
        </w:rPr>
        <w:t xml:space="preserve">(8)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 </w:t>
      </w:r>
    </w:p>
    <w:p>
      <w:pPr>
        <w:pStyle w:val="TextBody"/>
        <w:spacing w:before="180" w:after="0"/>
        <w:rPr>
          <w:rFonts w:ascii="Times New Roman" w:hAnsi="Times New Roman"/>
          <w:sz w:val="20"/>
        </w:rPr>
      </w:pPr>
      <w:r>
        <w:rPr>
          <w:rFonts w:ascii="Times New Roman" w:hAnsi="Times New Roman"/>
          <w:sz w:val="20"/>
        </w:rPr>
        <w:t xml:space="preserve">(9) to cure any ambiguity, to correct or supplement any provision herein which may be defective or inconsistent with any other provision herein; or </w:t>
      </w:r>
    </w:p>
    <w:p>
      <w:pPr>
        <w:pStyle w:val="TextBody"/>
        <w:spacing w:before="180" w:after="0"/>
        <w:rPr>
          <w:rFonts w:ascii="Times New Roman" w:hAnsi="Times New Roman"/>
          <w:sz w:val="20"/>
        </w:rPr>
      </w:pPr>
      <w:r>
        <w:rPr>
          <w:rFonts w:ascii="Times New Roman" w:hAnsi="Times New Roman"/>
          <w:sz w:val="20"/>
        </w:rPr>
        <w:t xml:space="preserve">(10) to make any other provisions with respect to matters or questions arising under this Indenture, provided that such action pursuant to this clause (10) shall not adversely affect the interests of the Holders of Securities of any series in any material respect; or </w:t>
      </w:r>
    </w:p>
    <w:p>
      <w:pPr>
        <w:pStyle w:val="TextBody"/>
        <w:spacing w:before="180" w:after="0"/>
        <w:rPr>
          <w:rFonts w:ascii="Times New Roman" w:hAnsi="Times New Roman"/>
          <w:sz w:val="20"/>
        </w:rPr>
      </w:pPr>
      <w:r>
        <w:rPr>
          <w:rFonts w:ascii="Times New Roman" w:hAnsi="Times New Roman"/>
          <w:sz w:val="20"/>
        </w:rPr>
        <w:t xml:space="preserve">(11) to add new Subsidiary Guarantors; or </w:t>
      </w:r>
    </w:p>
    <w:p>
      <w:pPr>
        <w:pStyle w:val="TextBody"/>
        <w:spacing w:before="180" w:after="0"/>
        <w:rPr>
          <w:rFonts w:ascii="Times New Roman" w:hAnsi="Times New Roman"/>
          <w:sz w:val="20"/>
        </w:rPr>
      </w:pPr>
      <w:r>
        <w:rPr>
          <w:rFonts w:ascii="Times New Roman" w:hAnsi="Times New Roman"/>
          <w:sz w:val="20"/>
        </w:rPr>
        <w:t xml:space="preserve">(12) to make any change to the provisions of Article Twelve or Fourteen that limits or terminates the benefits applicable to any holder of Senior Debt.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- 50 -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902. </w:t>
      </w:r>
      <w:r>
        <w:rPr>
          <w:rFonts w:ascii="Times New Roman" w:hAnsi="Times New Roman"/>
          <w:b/>
          <w:sz w:val="20"/>
          <w:u w:val="single"/>
        </w:rPr>
        <w:t>Supplemental Indentures With Consent of Holders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With the consent of the Holders of a majority in principal amount of the Outstanding Securities of each series affected by such supplemental indenture, by Act of said Holders delivered to the Company, the Subsidiary Guarantors and the Trustee, the Company, when authorized by a Board Resolution, the Subsidiary Guarantors, when authorized by their respective Board Resolutions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 </w:t>
      </w:r>
    </w:p>
    <w:p>
      <w:pPr>
        <w:pStyle w:val="TextBody"/>
        <w:spacing w:before="180" w:after="0"/>
        <w:rPr>
          <w:rFonts w:ascii="Times New Roman" w:hAnsi="Times New Roman"/>
          <w:sz w:val="20"/>
        </w:rPr>
      </w:pPr>
      <w:r>
        <w:rPr>
          <w:rFonts w:ascii="Times New Roman" w:hAnsi="Times New Roman"/>
          <w:sz w:val="20"/>
        </w:rPr>
        <w:t xml:space="preserve">(1) 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 any such payment on or after the Stated Maturity thereof (or, in the case of redemption, on or after the Redemption Date or in the case of an offer to purchase Securities which has been made pursuant to a covenant contained in this Indenture, on or after the applicable purchase date) or (b) any conversion right with respect to any Security, or modify the provisions of this Indenture with respect to the conversion or subordination of the Securities or the Subsidiary Guarantees, in a manner adverse to the Holders, or release any Subsidiary Guarantee other than as provided in this Indenture; or </w:t>
      </w:r>
    </w:p>
    <w:p>
      <w:pPr>
        <w:pStyle w:val="TextBody"/>
        <w:spacing w:before="180" w:after="0"/>
        <w:rPr>
          <w:rFonts w:ascii="Times New Roman" w:hAnsi="Times New Roman"/>
          <w:sz w:val="20"/>
        </w:rPr>
      </w:pPr>
      <w:r>
        <w:rPr>
          <w:rFonts w:ascii="Times New Roman" w:hAnsi="Times New Roman"/>
          <w:sz w:val="20"/>
        </w:rPr>
        <w:t xml:space="preserve">(2) 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 </w:t>
      </w:r>
    </w:p>
    <w:p>
      <w:pPr>
        <w:pStyle w:val="TextBody"/>
        <w:spacing w:before="180" w:after="0"/>
        <w:rPr>
          <w:rFonts w:ascii="Times New Roman" w:hAnsi="Times New Roman"/>
          <w:sz w:val="20"/>
        </w:rPr>
      </w:pPr>
      <w:r>
        <w:rPr>
          <w:rFonts w:ascii="Times New Roman" w:hAnsi="Times New Roman"/>
          <w:sz w:val="20"/>
        </w:rPr>
        <w:t xml:space="preserve">(3) modify any of the provisions of this Section, Section 513 or Section 1009,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1009, or the deletion of this proviso, in accordance with the requirements of Sections 611 and 901(8); or </w:t>
      </w:r>
    </w:p>
    <w:p>
      <w:pPr>
        <w:pStyle w:val="TextBody"/>
        <w:spacing w:before="180" w:after="0"/>
        <w:rPr>
          <w:rFonts w:ascii="Times New Roman" w:hAnsi="Times New Roman"/>
          <w:sz w:val="20"/>
        </w:rPr>
      </w:pPr>
      <w:r>
        <w:rPr>
          <w:rFonts w:ascii="Times New Roman" w:hAnsi="Times New Roman"/>
          <w:sz w:val="20"/>
        </w:rPr>
        <w:t xml:space="preserve">(4) following the making of an offer to purchase Securities from any Holder which has been made pursuant to a covenant contained in this Indenture, modify the provisions of this Indenture with respect to such offer to purchase in a manner adverse to such Holder. </w:t>
      </w:r>
    </w:p>
    <w:p>
      <w:pPr>
        <w:pStyle w:val="TextBody"/>
        <w:spacing w:before="180" w:after="0"/>
        <w:rPr>
          <w:rFonts w:ascii="Times New Roman" w:hAnsi="Times New Roman"/>
          <w:sz w:val="20"/>
        </w:rPr>
      </w:pPr>
      <w:r>
        <w:rPr>
          <w:rFonts w:ascii="Times New Roman" w:hAnsi="Times New Roman"/>
          <w:sz w:val="20"/>
        </w:rPr>
        <w:t xml:space="preserve">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w:t>
      </w:r>
    </w:p>
    <w:p>
      <w:pPr>
        <w:pStyle w:val="TextBody"/>
        <w:spacing w:before="180" w:after="0"/>
        <w:rPr>
          <w:rFonts w:ascii="Times New Roman" w:hAnsi="Times New Roman"/>
          <w:sz w:val="20"/>
        </w:rPr>
      </w:pPr>
      <w:r>
        <w:rPr>
          <w:rFonts w:ascii="Times New Roman" w:hAnsi="Times New Roman"/>
          <w:sz w:val="20"/>
        </w:rPr>
        <w:t xml:space="preserve">It shall not be necessary for any Act of Holders under this Section to approve the particular form of any proposed supplemental indenture, but it shall be sufficient if such Act shall approve the substance thereof. </w:t>
      </w:r>
    </w:p>
    <w:p>
      <w:pPr>
        <w:pStyle w:val="TextBody"/>
        <w:spacing w:before="180" w:after="0"/>
        <w:rPr>
          <w:rFonts w:ascii="Times New Roman" w:hAnsi="Times New Roman"/>
          <w:sz w:val="20"/>
        </w:rPr>
      </w:pPr>
      <w:r>
        <w:rPr>
          <w:rFonts w:ascii="Times New Roman" w:hAnsi="Times New Roman"/>
          <w:sz w:val="20"/>
        </w:rPr>
        <w:t xml:space="preserve">After a supplemental indenture under this Section 902 requiring the consent of the Holders of any series of Debt Securities is approved, the Company shall mail to Holders of that series of Debt Securities a notice briefly describing any amendment or supplement hereto effected by such supplemental indenture. The failure to give such notice to any such Holders, or any defect therein, shall not impair or affect the validity of any amendment or supplement hereto effected by such supplemental indenture with respect to other Holders.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- 51 -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903. </w:t>
      </w:r>
      <w:r>
        <w:rPr>
          <w:rFonts w:ascii="Times New Roman" w:hAnsi="Times New Roman"/>
          <w:b/>
          <w:sz w:val="20"/>
          <w:u w:val="single"/>
        </w:rPr>
        <w:t>Execution of Supplemental Indentures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 </w:t>
      </w:r>
    </w:p>
    <w:p>
      <w:pPr>
        <w:pStyle w:val="TextBody"/>
        <w:spacing w:before="180" w:after="0"/>
        <w:rPr>
          <w:rFonts w:ascii="Times New Roman" w:hAnsi="Times New Roman"/>
          <w:sz w:val="20"/>
        </w:rPr>
      </w:pPr>
      <w:r>
        <w:rPr>
          <w:rFonts w:ascii="Times New Roman" w:hAnsi="Times New Roman"/>
          <w:sz w:val="20"/>
        </w:rPr>
        <w:t xml:space="preserve">SECTION 904. </w:t>
      </w:r>
      <w:r>
        <w:rPr>
          <w:rFonts w:ascii="Times New Roman" w:hAnsi="Times New Roman"/>
          <w:b/>
          <w:sz w:val="20"/>
          <w:u w:val="single"/>
        </w:rPr>
        <w:t>Effect of Supplemental Indentures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w:t>
      </w:r>
    </w:p>
    <w:p>
      <w:pPr>
        <w:pStyle w:val="TextBody"/>
        <w:spacing w:before="180" w:after="0"/>
        <w:rPr>
          <w:rFonts w:ascii="Times New Roman" w:hAnsi="Times New Roman"/>
          <w:sz w:val="20"/>
        </w:rPr>
      </w:pPr>
      <w:r>
        <w:rPr>
          <w:rFonts w:ascii="Times New Roman" w:hAnsi="Times New Roman"/>
          <w:sz w:val="20"/>
        </w:rPr>
        <w:t xml:space="preserve">SECTION 905. </w:t>
      </w:r>
      <w:r>
        <w:rPr>
          <w:rFonts w:ascii="Times New Roman" w:hAnsi="Times New Roman"/>
          <w:b/>
          <w:sz w:val="20"/>
          <w:u w:val="single"/>
        </w:rPr>
        <w:t>Conformity with Trust Indenture Act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Every supplemental indenture executed pursuant to this Article shall conform to the requirements of the Trust Indenture Act. </w:t>
      </w:r>
    </w:p>
    <w:p>
      <w:pPr>
        <w:pStyle w:val="TextBody"/>
        <w:spacing w:before="180" w:after="0"/>
        <w:rPr>
          <w:rFonts w:ascii="Times New Roman" w:hAnsi="Times New Roman"/>
          <w:sz w:val="20"/>
        </w:rPr>
      </w:pPr>
      <w:r>
        <w:rPr>
          <w:rFonts w:ascii="Times New Roman" w:hAnsi="Times New Roman"/>
          <w:sz w:val="20"/>
        </w:rPr>
        <w:t xml:space="preserve">SECTION 906. </w:t>
      </w:r>
      <w:r>
        <w:rPr>
          <w:rFonts w:ascii="Times New Roman" w:hAnsi="Times New Roman"/>
          <w:b/>
          <w:sz w:val="20"/>
          <w:u w:val="single"/>
        </w:rPr>
        <w:t>Reference in Securities to Supplemental Indentures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if applicable the notations of Subsidiary Guarantees may be endorsed thereon and such new Securities may be authenticated and delivered by the Trustee in exchange for Outstanding Securities of such series. </w:t>
      </w:r>
    </w:p>
    <w:p>
      <w:pPr>
        <w:pStyle w:val="TextBody"/>
        <w:spacing w:before="270" w:after="0"/>
        <w:jc w:val="center"/>
        <w:rPr>
          <w:rFonts w:ascii="Times New Roman" w:hAnsi="Times New Roman"/>
          <w:b/>
          <w:sz w:val="20"/>
        </w:rPr>
      </w:pPr>
      <w:r>
        <w:rPr>
          <w:rFonts w:ascii="Times New Roman" w:hAnsi="Times New Roman"/>
          <w:b/>
          <w:sz w:val="20"/>
        </w:rPr>
        <w:t xml:space="preserve">ARTICLE TEN </w:t>
      </w:r>
    </w:p>
    <w:p>
      <w:pPr>
        <w:pStyle w:val="TextBody"/>
        <w:spacing w:before="0" w:after="0"/>
        <w:jc w:val="center"/>
        <w:rPr>
          <w:rFonts w:ascii="Times New Roman" w:hAnsi="Times New Roman"/>
          <w:b/>
          <w:sz w:val="20"/>
        </w:rPr>
      </w:pPr>
      <w:r>
        <w:rPr>
          <w:rFonts w:ascii="Times New Roman" w:hAnsi="Times New Roman"/>
          <w:b/>
          <w:sz w:val="20"/>
        </w:rPr>
        <w:t xml:space="preserve">COVENANTS </w:t>
      </w:r>
    </w:p>
    <w:p>
      <w:pPr>
        <w:pStyle w:val="TextBody"/>
        <w:spacing w:before="180" w:after="0"/>
        <w:rPr>
          <w:rFonts w:ascii="Times New Roman" w:hAnsi="Times New Roman"/>
          <w:sz w:val="20"/>
        </w:rPr>
      </w:pPr>
      <w:r>
        <w:rPr>
          <w:rFonts w:ascii="Times New Roman" w:hAnsi="Times New Roman"/>
          <w:sz w:val="20"/>
        </w:rPr>
        <w:t xml:space="preserve">SECTION 1001. </w:t>
      </w:r>
      <w:r>
        <w:rPr>
          <w:rFonts w:ascii="Times New Roman" w:hAnsi="Times New Roman"/>
          <w:b/>
          <w:sz w:val="20"/>
          <w:u w:val="single"/>
        </w:rPr>
        <w:t>Payment of Principal, Premium and Interest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covenants and agrees for the benefit of each series of Securities that it will duly and punctually pay the principal of and any premium and interest on the Securities of that series in accordance with the terms of the Securities and this Indenture. Principal, premium, if any, and interest shall be considered paid on the date due if the Paying Agent, if other than the Company or a Subsidiary thereof, holds as of 11:00 A.M., New York City time, on the due date money deposited with it in immediately available funds and designated for and sufficient to pay all principal, premium, if any, and interest then due, and such Paying Agent is not prohibited from paying such money to the Holders entitled thereto on such date pursuant to the terms of Article Twelve or Fourteen of this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- 52 -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1002. </w:t>
      </w:r>
      <w:r>
        <w:rPr>
          <w:rFonts w:ascii="Times New Roman" w:hAnsi="Times New Roman"/>
          <w:b/>
          <w:sz w:val="20"/>
          <w:u w:val="single"/>
        </w:rPr>
        <w:t>Maintenance of Office or Agency</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will maintain in each Place of Payment for any series of Securities an office or agency where Securities of that series may be presented or surrendered for payment or, if applicable, for conversion, where Securities of that series may be surrendered for registration of transfer or exchange and where notices and demands to or upon the Company or any Subsidiary Guarantor in respect of the Securities of that series or any Subsidiary Guarantee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each of the Company and Subsidiary Guarantors hereby appoints the Trustee as its agent to receive all such presentations, surrenders, notices and demands. </w:t>
      </w:r>
    </w:p>
    <w:p>
      <w:pPr>
        <w:pStyle w:val="TextBody"/>
        <w:spacing w:before="180" w:after="0"/>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 </w:t>
      </w:r>
    </w:p>
    <w:p>
      <w:pPr>
        <w:pStyle w:val="TextBody"/>
        <w:spacing w:before="180" w:after="0"/>
        <w:rPr>
          <w:rFonts w:ascii="Times New Roman" w:hAnsi="Times New Roman"/>
          <w:sz w:val="20"/>
        </w:rPr>
      </w:pPr>
      <w:r>
        <w:rPr>
          <w:rFonts w:ascii="Times New Roman" w:hAnsi="Times New Roman"/>
          <w:sz w:val="20"/>
        </w:rPr>
        <w:t xml:space="preserve">SECTION 1003. </w:t>
      </w:r>
      <w:r>
        <w:rPr>
          <w:rFonts w:ascii="Times New Roman" w:hAnsi="Times New Roman"/>
          <w:b/>
          <w:sz w:val="20"/>
          <w:u w:val="single"/>
        </w:rPr>
        <w:t>Money for Securities Payments to Be Held in Trust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the Company or any Subsidiary Guarantor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 </w:t>
      </w:r>
    </w:p>
    <w:p>
      <w:pPr>
        <w:pStyle w:val="TextBody"/>
        <w:spacing w:before="180" w:after="0"/>
        <w:rPr>
          <w:rFonts w:ascii="Times New Roman" w:hAnsi="Times New Roman"/>
          <w:sz w:val="20"/>
        </w:rPr>
      </w:pPr>
      <w:r>
        <w:rPr>
          <w:rFonts w:ascii="Times New Roman" w:hAnsi="Times New Roman"/>
          <w:sz w:val="20"/>
        </w:rPr>
        <w:t xml:space="preserve">Whenever the Company shall have one or more Paying Agents for any series of Securities, it will, prior to 11:00 A.M., New York City time, on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 </w:t>
      </w:r>
    </w:p>
    <w:p>
      <w:pPr>
        <w:pStyle w:val="TextBody"/>
        <w:spacing w:before="180" w:after="0"/>
        <w:rPr>
          <w:rFonts w:ascii="Times New Roman" w:hAnsi="Times New Roman"/>
          <w:sz w:val="20"/>
        </w:rPr>
      </w:pPr>
      <w:r>
        <w:rPr>
          <w:rFonts w:ascii="Times New Roman" w:hAnsi="Times New Roman"/>
          <w:sz w:val="20"/>
        </w:rPr>
        <w:t xml:space="preserve">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the Subsidiary Guarantors, if applicable,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- 53 -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 </w:t>
      </w:r>
    </w:p>
    <w:p>
      <w:pPr>
        <w:pStyle w:val="TextBody"/>
        <w:spacing w:before="180" w:after="0"/>
        <w:rPr>
          <w:rFonts w:ascii="Times New Roman" w:hAnsi="Times New Roman"/>
          <w:sz w:val="20"/>
        </w:rPr>
      </w:pPr>
      <w:r>
        <w:rPr>
          <w:rFonts w:ascii="Times New Roman" w:hAnsi="Times New Roman"/>
          <w:sz w:val="20"/>
        </w:rPr>
        <w:t xml:space="preserve">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New York, notice that such money remains unclaimed and that, after a date specified therein, which shall not be less than 30 days from the date of such publication, any unclaimed balance of such money then remaining will be repaid to the Company. </w:t>
      </w:r>
    </w:p>
    <w:p>
      <w:pPr>
        <w:pStyle w:val="TextBody"/>
        <w:spacing w:before="180" w:after="0"/>
        <w:rPr>
          <w:rFonts w:ascii="Times New Roman" w:hAnsi="Times New Roman"/>
          <w:sz w:val="20"/>
        </w:rPr>
      </w:pPr>
      <w:r>
        <w:rPr>
          <w:rFonts w:ascii="Times New Roman" w:hAnsi="Times New Roman"/>
          <w:sz w:val="20"/>
        </w:rPr>
        <w:t xml:space="preserve">SECTION 1004. </w:t>
      </w:r>
      <w:r>
        <w:rPr>
          <w:rFonts w:ascii="Times New Roman" w:hAnsi="Times New Roman"/>
          <w:b/>
          <w:sz w:val="20"/>
          <w:u w:val="single"/>
        </w:rPr>
        <w:t>Statement by Officers as to Default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The Company and the Subsidiary Guarantors will deliver to the Trustee, within 90 days after the end of each fiscal year of the Company ending after the date hereof, an Officers Certificate, stating whether or not to the best knowledge of the signers thereof (i) the Company or any Subsidiary Guarantor, as the case may be, is in default in the performance and observance of any of the terms, provisions and conditions of this Indenture (without regard to any period of grace or requirement of notice provided hereunder) and, if the Company or any Subsidiary Guarantor shall be in default, specifying all such defaults and the nature and status thereof of which they may have knowledge and (ii) any event has occurred and remains in existence prohibiting any payments on any series of Securities then Outstanding and, if any such event exists, a description of such event and what action the Company is taking or proposes to take with respect thereto. </w:t>
      </w:r>
    </w:p>
    <w:p>
      <w:pPr>
        <w:pStyle w:val="TextBody"/>
        <w:spacing w:before="180" w:after="0"/>
        <w:rPr>
          <w:rFonts w:ascii="Times New Roman" w:hAnsi="Times New Roman"/>
          <w:sz w:val="20"/>
        </w:rPr>
      </w:pPr>
      <w:r>
        <w:rPr>
          <w:rFonts w:ascii="Times New Roman" w:hAnsi="Times New Roman"/>
          <w:sz w:val="20"/>
        </w:rPr>
        <w:t xml:space="preserve">(b) The Company shall, so long as any series of Securities is Outstanding, deliver to the Trustee, as soon as possible and in any event within five days after the Company becomes aware of the occurrence of an Event of Default or an event which, with notice or the lapse of time or both, would constitute an Event of Default, an Officers Certificate setting forth the details of such Event of Default or default, and the action which the Company proposes to take with respect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- 54 -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1005. </w:t>
      </w:r>
      <w:r>
        <w:rPr>
          <w:rFonts w:ascii="Times New Roman" w:hAnsi="Times New Roman"/>
          <w:b/>
          <w:sz w:val="20"/>
          <w:u w:val="single"/>
        </w:rPr>
        <w:t>Existence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Subject to Article Eight, the Company will do or cause to be done all things necessary to preserve and keep in full force and effect the existence, rights (charter and statutory) and franchises of the Company; provided, however, that the Company shall not be required to preserve any such right or franchise if it shall determine that the preservation thereof is no longer desirable in the conduct of the business of the Company and that the loss thereof is not disadvantageous in any material respect to the Holders. </w:t>
      </w:r>
    </w:p>
    <w:p>
      <w:pPr>
        <w:pStyle w:val="TextBody"/>
        <w:spacing w:before="180" w:after="0"/>
        <w:rPr>
          <w:rFonts w:ascii="Times New Roman" w:hAnsi="Times New Roman"/>
          <w:sz w:val="20"/>
        </w:rPr>
      </w:pPr>
      <w:r>
        <w:rPr>
          <w:rFonts w:ascii="Times New Roman" w:hAnsi="Times New Roman"/>
          <w:sz w:val="20"/>
        </w:rPr>
        <w:t xml:space="preserve">SECTION 1006. </w:t>
      </w:r>
      <w:r>
        <w:rPr>
          <w:rFonts w:ascii="Times New Roman" w:hAnsi="Times New Roman"/>
          <w:b/>
          <w:sz w:val="20"/>
          <w:u w:val="single"/>
        </w:rPr>
        <w:t>Maintenance of Properties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will cause all properties used or useful in the conduct of its business or the business of any Subsidiary to be maintained and kept in good condition, repair and working order (reasonable wear and tear excepted)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 </w:t>
      </w:r>
    </w:p>
    <w:p>
      <w:pPr>
        <w:pStyle w:val="TextBody"/>
        <w:spacing w:before="180" w:after="0"/>
        <w:rPr>
          <w:rFonts w:ascii="Times New Roman" w:hAnsi="Times New Roman"/>
          <w:sz w:val="20"/>
        </w:rPr>
      </w:pPr>
      <w:r>
        <w:rPr>
          <w:rFonts w:ascii="Times New Roman" w:hAnsi="Times New Roman"/>
          <w:sz w:val="20"/>
        </w:rPr>
        <w:t xml:space="preserve">SECTION 1007. </w:t>
      </w:r>
      <w:r>
        <w:rPr>
          <w:rFonts w:ascii="Times New Roman" w:hAnsi="Times New Roman"/>
          <w:b/>
          <w:sz w:val="20"/>
          <w:u w:val="single"/>
        </w:rPr>
        <w:t>Payment of Taxes and Other Claims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 </w:t>
      </w:r>
    </w:p>
    <w:p>
      <w:pPr>
        <w:pStyle w:val="TextBody"/>
        <w:spacing w:before="180" w:after="0"/>
        <w:rPr>
          <w:rFonts w:ascii="Times New Roman" w:hAnsi="Times New Roman"/>
          <w:sz w:val="20"/>
        </w:rPr>
      </w:pPr>
      <w:r>
        <w:rPr>
          <w:rFonts w:ascii="Times New Roman" w:hAnsi="Times New Roman"/>
          <w:sz w:val="20"/>
        </w:rPr>
        <w:t xml:space="preserve">SECTION 1008. </w:t>
      </w:r>
      <w:r>
        <w:rPr>
          <w:rFonts w:ascii="Times New Roman" w:hAnsi="Times New Roman"/>
          <w:b/>
          <w:sz w:val="20"/>
          <w:u w:val="single"/>
        </w:rPr>
        <w:t>Maintenance of Insurance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shall, and shall cause its Subsidiaries to, keep at all times all of their properties which are of an insurable nature insured against loss or damage with insurers believed by the Company to be responsible to the extent that property of similar character is usually so insured by corporations similarly situated and owning like properties in accordance with good business practice. </w:t>
      </w:r>
    </w:p>
    <w:p>
      <w:pPr>
        <w:pStyle w:val="TextBody"/>
        <w:spacing w:before="180" w:after="0"/>
        <w:rPr>
          <w:rFonts w:ascii="Times New Roman" w:hAnsi="Times New Roman"/>
          <w:sz w:val="20"/>
        </w:rPr>
      </w:pPr>
      <w:r>
        <w:rPr>
          <w:rFonts w:ascii="Times New Roman" w:hAnsi="Times New Roman"/>
          <w:sz w:val="20"/>
        </w:rPr>
        <w:t xml:space="preserve">SECTION 1009. </w:t>
      </w:r>
      <w:r>
        <w:rPr>
          <w:rFonts w:ascii="Times New Roman" w:hAnsi="Times New Roman"/>
          <w:b/>
          <w:sz w:val="20"/>
          <w:u w:val="single"/>
        </w:rPr>
        <w:t>Waiver of Certain Covenants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Except as otherwise specified as contemplated by Section 301 for Securities of such series, the Company and the Subsidiary Guarantors may, with respect to the Securities of any series, omit in any particular instance to comply with any term, provision or condition set forth in any of Sections 1005 through 1008 or in any covenant provided pursuant to Section 301(22), 901(2) or 901(7) for the benefit of the Holders of such series if before the time for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- 55 -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 </w:t>
      </w:r>
    </w:p>
    <w:p>
      <w:pPr>
        <w:pStyle w:val="TextBody"/>
        <w:spacing w:before="270" w:after="0"/>
        <w:jc w:val="center"/>
        <w:rPr>
          <w:rFonts w:ascii="Times New Roman" w:hAnsi="Times New Roman"/>
          <w:b/>
          <w:sz w:val="20"/>
        </w:rPr>
      </w:pPr>
      <w:r>
        <w:rPr>
          <w:rFonts w:ascii="Times New Roman" w:hAnsi="Times New Roman"/>
          <w:b/>
          <w:sz w:val="20"/>
        </w:rPr>
        <w:t xml:space="preserve">ARTICLE ELEVEN </w:t>
      </w:r>
    </w:p>
    <w:p>
      <w:pPr>
        <w:pStyle w:val="TextBody"/>
        <w:spacing w:before="0" w:after="0"/>
        <w:jc w:val="center"/>
        <w:rPr>
          <w:rFonts w:ascii="Times New Roman" w:hAnsi="Times New Roman"/>
          <w:b/>
          <w:sz w:val="20"/>
        </w:rPr>
      </w:pPr>
      <w:r>
        <w:rPr>
          <w:rFonts w:ascii="Times New Roman" w:hAnsi="Times New Roman"/>
          <w:b/>
          <w:sz w:val="20"/>
        </w:rPr>
        <w:t xml:space="preserve">REDEMPTION OF SECURITIES </w:t>
      </w:r>
    </w:p>
    <w:p>
      <w:pPr>
        <w:pStyle w:val="TextBody"/>
        <w:spacing w:before="180" w:after="0"/>
        <w:rPr>
          <w:rFonts w:ascii="Times New Roman" w:hAnsi="Times New Roman"/>
          <w:sz w:val="20"/>
        </w:rPr>
      </w:pPr>
      <w:r>
        <w:rPr>
          <w:rFonts w:ascii="Times New Roman" w:hAnsi="Times New Roman"/>
          <w:sz w:val="20"/>
        </w:rPr>
        <w:t xml:space="preserve">SECTION 1101. </w:t>
      </w:r>
      <w:r>
        <w:rPr>
          <w:rFonts w:ascii="Times New Roman" w:hAnsi="Times New Roman"/>
          <w:b/>
          <w:sz w:val="20"/>
          <w:u w:val="single"/>
        </w:rPr>
        <w:t>Applicability of Article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Securities of any series which are redeemable before their Stated Maturity shall be redeemable in accordance with their terms and (except as otherwise specified as contemplated by Section 301 for such Securities) in accordance with this Article. </w:t>
      </w:r>
    </w:p>
    <w:p>
      <w:pPr>
        <w:pStyle w:val="TextBody"/>
        <w:spacing w:before="180" w:after="0"/>
        <w:rPr>
          <w:rFonts w:ascii="Times New Roman" w:hAnsi="Times New Roman"/>
          <w:sz w:val="20"/>
        </w:rPr>
      </w:pPr>
      <w:r>
        <w:rPr>
          <w:rFonts w:ascii="Times New Roman" w:hAnsi="Times New Roman"/>
          <w:sz w:val="20"/>
        </w:rPr>
        <w:t xml:space="preserve">SECTION 1102. </w:t>
      </w:r>
      <w:r>
        <w:rPr>
          <w:rFonts w:ascii="Times New Roman" w:hAnsi="Times New Roman"/>
          <w:b/>
          <w:sz w:val="20"/>
          <w:u w:val="single"/>
        </w:rPr>
        <w:t>Election to Redeem; Notice to Trustee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five Business Days prior to giving notice of such redemption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 </w:t>
      </w:r>
    </w:p>
    <w:p>
      <w:pPr>
        <w:pStyle w:val="TextBody"/>
        <w:spacing w:before="180" w:after="0"/>
        <w:rPr>
          <w:rFonts w:ascii="Times New Roman" w:hAnsi="Times New Roman"/>
          <w:sz w:val="20"/>
        </w:rPr>
      </w:pPr>
      <w:r>
        <w:rPr>
          <w:rFonts w:ascii="Times New Roman" w:hAnsi="Times New Roman"/>
          <w:sz w:val="20"/>
        </w:rPr>
        <w:t xml:space="preserve">SECTION 1103. </w:t>
      </w:r>
      <w:r>
        <w:rPr>
          <w:rFonts w:ascii="Times New Roman" w:hAnsi="Times New Roman"/>
          <w:b/>
          <w:sz w:val="20"/>
          <w:u w:val="single"/>
        </w:rPr>
        <w:t>Selection by Trustee of Securities to Be Redeemed</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less than all the Securities of any series are to be redeemed (unless all the Securities of such series and of a specified tenor are to be redeemed or unless such redemption affects only a single Security), the particular Securities to be redeemed shall be selected by the Trustee, from the Outstanding Securities of such series not previously called for redemption, (i) in compliance with the requirements of the principal national securities exchange on which such Securities are listed, if such Securities are listed on any national securities exchange, and (ii) if such Securities are not so listed, on a pro rata basis, by lot or by such other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by the Trustee, from the Outstanding Securities of such series and specified tenor not previously called for redemption in accordance with the preceding sentence.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- 56 -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Trustee shall promptly notify the Company in writing of the Securities selected for redemption as aforesaid and, in case of any Securities selected for partial redemption as aforesaid, the principal amount thereof to be redeemed. </w:t>
      </w:r>
    </w:p>
    <w:p>
      <w:pPr>
        <w:pStyle w:val="TextBody"/>
        <w:spacing w:before="180" w:after="0"/>
        <w:rPr>
          <w:rFonts w:ascii="Times New Roman" w:hAnsi="Times New Roman"/>
          <w:sz w:val="20"/>
        </w:rPr>
      </w:pPr>
      <w:r>
        <w:rPr>
          <w:rFonts w:ascii="Times New Roman" w:hAnsi="Times New Roman"/>
          <w:sz w:val="20"/>
        </w:rPr>
        <w:t xml:space="preserve">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 </w:t>
      </w:r>
    </w:p>
    <w:p>
      <w:pPr>
        <w:pStyle w:val="TextBody"/>
        <w:spacing w:before="180" w:after="0"/>
        <w:rPr>
          <w:rFonts w:ascii="Times New Roman" w:hAnsi="Times New Roman"/>
          <w:sz w:val="20"/>
        </w:rPr>
      </w:pPr>
      <w:r>
        <w:rPr>
          <w:rFonts w:ascii="Times New Roman" w:hAnsi="Times New Roman"/>
          <w:sz w:val="20"/>
        </w:rPr>
        <w:t xml:space="preserve">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of a series, for purposes of selection for redemption the Company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 </w:t>
      </w:r>
    </w:p>
    <w:p>
      <w:pPr>
        <w:pStyle w:val="TextBody"/>
        <w:spacing w:before="180" w:after="0"/>
        <w:rPr>
          <w:rFonts w:ascii="Times New Roman" w:hAnsi="Times New Roman"/>
          <w:sz w:val="20"/>
        </w:rPr>
      </w:pPr>
      <w:r>
        <w:rPr>
          <w:rFonts w:ascii="Times New Roman" w:hAnsi="Times New Roman"/>
          <w:sz w:val="20"/>
        </w:rPr>
        <w:t xml:space="preserve">SECTION 1104. </w:t>
      </w:r>
      <w:r>
        <w:rPr>
          <w:rFonts w:ascii="Times New Roman" w:hAnsi="Times New Roman"/>
          <w:b/>
          <w:sz w:val="20"/>
          <w:u w:val="single"/>
        </w:rPr>
        <w:t>Notice of Redemption</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Notice of redemption shall be given by first-class mail, postage prepaid, mailed not less than 30 nor more than 60 days prior to the Redemption Date, to each Holder of Securities to be redeemed, at his address appearing in the Security Register; provided, however, notice of redemption may be given more than 60 days prior to the Redemption Date if the notice is issued in connection with a satisfaction and discharge pursuant to Article Four. </w:t>
      </w:r>
    </w:p>
    <w:p>
      <w:pPr>
        <w:pStyle w:val="TextBody"/>
        <w:spacing w:before="180" w:after="0"/>
        <w:rPr>
          <w:rFonts w:ascii="Times New Roman" w:hAnsi="Times New Roman"/>
          <w:sz w:val="20"/>
        </w:rPr>
      </w:pPr>
      <w:r>
        <w:rPr>
          <w:rFonts w:ascii="Times New Roman" w:hAnsi="Times New Roman"/>
          <w:sz w:val="20"/>
        </w:rPr>
        <w:t xml:space="preserve">All notices of redemption shall state: </w:t>
      </w:r>
    </w:p>
    <w:p>
      <w:pPr>
        <w:pStyle w:val="TextBody"/>
        <w:spacing w:before="180" w:after="0"/>
        <w:rPr>
          <w:rFonts w:ascii="Times New Roman" w:hAnsi="Times New Roman"/>
          <w:sz w:val="20"/>
        </w:rPr>
      </w:pPr>
      <w:r>
        <w:rPr>
          <w:rFonts w:ascii="Times New Roman" w:hAnsi="Times New Roman"/>
          <w:sz w:val="20"/>
        </w:rPr>
        <w:t xml:space="preserve">(1) the Redemption Date, </w:t>
      </w:r>
    </w:p>
    <w:p>
      <w:pPr>
        <w:pStyle w:val="TextBody"/>
        <w:spacing w:before="180" w:after="0"/>
        <w:rPr>
          <w:rFonts w:ascii="Times New Roman" w:hAnsi="Times New Roman"/>
          <w:sz w:val="20"/>
        </w:rPr>
      </w:pPr>
      <w:r>
        <w:rPr>
          <w:rFonts w:ascii="Times New Roman" w:hAnsi="Times New Roman"/>
          <w:sz w:val="20"/>
        </w:rPr>
        <w:t xml:space="preserve">(2) the Redemption Price, if then determinable and otherwise the method of its determination, </w:t>
      </w:r>
    </w:p>
    <w:p>
      <w:pPr>
        <w:pStyle w:val="TextBody"/>
        <w:spacing w:before="180" w:after="0"/>
        <w:rPr>
          <w:rFonts w:ascii="Times New Roman" w:hAnsi="Times New Roman"/>
          <w:sz w:val="20"/>
        </w:rPr>
      </w:pPr>
      <w:r>
        <w:rPr>
          <w:rFonts w:ascii="Times New Roman" w:hAnsi="Times New Roman"/>
          <w:sz w:val="20"/>
        </w:rPr>
        <w:t xml:space="preserve">(3) 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- 57 -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(4) that on the Redemption Date the Redemption Price will become due and payable upon each such Security to be redeemed and, if applicable, that interest thereon will cease to accrue on and after said date, </w:t>
      </w:r>
    </w:p>
    <w:p>
      <w:pPr>
        <w:pStyle w:val="TextBody"/>
        <w:spacing w:before="180" w:after="0"/>
        <w:rPr>
          <w:rFonts w:ascii="Times New Roman" w:hAnsi="Times New Roman"/>
          <w:sz w:val="20"/>
        </w:rPr>
      </w:pPr>
      <w:r>
        <w:rPr>
          <w:rFonts w:ascii="Times New Roman" w:hAnsi="Times New Roman"/>
          <w:sz w:val="20"/>
        </w:rPr>
        <w:t xml:space="preserve">(5) the place or places where each such Security is to be surrendered for payment of the Redemption Price, </w:t>
      </w:r>
    </w:p>
    <w:p>
      <w:pPr>
        <w:pStyle w:val="TextBody"/>
        <w:spacing w:before="180" w:after="0"/>
        <w:rPr>
          <w:rFonts w:ascii="Times New Roman" w:hAnsi="Times New Roman"/>
          <w:sz w:val="20"/>
        </w:rPr>
      </w:pPr>
      <w:r>
        <w:rPr>
          <w:rFonts w:ascii="Times New Roman" w:hAnsi="Times New Roman"/>
          <w:sz w:val="20"/>
        </w:rPr>
        <w:t xml:space="preserve">(6) that the redemption is for a sinking fund, if such is the case; and </w:t>
      </w:r>
    </w:p>
    <w:p>
      <w:pPr>
        <w:pStyle w:val="TextBody"/>
        <w:spacing w:before="180" w:after="0"/>
        <w:rPr>
          <w:rFonts w:ascii="Times New Roman" w:hAnsi="Times New Roman"/>
          <w:sz w:val="20"/>
        </w:rPr>
      </w:pPr>
      <w:r>
        <w:rPr>
          <w:rFonts w:ascii="Times New Roman" w:hAnsi="Times New Roman"/>
          <w:sz w:val="20"/>
        </w:rPr>
        <w:t xml:space="preserve">(7) if applicable, the conversion price then in effect and the date on which the right to convert such Securities will expire. </w:t>
      </w:r>
    </w:p>
    <w:p>
      <w:pPr>
        <w:pStyle w:val="TextBody"/>
        <w:spacing w:before="180" w:after="0"/>
        <w:rPr>
          <w:rFonts w:ascii="Times New Roman" w:hAnsi="Times New Roman"/>
          <w:sz w:val="20"/>
        </w:rPr>
      </w:pPr>
      <w:r>
        <w:rPr>
          <w:rFonts w:ascii="Times New Roman" w:hAnsi="Times New Roman"/>
          <w:sz w:val="20"/>
        </w:rPr>
        <w:t xml:space="preserve">Notice of redemption of Securities to be redeemed at the election of the Company shall be given by the Company or, at the Companys request, by the Trustee in the name and at the expense of the Company and shall be irrevocable. If any Security called for redemption is converted pursuant hereto, any money deposited with the Trustee or any Paying Agent or so segregated and held in trust for the redemption of such Security shall be paid to the Company upon delivery of a Company Request to the Trustee or such Paying Agent, or, if then held by the Company, shall be discharged from such trust. </w:t>
      </w:r>
    </w:p>
    <w:p>
      <w:pPr>
        <w:pStyle w:val="TextBody"/>
        <w:spacing w:before="180" w:after="0"/>
        <w:rPr>
          <w:rFonts w:ascii="Times New Roman" w:hAnsi="Times New Roman"/>
          <w:sz w:val="20"/>
        </w:rPr>
      </w:pPr>
      <w:r>
        <w:rPr>
          <w:rFonts w:ascii="Times New Roman" w:hAnsi="Times New Roman"/>
          <w:sz w:val="20"/>
        </w:rPr>
        <w:t xml:space="preserve">SECTION 1105. </w:t>
      </w:r>
      <w:r>
        <w:rPr>
          <w:rFonts w:ascii="Times New Roman" w:hAnsi="Times New Roman"/>
          <w:b/>
          <w:sz w:val="20"/>
          <w:u w:val="single"/>
        </w:rPr>
        <w:t>Deposit of Redemption Price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Prior to 11:00 A.M., New York City time,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 </w:t>
      </w:r>
    </w:p>
    <w:p>
      <w:pPr>
        <w:pStyle w:val="TextBody"/>
        <w:spacing w:before="180" w:after="0"/>
        <w:rPr>
          <w:rFonts w:ascii="Times New Roman" w:hAnsi="Times New Roman"/>
          <w:sz w:val="20"/>
        </w:rPr>
      </w:pPr>
      <w:r>
        <w:rPr>
          <w:rFonts w:ascii="Times New Roman" w:hAnsi="Times New Roman"/>
          <w:sz w:val="20"/>
        </w:rPr>
        <w:t xml:space="preserve">SECTION 1106. </w:t>
      </w:r>
      <w:r>
        <w:rPr>
          <w:rFonts w:ascii="Times New Roman" w:hAnsi="Times New Roman"/>
          <w:b/>
          <w:sz w:val="20"/>
          <w:u w:val="single"/>
        </w:rPr>
        <w:t>Securities Payable on Redemption Date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 </w:t>
      </w:r>
    </w:p>
    <w:p>
      <w:pPr>
        <w:pStyle w:val="TextBody"/>
        <w:spacing w:before="180" w:after="0"/>
        <w:rPr>
          <w:rFonts w:ascii="Times New Roman" w:hAnsi="Times New Roman"/>
          <w:sz w:val="20"/>
        </w:rPr>
      </w:pPr>
      <w:r>
        <w:rPr>
          <w:rFonts w:ascii="Times New Roman" w:hAnsi="Times New Roman"/>
          <w:sz w:val="20"/>
        </w:rPr>
        <w:t xml:space="preserve">If any Security called for redemption shall not be so paid upon surrender thereof for redemption, the principal and any premium shall, until paid, bear interest from the Redemption Date at the rate prescribed therefor in the Security.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- 58 -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1107. </w:t>
      </w:r>
      <w:r>
        <w:rPr>
          <w:rFonts w:ascii="Times New Roman" w:hAnsi="Times New Roman"/>
          <w:b/>
          <w:sz w:val="20"/>
          <w:u w:val="single"/>
        </w:rPr>
        <w:t>Securities Redeemed in Part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if applicable, the Subsidiary Guarantors shall execute the notations of Subsidiary Guarantees endorsed thereon,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w:t>
      </w:r>
    </w:p>
    <w:p>
      <w:pPr>
        <w:pStyle w:val="TextBody"/>
        <w:spacing w:before="270" w:after="0"/>
        <w:jc w:val="center"/>
        <w:rPr>
          <w:rFonts w:ascii="Times New Roman" w:hAnsi="Times New Roman"/>
          <w:b/>
          <w:sz w:val="20"/>
        </w:rPr>
      </w:pPr>
      <w:r>
        <w:rPr>
          <w:rFonts w:ascii="Times New Roman" w:hAnsi="Times New Roman"/>
          <w:b/>
          <w:sz w:val="20"/>
        </w:rPr>
        <w:t xml:space="preserve">ARTICLE TWELVE </w:t>
      </w:r>
    </w:p>
    <w:p>
      <w:pPr>
        <w:pStyle w:val="TextBody"/>
        <w:spacing w:before="0" w:after="0"/>
        <w:jc w:val="center"/>
        <w:rPr>
          <w:rFonts w:ascii="Times New Roman" w:hAnsi="Times New Roman"/>
          <w:b/>
          <w:sz w:val="20"/>
        </w:rPr>
      </w:pPr>
      <w:r>
        <w:rPr>
          <w:rFonts w:ascii="Times New Roman" w:hAnsi="Times New Roman"/>
          <w:b/>
          <w:sz w:val="20"/>
        </w:rPr>
        <w:t xml:space="preserve">SUBORDINATION OF SECURITIES </w:t>
      </w:r>
    </w:p>
    <w:p>
      <w:pPr>
        <w:pStyle w:val="TextBody"/>
        <w:spacing w:before="180" w:after="0"/>
        <w:rPr>
          <w:rFonts w:ascii="Times New Roman" w:hAnsi="Times New Roman"/>
          <w:sz w:val="20"/>
        </w:rPr>
      </w:pPr>
      <w:r>
        <w:rPr>
          <w:rFonts w:ascii="Times New Roman" w:hAnsi="Times New Roman"/>
          <w:sz w:val="20"/>
        </w:rPr>
        <w:t xml:space="preserve">SECTION 1201. </w:t>
      </w:r>
      <w:r>
        <w:rPr>
          <w:rFonts w:ascii="Times New Roman" w:hAnsi="Times New Roman"/>
          <w:b/>
          <w:sz w:val="20"/>
          <w:u w:val="single"/>
        </w:rPr>
        <w:t>Applicability of Article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Unless otherwise provided with respect to the Securities of any series in or pursuant to the Board Resolution or supplemental indenture establishing such series of Securities pursuant to Section 301, the provisions of this Article shall be applicable to each series of Securities. </w:t>
      </w:r>
    </w:p>
    <w:p>
      <w:pPr>
        <w:pStyle w:val="TextBody"/>
        <w:spacing w:before="180" w:after="0"/>
        <w:rPr>
          <w:rFonts w:ascii="Times New Roman" w:hAnsi="Times New Roman"/>
          <w:sz w:val="20"/>
        </w:rPr>
      </w:pPr>
      <w:r>
        <w:rPr>
          <w:rFonts w:ascii="Times New Roman" w:hAnsi="Times New Roman"/>
          <w:sz w:val="20"/>
        </w:rPr>
        <w:t xml:space="preserve">SECTION 1202. </w:t>
      </w:r>
      <w:r>
        <w:rPr>
          <w:rFonts w:ascii="Times New Roman" w:hAnsi="Times New Roman"/>
          <w:b/>
          <w:sz w:val="20"/>
          <w:u w:val="single"/>
        </w:rPr>
        <w:t>Securities Subordinate to Senior Debt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covenants and agrees, and each Holder of a Security, by his acceptance thereof, likewise covenants and agrees, that, to the extent and in the manner hereinafter set forth in this Article (subject to the provisions of Article Four and Article Fifteen), the payment of the principal of (and premium, if any) and interest on each and all of the Securities of such series is hereby expressly made subordinate and subject in right of payment to the prior payment in full of all Senior Debt of the Company. </w:t>
      </w:r>
    </w:p>
    <w:p>
      <w:pPr>
        <w:pStyle w:val="TextBody"/>
        <w:spacing w:before="180" w:after="0"/>
        <w:rPr>
          <w:rFonts w:ascii="Times New Roman" w:hAnsi="Times New Roman"/>
          <w:sz w:val="20"/>
        </w:rPr>
      </w:pPr>
      <w:r>
        <w:rPr>
          <w:rFonts w:ascii="Times New Roman" w:hAnsi="Times New Roman"/>
          <w:sz w:val="20"/>
        </w:rPr>
        <w:t xml:space="preserve">No provisions of this Article Twelve shall prevent the occurrence of any Event of Default. </w:t>
      </w:r>
    </w:p>
    <w:p>
      <w:pPr>
        <w:pStyle w:val="TextBody"/>
        <w:spacing w:before="180" w:after="0"/>
        <w:rPr>
          <w:rFonts w:ascii="Times New Roman" w:hAnsi="Times New Roman"/>
          <w:sz w:val="20"/>
        </w:rPr>
      </w:pPr>
      <w:r>
        <w:rPr>
          <w:rFonts w:ascii="Times New Roman" w:hAnsi="Times New Roman"/>
          <w:sz w:val="20"/>
        </w:rPr>
        <w:t xml:space="preserve">SECTION 1203. </w:t>
      </w:r>
      <w:r>
        <w:rPr>
          <w:rFonts w:ascii="Times New Roman" w:hAnsi="Times New Roman"/>
          <w:b/>
          <w:sz w:val="20"/>
          <w:u w:val="single"/>
        </w:rPr>
        <w:t>Payment Over of Proceeds Upon Dissolution, Etc</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marshalling of assets and liabilities of the Company, then and in any such event specified in (a), (b) or (c) above (each such event, if any, herein sometimes referred to as a </w:t>
      </w:r>
      <w:r>
        <w:rPr>
          <w:rFonts w:ascii="Times New Roman" w:hAnsi="Times New Roman"/>
          <w:b/>
          <w:sz w:val="20"/>
        </w:rPr>
        <w:t>Proceeding</w:t>
      </w:r>
      <w:r>
        <w:rPr>
          <w:rFonts w:ascii="Times New Roman" w:hAnsi="Times New Roman"/>
          <w:sz w:val="20"/>
        </w:rPr>
        <w:t xml:space="preserve">) the holders of Senior Debt of the Company shall be entitled to receive payment in full of all amounts due or to become due on or in respect of all Senior Debt of the Company, or provision shall be made for such payment in cash or cash equivalents or otherwise in a manner satisfactory to the holders of Senior Debt of the Company, before the Holders of the Securities are entitled to receive any payment or distribution of any kind or character, whether in cash, property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- 59 -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securities (including any payment or distribution which may be payable or deliverable by reason of the payment of any other indebtedness of the Company subordinated to the payment of the Securities, such payment or distribution being hereinafter referred to as a </w:t>
      </w:r>
      <w:r>
        <w:rPr>
          <w:rFonts w:ascii="Times New Roman" w:hAnsi="Times New Roman"/>
          <w:b/>
          <w:sz w:val="20"/>
        </w:rPr>
        <w:t>Junior Subordinated Payment</w:t>
      </w:r>
      <w:r>
        <w:rPr>
          <w:rFonts w:ascii="Times New Roman" w:hAnsi="Times New Roman"/>
          <w:sz w:val="20"/>
        </w:rPr>
        <w:t>), on account of principal of (or premium, if any) or interest on the Securities or on account of any purchase or other acquisition of Securities by the Company or any Subsidiary of the Company (all such payments, distributions, purchases and acquisitions, other than the payment or distribution of stock or securities of the Company referred to in the second succeeding paragraph, herein referred to, individually and collectively, as a </w:t>
      </w:r>
      <w:r>
        <w:rPr>
          <w:rFonts w:ascii="Times New Roman" w:hAnsi="Times New Roman"/>
          <w:b/>
          <w:sz w:val="20"/>
        </w:rPr>
        <w:t>Securities Payment</w:t>
      </w:r>
      <w:r>
        <w:rPr>
          <w:rFonts w:ascii="Times New Roman" w:hAnsi="Times New Roman"/>
          <w:sz w:val="20"/>
        </w:rPr>
        <w:t xml:space="preserve">), and to that end the holders of Senior Debt of the Company shall be entitled to receive, for application to the payment thereof, any Securities Payment which may be payable or deliverable in respect of the Securities in any such Proceeding. </w:t>
      </w:r>
    </w:p>
    <w:p>
      <w:pPr>
        <w:pStyle w:val="TextBody"/>
        <w:spacing w:before="180" w:after="0"/>
        <w:rPr>
          <w:rFonts w:ascii="Times New Roman" w:hAnsi="Times New Roman"/>
          <w:sz w:val="20"/>
        </w:rPr>
      </w:pPr>
      <w:r>
        <w:rPr>
          <w:rFonts w:ascii="Times New Roman" w:hAnsi="Times New Roman"/>
          <w:sz w:val="20"/>
        </w:rPr>
        <w:t xml:space="preserve">In the event that, notwithstanding the foregoing provisions of this Section, the Trustee or the Holder of any Security shall have received any Securities Payment before all Senior Debt of the Company is paid in full or payment thereof provided for in cash or cash equivalents or otherwise in a manner satisfactory to the holders of Senior Debt of the Company, and if such fact shall, at or prior to the time of such Securities Payment, have been made known to the Trustee or, as the case may be, such Holder, then and in such event such Securities Payment shall be paid over or delivered forthwith to the trustee in bankruptcy, receiver, liquidating trustee, custodian, assignee, agent or other Person making payment or distribution of assets of the Company for application to the payment of all Senior Debt of the Company remaining unpaid, to the extent necessary to pay all Senior Debt of the Company in full, after giving effect to any concurrent payment or distribution to or for the holders of Senior Debt of the Company. </w:t>
      </w:r>
    </w:p>
    <w:p>
      <w:pPr>
        <w:pStyle w:val="TextBody"/>
        <w:spacing w:before="180" w:after="0"/>
        <w:rPr>
          <w:rFonts w:ascii="Times New Roman" w:hAnsi="Times New Roman"/>
          <w:sz w:val="20"/>
        </w:rPr>
      </w:pPr>
      <w:r>
        <w:rPr>
          <w:rFonts w:ascii="Times New Roman" w:hAnsi="Times New Roman"/>
          <w:sz w:val="20"/>
        </w:rPr>
        <w:t xml:space="preserve">For purposes of this Article only, the words any payment or distribution of any kind or character, whether in cash, property or securities shall not be deemed to include a payment or distribution of stock or securities of the Company provided for by a plan of reorganization or readjustment authorized by an order or decree of a court of competent jurisdiction in a reorganization proceeding under any applicable bankruptcy law or of any other corporation provided for by such plan of reorganization or readjustment which stock or securities are subordinated in right of payment to all then outstanding Senior Debt of the Company to substantially the same extent as the Securities are so subordinated as provided in this Article. The consolidation of the Company with, or the merger of the Company into, another Person or the liquidation or dissolution of the Company following the conveyance or other disposition of all or substantially all of its assets to another Person upon the terms and conditions set forth in Article Eight shall not be deemed a Proceeding for the purposes of this Section if the Person formed by such consolidation or into which the Company is merged or the Person which acquires by conveyance or other disposition such assets, as the case may be, shall, as a part of such consolidation, merger, conveyance or transfer, comply with the conditions set forth in Article Eight. </w:t>
      </w:r>
    </w:p>
    <w:p>
      <w:pPr>
        <w:pStyle w:val="TextBody"/>
        <w:spacing w:before="180" w:after="0"/>
        <w:rPr>
          <w:rFonts w:ascii="Times New Roman" w:hAnsi="Times New Roman"/>
          <w:sz w:val="20"/>
        </w:rPr>
      </w:pPr>
      <w:r>
        <w:rPr>
          <w:rFonts w:ascii="Times New Roman" w:hAnsi="Times New Roman"/>
          <w:sz w:val="20"/>
        </w:rPr>
        <w:t xml:space="preserve">SECTION 1204. </w:t>
      </w:r>
      <w:r>
        <w:rPr>
          <w:rFonts w:ascii="Times New Roman" w:hAnsi="Times New Roman"/>
          <w:b/>
          <w:sz w:val="20"/>
          <w:u w:val="single"/>
        </w:rPr>
        <w:t>No Payment When Senior Debt of the Company in Default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the event that any Senior Payment Default (as defined below) shall have occurred and be continuing, then no Securities Payment shall be made unless and until such Senior Payment Default shall have been cured or waived or shall have ceased to exist or all amounts then due and payable in respect of Senior Debt of the Company shall have been paid in full, or provision shall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- 60 -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have been made for such payment in cash or cash equivalents or otherwise in a manner satisfactory to the holders of Senior Debt of the Company; provided, however, that nothing in this Section shall prevent the satisfaction of any sinking fund payment in accordance with Article Sixteen by delivering and crediting pursuant to Section 1602 Securities which have been acquired (upon redemption or otherwise) prior to such Senior Payment Default.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Senior Payment Default</w:t>
      </w:r>
      <w:r>
        <w:rPr>
          <w:rFonts w:ascii="Times New Roman" w:hAnsi="Times New Roman"/>
          <w:sz w:val="20"/>
        </w:rPr>
        <w:t xml:space="preserve"> means any default in the payment of principal of (or premium, if any) or interest on any Senior Debt of the Company when due, whether at the Stated Maturity of any such payment or by declaration of acceleration, call for redemption or otherwise. </w:t>
      </w:r>
    </w:p>
    <w:p>
      <w:pPr>
        <w:pStyle w:val="TextBody"/>
        <w:spacing w:before="180" w:after="0"/>
        <w:rPr>
          <w:rFonts w:ascii="Times New Roman" w:hAnsi="Times New Roman"/>
          <w:sz w:val="20"/>
        </w:rPr>
      </w:pPr>
      <w:r>
        <w:rPr>
          <w:rFonts w:ascii="Times New Roman" w:hAnsi="Times New Roman"/>
          <w:sz w:val="20"/>
        </w:rPr>
        <w:t>In the event that any Senior Nonmonetary Default (as defined below) shall have occurred and be continuing, then, upon the receipt by the Company, the Subsidiary Guarantors and the Trustee of written notice of such Senior Nonmonetary Default from the agent for the Designated Senior Debt which is the subject of such Senior Nonmonetary Default, no Securities Payment shall be made during the period (the </w:t>
      </w:r>
      <w:r>
        <w:rPr>
          <w:rFonts w:ascii="Times New Roman" w:hAnsi="Times New Roman"/>
          <w:b/>
          <w:sz w:val="20"/>
        </w:rPr>
        <w:t>Payment Blockage Period</w:t>
      </w:r>
      <w:r>
        <w:rPr>
          <w:rFonts w:ascii="Times New Roman" w:hAnsi="Times New Roman"/>
          <w:sz w:val="20"/>
        </w:rPr>
        <w:t xml:space="preserve">) commencing on the date of such receipt of such written notice and ending on the earlier of (i) the date on which such Senior Nonmonetary Default shall have been cured or waived or shall have ceased to exist or all Designated Senior Debt the subject of such Senior Nonmonetary Default shall have been discharged; (ii) the 179th day after the date of such receipt of such written notice; or (iii) the date on which the Payment Blockage Period shall have been terminated by written notice to the Company, any Subsidiary Guarantor or the Trustee from the agent for the Designated Senior Debt initiating the Payment Blockage Period; provided, however, that nothing in this Section shall prevent the satisfaction of any sinking fund payment in accordance with Article Sixteen by delivering and crediting pursuant to Section 1602 Securities which have been acquired (upon redemption or otherwise) prior to the date of such receipt of such written notice. No more than one Payment Blockage Period may be commenced with respect to the Securities of a particular series during any 360-day period and there shall be a period of at least 181 consecutive days in each 360-day period when no Payment Blockage Period is in effect. For all purposes of this paragraph, no Senior Nonmonetary Default that existed or was continuing on the date of commencement of any Payment Blockage Period shall be, or be made, the basis for the commencement of a subsequent Payment Blockage Period, whether or not within a period of 360 consecutive days, unless such Senior Nonmonetary Default shall have been cured for a period of not less than 90 consecutive days.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Senior Nonmonetary Default</w:t>
      </w:r>
      <w:r>
        <w:rPr>
          <w:rFonts w:ascii="Times New Roman" w:hAnsi="Times New Roman"/>
          <w:sz w:val="20"/>
        </w:rPr>
        <w:t xml:space="preserve"> means the occurrence or existence and continuance of any event of default with respect to any Designated Senior Debt, other than a Senior Payment Default, permitting the holders of such Designated Senior Debt (or a trustee or agent on behalf of the holders thereof) to declare such Designated Senior Debt due and payable prior to the date on which it would otherwise become due and payable. </w:t>
      </w:r>
    </w:p>
    <w:p>
      <w:pPr>
        <w:pStyle w:val="TextBody"/>
        <w:spacing w:before="180" w:after="0"/>
        <w:rPr>
          <w:rFonts w:ascii="Times New Roman" w:hAnsi="Times New Roman"/>
          <w:sz w:val="20"/>
        </w:rPr>
      </w:pPr>
      <w:r>
        <w:rPr>
          <w:rFonts w:ascii="Times New Roman" w:hAnsi="Times New Roman"/>
          <w:sz w:val="20"/>
        </w:rPr>
        <w:t xml:space="preserve">In the event that, notwithstanding the foregoing, the Company shall make any Securities Payment to the Trustee or any Holder prohibited by the foregoing provisions of this Section, and if such fact shall, at or prior to the time of such Securities Payment, have been made known to the Trustee or, as the case may be, such Holder, then and in such event such Securities Payment shall be paid over and delivered forthwith to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- 61 -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provisions of this Section shall not apply to any Securities Payment with respect to which Section 1203 would be applicable. </w:t>
      </w:r>
    </w:p>
    <w:p>
      <w:pPr>
        <w:pStyle w:val="TextBody"/>
        <w:spacing w:before="180" w:after="0"/>
        <w:rPr>
          <w:rFonts w:ascii="Times New Roman" w:hAnsi="Times New Roman"/>
          <w:sz w:val="20"/>
        </w:rPr>
      </w:pPr>
      <w:r>
        <w:rPr>
          <w:rFonts w:ascii="Times New Roman" w:hAnsi="Times New Roman"/>
          <w:sz w:val="20"/>
        </w:rPr>
        <w:t xml:space="preserve">SECTION 1205. </w:t>
      </w:r>
      <w:r>
        <w:rPr>
          <w:rFonts w:ascii="Times New Roman" w:hAnsi="Times New Roman"/>
          <w:b/>
          <w:sz w:val="20"/>
          <w:u w:val="single"/>
        </w:rPr>
        <w:t>Payment Permitted If No Default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Nothing contained in this Article or elsewhere in this Indenture or in any of the Securities shall prevent (a) the Company, at any time except during the pendency of any Proceeding referred to in Section 1203 or under the conditions described in Section 1204, from making Securities Payments, or (b) the application by the Trustee of any money deposited with it hereunder to Securities Payments or the retention of such Securities Payment by the Holders, if, at the time of such application by the Trustee, it did not have knowledge that such Securities Payment would have been prohibited by the provisions of this Article. </w:t>
      </w:r>
    </w:p>
    <w:p>
      <w:pPr>
        <w:pStyle w:val="TextBody"/>
        <w:spacing w:before="180" w:after="0"/>
        <w:rPr>
          <w:rFonts w:ascii="Times New Roman" w:hAnsi="Times New Roman"/>
          <w:sz w:val="20"/>
        </w:rPr>
      </w:pPr>
      <w:r>
        <w:rPr>
          <w:rFonts w:ascii="Times New Roman" w:hAnsi="Times New Roman"/>
          <w:sz w:val="20"/>
        </w:rPr>
        <w:t xml:space="preserve">SECTION 1206. </w:t>
      </w:r>
      <w:r>
        <w:rPr>
          <w:rFonts w:ascii="Times New Roman" w:hAnsi="Times New Roman"/>
          <w:b/>
          <w:sz w:val="20"/>
          <w:u w:val="single"/>
        </w:rPr>
        <w:t>Subrogation to Rights of Holders of Senior Debt of the Company</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Subject to the payment in full of all amounts due or to become due on or in respect of Senior Debt of the Company, or the provision for such payment in cash or cash equivalents or otherwise in a manner satisfactory to the holders of Senior Debt of the Company, the Holders of the Securities shall be subrogated to the rights of the holders of such Senior Debt of the Company to receive payments and distributions of cash, property and securities applicable to the Senior Debt of the Company until the principal of (and premium, if any) and interest on the Securities shall be paid in full. For purposes of such subrogation, no payments or distributions to the holders of the Senior Debt of the Company of any cash, property or securities to which the Holders of the Securities or the Trustee would be entitled except for the provisions of this Article, and no payments over pursuant to the provisions of this Article to the holders of Senior Debt of the Company by Holders of the Securities or the Trustee, shall, as among the Company, its creditors other than holders of Senior Debt of the Company and the Holders of the Securities, be deemed to be a payment or distribution by the Company to or on account of the Senior Debt of the Company. </w:t>
      </w:r>
    </w:p>
    <w:p>
      <w:pPr>
        <w:pStyle w:val="TextBody"/>
        <w:spacing w:before="180" w:after="0"/>
        <w:rPr>
          <w:rFonts w:ascii="Times New Roman" w:hAnsi="Times New Roman"/>
          <w:sz w:val="20"/>
        </w:rPr>
      </w:pPr>
      <w:r>
        <w:rPr>
          <w:rFonts w:ascii="Times New Roman" w:hAnsi="Times New Roman"/>
          <w:sz w:val="20"/>
        </w:rPr>
        <w:t xml:space="preserve">SECTION 1207. </w:t>
      </w:r>
      <w:r>
        <w:rPr>
          <w:rFonts w:ascii="Times New Roman" w:hAnsi="Times New Roman"/>
          <w:b/>
          <w:sz w:val="20"/>
          <w:u w:val="single"/>
        </w:rPr>
        <w:t>Provisions Solely to Define Relative Rights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provisions of this Article are and are intended solely for the purpose of defining the relative rights of the Holders on the one hand and the holders of Senior Debt of the Company on the other hand. Nothing contained in this Article or elsewhere in this Indenture or in the Securities is intended to or shall (a) impair, as among the Company, its creditors other than holders of Senior Debt of the Company and the Holders of the Securities, the obligation of the Company, which is absolute and unconditional (and which, subject to the rights under this Article of the holders of Senior Debt of the Company,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Debt of the Company; or (c) prevent the Trustee or the Holder of any Security from exercising all remedies otherwise permitted by applicable law upon default under this Indenture, subject to the rights, if any, under this Article of the holders of Senior Debt of the Company to receive cash, property and securities otherwise payable or deliverable to the Trustee or such Holder.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- 62 -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1208. </w:t>
      </w:r>
      <w:r>
        <w:rPr>
          <w:rFonts w:ascii="Times New Roman" w:hAnsi="Times New Roman"/>
          <w:b/>
          <w:sz w:val="20"/>
          <w:u w:val="single"/>
        </w:rPr>
        <w:t>Trustee to Effectuate Subordination</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Each Holder of a Security by his acceptance thereof authorizes and directs the Trustee on his behalf to take such action as may be necessary or appropriate to effectuate the subordination provided in this Article and appoints the Trustee his attorney-in-fact for any and all such purposes. </w:t>
      </w:r>
    </w:p>
    <w:p>
      <w:pPr>
        <w:pStyle w:val="TextBody"/>
        <w:spacing w:before="180" w:after="0"/>
        <w:rPr>
          <w:rFonts w:ascii="Times New Roman" w:hAnsi="Times New Roman"/>
          <w:sz w:val="20"/>
        </w:rPr>
      </w:pPr>
      <w:r>
        <w:rPr>
          <w:rFonts w:ascii="Times New Roman" w:hAnsi="Times New Roman"/>
          <w:sz w:val="20"/>
        </w:rPr>
        <w:t xml:space="preserve">SECTION 1209. </w:t>
      </w:r>
      <w:r>
        <w:rPr>
          <w:rFonts w:ascii="Times New Roman" w:hAnsi="Times New Roman"/>
          <w:b/>
          <w:sz w:val="20"/>
          <w:u w:val="single"/>
        </w:rPr>
        <w:t>No Waiver of Subordination Provisions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 right of any present or future holder of any Senior Debt of the Company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 </w:t>
      </w:r>
    </w:p>
    <w:p>
      <w:pPr>
        <w:pStyle w:val="TextBody"/>
        <w:spacing w:before="180" w:after="0"/>
        <w:rPr>
          <w:rFonts w:ascii="Times New Roman" w:hAnsi="Times New Roman"/>
          <w:sz w:val="20"/>
        </w:rPr>
      </w:pPr>
      <w:r>
        <w:rPr>
          <w:rFonts w:ascii="Times New Roman" w:hAnsi="Times New Roman"/>
          <w:sz w:val="20"/>
        </w:rPr>
        <w:t xml:space="preserve">Without in any way limiting the generality of the foregoing paragraph, the holders of Senior Debt of the Company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Debt of the Company, do any one or more of the following: (i) change the manner, place or terms of payment or extend the time of payment of, or renew or alter, Senior Debt of the Company, or otherwise amend or supplement in any manner Senior Debt of the Company or any instrument evidencing the same or any agreement under which Senior Debt of the Company is outstanding; (ii) sell, exchange, release or otherwise deal with any property pledged, mortgaged or otherwise securing Senior Debt of the Company; (iii) release any Person liable in any manner for the collection of Senior Debt of the Company; and (iv) exercise or refrain from exercising any rights against the Company and any other Person. </w:t>
      </w:r>
    </w:p>
    <w:p>
      <w:pPr>
        <w:pStyle w:val="TextBody"/>
        <w:spacing w:before="180" w:after="0"/>
        <w:rPr>
          <w:rFonts w:ascii="Times New Roman" w:hAnsi="Times New Roman"/>
          <w:sz w:val="20"/>
        </w:rPr>
      </w:pPr>
      <w:r>
        <w:rPr>
          <w:rFonts w:ascii="Times New Roman" w:hAnsi="Times New Roman"/>
          <w:sz w:val="20"/>
        </w:rPr>
        <w:t xml:space="preserve">SECTION 1210. </w:t>
      </w:r>
      <w:r>
        <w:rPr>
          <w:rFonts w:ascii="Times New Roman" w:hAnsi="Times New Roman"/>
          <w:b/>
          <w:sz w:val="20"/>
          <w:u w:val="single"/>
        </w:rPr>
        <w:t>Notice to Trustee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shall give prompt written notice to the Trustee of any fact known to the Company which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Debt of the Company or from any trustee therefor; and, prior to the receipt of any such written notice, the Trustee, subject to the provisions of Section 601, shall be entitled in all respects to assume that no such facts exist; provided, however,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- 63 -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Subject to the provisions of Section 601, the Trustee shall be entitled to rely on the delivery to it of a written notice by a Person representing himself to be a holder of Senior Debt of the Company (or a trustee therefor) to establish that such notice has been given by a holder of Senior Debt of the Company (or a trustee therefor). In the event that the Trustee determines in good faith that further evidence is required with respect to the right of any Person as a holder of Senior Debt of the Company to participate in any payment or distribution pursuant to this Article, the Trustee may request such Person to furnish evidence to the reasonable satisfaction of the Trustee as to the amount of Senior Debt of the Company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 </w:t>
      </w:r>
    </w:p>
    <w:p>
      <w:pPr>
        <w:pStyle w:val="TextBody"/>
        <w:spacing w:before="180" w:after="0"/>
        <w:rPr>
          <w:rFonts w:ascii="Times New Roman" w:hAnsi="Times New Roman"/>
          <w:sz w:val="20"/>
        </w:rPr>
      </w:pPr>
      <w:r>
        <w:rPr>
          <w:rFonts w:ascii="Times New Roman" w:hAnsi="Times New Roman"/>
          <w:sz w:val="20"/>
        </w:rPr>
        <w:t xml:space="preserve">SECTION 1211. </w:t>
      </w:r>
      <w:r>
        <w:rPr>
          <w:rFonts w:ascii="Times New Roman" w:hAnsi="Times New Roman"/>
          <w:b/>
          <w:sz w:val="20"/>
          <w:u w:val="single"/>
        </w:rPr>
        <w:t>Reliance on Judicial Order or Certificate of Liquidating Agent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Upon any payment or distribution of assets of the Company referred to in this Article, the Trustee, subject to the provisions of Section 601, and the Holders of the Securities shall be entitled to rely upon any order or decree entered by any court of competent jurisdiction in which such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Debt of the Company and other indebtedness of the Company, the amount thereof or payable thereon, the amount or amounts paid or distributed thereon and all other facts pertinent thereto or to this Article. </w:t>
      </w:r>
    </w:p>
    <w:p>
      <w:pPr>
        <w:pStyle w:val="TextBody"/>
        <w:spacing w:before="180" w:after="0"/>
        <w:rPr>
          <w:rFonts w:ascii="Times New Roman" w:hAnsi="Times New Roman"/>
          <w:sz w:val="20"/>
        </w:rPr>
      </w:pPr>
      <w:r>
        <w:rPr>
          <w:rFonts w:ascii="Times New Roman" w:hAnsi="Times New Roman"/>
          <w:sz w:val="20"/>
        </w:rPr>
        <w:t xml:space="preserve">SECTION 1212. </w:t>
      </w:r>
      <w:r>
        <w:rPr>
          <w:rFonts w:ascii="Times New Roman" w:hAnsi="Times New Roman"/>
          <w:b/>
          <w:sz w:val="20"/>
          <w:u w:val="single"/>
        </w:rPr>
        <w:t>Trustee Not Fiduciary for Holders of Senior Debt of the Company</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shall not be deemed to owe any fiduciary duty to the holders of Senior Debt of the Company and shall not be liable to any such holders if it shall in good faith mistakenly pay over or distribute to Holders of Securities or to the Company, a Subsidiary Guarantor or to any other Person cash, property or securities to which any holders of Senior Debt of the Company shall be entitled by virtue of this Article or otherwise. </w:t>
      </w:r>
    </w:p>
    <w:p>
      <w:pPr>
        <w:pStyle w:val="TextBody"/>
        <w:spacing w:before="180" w:after="0"/>
        <w:rPr>
          <w:rFonts w:ascii="Times New Roman" w:hAnsi="Times New Roman"/>
          <w:sz w:val="20"/>
        </w:rPr>
      </w:pPr>
      <w:r>
        <w:rPr>
          <w:rFonts w:ascii="Times New Roman" w:hAnsi="Times New Roman"/>
          <w:sz w:val="20"/>
        </w:rPr>
        <w:t xml:space="preserve">SECTION 1213. </w:t>
      </w:r>
      <w:r>
        <w:rPr>
          <w:rFonts w:ascii="Times New Roman" w:hAnsi="Times New Roman"/>
          <w:b/>
          <w:sz w:val="20"/>
          <w:u w:val="single"/>
        </w:rPr>
        <w:t>Rights of Trustee as Holder of Senior Debt of the Company; Preservation of Trustees Rights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in its individual capacity shall be entitled to all the rights set forth in this Article with respect to any Senior Debt of the Company which may at any time be held by it, to the same extent as any other holder of Senior Debt of the Company, and nothing in this Indenture shall deprive the Trustee of any of its rights as such holder. </w:t>
      </w:r>
    </w:p>
    <w:p>
      <w:pPr>
        <w:pStyle w:val="TextBody"/>
        <w:spacing w:before="180" w:after="0"/>
        <w:rPr>
          <w:rFonts w:ascii="Times New Roman" w:hAnsi="Times New Roman"/>
          <w:sz w:val="20"/>
        </w:rPr>
      </w:pPr>
      <w:r>
        <w:rPr>
          <w:rFonts w:ascii="Times New Roman" w:hAnsi="Times New Roman"/>
          <w:sz w:val="20"/>
        </w:rPr>
        <w:t xml:space="preserve">Nothing in this Article shall apply to claims of, or payments to, the Trustee under or pursuant to Section 607.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- 64 -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1214. </w:t>
      </w:r>
      <w:r>
        <w:rPr>
          <w:rFonts w:ascii="Times New Roman" w:hAnsi="Times New Roman"/>
          <w:b/>
          <w:sz w:val="20"/>
          <w:u w:val="single"/>
        </w:rPr>
        <w:t>Article Applicable to Paying Agents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1213 shall not apply to the Company, any Subsidiary Guarantor or any Affiliate of the Company if it or such Subsidiary Guarantor or Affiliate acts as Paying Agent. </w:t>
      </w:r>
    </w:p>
    <w:p>
      <w:pPr>
        <w:pStyle w:val="TextBody"/>
        <w:spacing w:before="180" w:after="0"/>
        <w:rPr>
          <w:rFonts w:ascii="Times New Roman" w:hAnsi="Times New Roman"/>
          <w:sz w:val="20"/>
        </w:rPr>
      </w:pPr>
      <w:r>
        <w:rPr>
          <w:rFonts w:ascii="Times New Roman" w:hAnsi="Times New Roman"/>
          <w:sz w:val="20"/>
        </w:rPr>
        <w:t xml:space="preserve">SECTION 1215. </w:t>
      </w:r>
      <w:r>
        <w:rPr>
          <w:rFonts w:ascii="Times New Roman" w:hAnsi="Times New Roman"/>
          <w:b/>
          <w:sz w:val="20"/>
          <w:u w:val="single"/>
        </w:rPr>
        <w:t>Defeasance of this Article Twelve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subordination of the Securities of a series provided by this Article Twelve is expressly made subject to the provisions for Defeasance or Covenant Defeasance in Article Fifteen hereof and, anything herein to the contrary notwithstanding, upon the effectiveness of any such Defeasance or Covenant Defeasance, the Securities of such series then outstanding shall thereupon cease to be subordinated pursuant to this Article Twelve. </w:t>
      </w:r>
    </w:p>
    <w:p>
      <w:pPr>
        <w:pStyle w:val="TextBody"/>
        <w:spacing w:before="270" w:after="0"/>
        <w:jc w:val="center"/>
        <w:rPr>
          <w:rFonts w:ascii="Times New Roman" w:hAnsi="Times New Roman"/>
          <w:b/>
          <w:sz w:val="20"/>
        </w:rPr>
      </w:pPr>
      <w:r>
        <w:rPr>
          <w:rFonts w:ascii="Times New Roman" w:hAnsi="Times New Roman"/>
          <w:b/>
          <w:sz w:val="20"/>
        </w:rPr>
        <w:t xml:space="preserve">ARTICLE THIRTEEN </w:t>
      </w:r>
    </w:p>
    <w:p>
      <w:pPr>
        <w:pStyle w:val="TextBody"/>
        <w:spacing w:before="0" w:after="0"/>
        <w:jc w:val="center"/>
        <w:rPr>
          <w:rFonts w:ascii="Times New Roman" w:hAnsi="Times New Roman"/>
          <w:b/>
          <w:sz w:val="20"/>
        </w:rPr>
      </w:pPr>
      <w:r>
        <w:rPr>
          <w:rFonts w:ascii="Times New Roman" w:hAnsi="Times New Roman"/>
          <w:b/>
          <w:sz w:val="20"/>
        </w:rPr>
        <w:t xml:space="preserve">SUBSIDIARY GUARANTEES </w:t>
      </w:r>
    </w:p>
    <w:p>
      <w:pPr>
        <w:pStyle w:val="TextBody"/>
        <w:spacing w:before="180" w:after="0"/>
        <w:rPr>
          <w:rFonts w:ascii="Times New Roman" w:hAnsi="Times New Roman"/>
          <w:sz w:val="20"/>
        </w:rPr>
      </w:pPr>
      <w:r>
        <w:rPr>
          <w:rFonts w:ascii="Times New Roman" w:hAnsi="Times New Roman"/>
          <w:sz w:val="20"/>
        </w:rPr>
        <w:t xml:space="preserve">SECTION 1301. </w:t>
      </w:r>
      <w:r>
        <w:rPr>
          <w:rFonts w:ascii="Times New Roman" w:hAnsi="Times New Roman"/>
          <w:b/>
          <w:sz w:val="20"/>
          <w:u w:val="single"/>
        </w:rPr>
        <w:t>Applicability of Article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Unless the Company elects to issue any series of Securities without the benefit of the Subsidiary Guarantees, which election shall be evidenced in or pursuant to the Board Resolution or supplemental indenture establishing such series of Securities pursuant to Section 301, the provisions of this Article shall be applicable to each series of Securities except as otherwise specified in or pursuant to the Board Resolution or supplemental indenture establishing such series pursuant to Section 301. </w:t>
      </w:r>
    </w:p>
    <w:p>
      <w:pPr>
        <w:pStyle w:val="TextBody"/>
        <w:spacing w:before="180" w:after="0"/>
        <w:rPr>
          <w:rFonts w:ascii="Times New Roman" w:hAnsi="Times New Roman"/>
          <w:sz w:val="20"/>
        </w:rPr>
      </w:pPr>
      <w:r>
        <w:rPr>
          <w:rFonts w:ascii="Times New Roman" w:hAnsi="Times New Roman"/>
          <w:sz w:val="20"/>
        </w:rPr>
        <w:t xml:space="preserve">SECTION 1302. </w:t>
      </w:r>
      <w:r>
        <w:rPr>
          <w:rFonts w:ascii="Times New Roman" w:hAnsi="Times New Roman"/>
          <w:b/>
          <w:sz w:val="20"/>
          <w:u w:val="single"/>
        </w:rPr>
        <w:t>Subsidiary Guarantees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Subject to Section 1301, each Subsidiary Guarantor hereby, jointly and severally, fully and unconditionally guarantees to each Holder of a Security authenticated and delivered by the Trustee, the due and punctual payment of the principal of (and premium, if any) and interest on such Security when and as the same shall become due and payable, whether at the Stated Maturity, by acceleration, call for redemption, offer to purchase or otherwise, in accordance with the terms of such Security and of this Indenture, and each Subsidiary Guarantor similarly guarantees to the Trustee the payment of all amounts owing to the Trustee in accordance with the terms of this Indenture. In case of the failure of the Company punctually to make any such payment, each Subsidiary Guarantor hereby, jointly and severally, agrees to cause such payment to be made punctually when and as the same shall become due and payable, whether at the Stated Maturity or by acceleration, call for redemption, offer to purchase or otherwise, and as if such payment were made by the Company. </w:t>
      </w:r>
    </w:p>
    <w:p>
      <w:pPr>
        <w:pStyle w:val="TextBody"/>
        <w:spacing w:before="180" w:after="0"/>
        <w:rPr>
          <w:rFonts w:ascii="Times New Roman" w:hAnsi="Times New Roman"/>
          <w:sz w:val="20"/>
        </w:rPr>
      </w:pPr>
      <w:r>
        <w:rPr>
          <w:rFonts w:ascii="Times New Roman" w:hAnsi="Times New Roman"/>
          <w:sz w:val="20"/>
        </w:rPr>
        <w:t xml:space="preserve">Each of the Subsidiary Guarantors hereby jointly and severally agrees that its obligations hereunder shall be absolute, unconditional, irrespective of, and shall be unaffected by, the validity, regularity or enforceability of such Security or this Indenture, the absence of any action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- 65 -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to enforce the same or any release, amendment, waiver or indulgence granted to the Company or any other guarantor or any consent to departure from any requirement of any other guarantee of all or any of the Securities of such series or any other circumstances which might otherwise constitute a legal or equitable discharge or defense of a surety or guarantor; provided, however, that, notwithstanding the foregoing, no such release, amendment, waiver or indulgence shall, without the consent of such Subsidiary Guarantor, increase the principal amount of such Security, or increase the interest rate thereon, or alter the Stated Maturity thereof. Each of the Subsidiary Guarantors hereby waives the benefits of diligence, presentment, demand for payment, any requirement that the Trustee or any of the Holders protect, secure, perfect or insure any security interest in or other lien on any property subject thereto or exhaust any right or take any action against the Company or any other Person or any collateral, filing of claims with a court in the event of insolvency or bankruptcy of the Company, any right to require a proceeding first against the Company, protest or notice with respect to such Security or the indebtedness evidenced thereby and all demands whatsoever, and covenants that this Subsidiary Guarantee will not be discharged in respect of such Security except by complete performance of the obligations contained in such Security and in such Subsidiary Guarantee. Each Subsidiary Guarantor agrees that if, after the occurrence and during the continuance of an Event of Default, the Trustee or any of the Holders are prevented by applicable law from exercising their respective rights to accelerate the maturity of the Securities of a series, to collect interest on the Securities of a series, or to enforce or exercise any other right or remedy with respect to the Securities of a series, such Subsidiary Guarantor agrees to pay to the Trustee for the account of the Holders, upon demand therefor, the amount that would otherwise have been due and payable had such rights and remedies been permitted to be exercised by the Trustee or any of the Holders. </w:t>
      </w:r>
    </w:p>
    <w:p>
      <w:pPr>
        <w:pStyle w:val="TextBody"/>
        <w:spacing w:before="180" w:after="0"/>
        <w:rPr>
          <w:rFonts w:ascii="Times New Roman" w:hAnsi="Times New Roman"/>
          <w:sz w:val="20"/>
        </w:rPr>
      </w:pPr>
      <w:r>
        <w:rPr>
          <w:rFonts w:ascii="Times New Roman" w:hAnsi="Times New Roman"/>
          <w:sz w:val="20"/>
        </w:rPr>
        <w:t xml:space="preserve">The indebtedness of each Subsidiary Guarantor evidenced by the Subsidiary Guarantees is, to the extent provided in this Indenture, subordinate and subject in right of payment to the prior payment in full of all Senior Debt of each Subsidiary Guarantor, and the Subsidiary Guarantees are issued subject to the provisions of this Indenture with respect thereto. Each Holder of such Security, by accepting the same, will be deemed to have (a) agreed to and be bound by such provisions, (b) authorized and directed the Trustee on his behalf to take such action as may be necessary or appropriate to effectuate the subordination so provided and (c) appointed the Trustee his attorney-in-fact for any and all such purposes. </w:t>
      </w:r>
    </w:p>
    <w:p>
      <w:pPr>
        <w:pStyle w:val="TextBody"/>
        <w:spacing w:before="180" w:after="0"/>
        <w:rPr>
          <w:rFonts w:ascii="Times New Roman" w:hAnsi="Times New Roman"/>
          <w:sz w:val="20"/>
        </w:rPr>
      </w:pPr>
      <w:r>
        <w:rPr>
          <w:rFonts w:ascii="Times New Roman" w:hAnsi="Times New Roman"/>
          <w:sz w:val="20"/>
        </w:rPr>
        <w:t xml:space="preserve">Each Subsidiary Guarantor shall be subrogated to all rights of the Holders of the Securities upon which its Subsidiary Guarantee is endorsed against the Company in respect of any amounts paid by such Subsidiary Guarantor on account of such Security pursuant to the provisions of its Subsidiary Guarantee or this Indenture; provided, however, that no Subsidiary Guarantor shall be entitled to enforce or to receive any payments arising out of, or based upon, such right of subrogation until the principal of (and premium, if any) and interest on all Securities of the relevant series issued hereunder shall have been paid in full. </w:t>
      </w:r>
    </w:p>
    <w:p>
      <w:pPr>
        <w:pStyle w:val="TextBody"/>
        <w:spacing w:before="180" w:after="0"/>
        <w:rPr>
          <w:rFonts w:ascii="Times New Roman" w:hAnsi="Times New Roman"/>
          <w:sz w:val="20"/>
        </w:rPr>
      </w:pPr>
      <w:r>
        <w:rPr>
          <w:rFonts w:ascii="Times New Roman" w:hAnsi="Times New Roman"/>
          <w:sz w:val="20"/>
        </w:rPr>
        <w:t xml:space="preserve">Each Subsidiary Guarantor that makes or is required to make any payment in respect of its Subsidiary Guarantee shall be entitled to seek contribution from the other Subsidiary Guarantors to the extent permitted by applicable law; provided, however, that no Subsidiary Guarantor shall be entitled to enforce or receive any payments arising out of, or based upon, such right of contribution until the principal of (and premium, if any) and interest on all Securities of the relevant series issued hereunder shall have been paid in full.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- 66 -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Each Subsidiary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part of the Companys assets, and shall, to the fullest extent permitted by law, continue to be effective or be reinstated, as the case may be, if at any time payment and performance of the Securities of a series, is, pursuant to applicable law, rescinded or reduced in amount, or must otherwise be restored or returned by any Holder of the Securities, whether as a voidable preference, fraudulent transfer, or otherwise, all as though such payment or performance had not been made. In the event that any payment, or any part thereof, is rescinded, reduced, restored or returned, the Securities shall, to the fullest extent permitted by law, be reinstated and deemed reduced only by such amount paid and not so rescinded, reduced, restored or returned. </w:t>
      </w:r>
    </w:p>
    <w:p>
      <w:pPr>
        <w:pStyle w:val="TextBody"/>
        <w:spacing w:before="180" w:after="0"/>
        <w:rPr>
          <w:rFonts w:ascii="Times New Roman" w:hAnsi="Times New Roman"/>
          <w:sz w:val="20"/>
        </w:rPr>
      </w:pPr>
      <w:r>
        <w:rPr>
          <w:rFonts w:ascii="Times New Roman" w:hAnsi="Times New Roman"/>
          <w:sz w:val="20"/>
        </w:rPr>
        <w:t xml:space="preserve">SECTION 1303. </w:t>
      </w:r>
      <w:r>
        <w:rPr>
          <w:rFonts w:ascii="Times New Roman" w:hAnsi="Times New Roman"/>
          <w:b/>
          <w:sz w:val="20"/>
          <w:u w:val="single"/>
        </w:rPr>
        <w:t>Execution and Delivery of Notations of Subsidiary Guarantees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To further evidence its Subsidiary Guarantee set forth in Section 1302, each of the Subsidiary Guarantors hereby agrees that a notation relating to such Subsidiary Guarantee, substantially in the form set forth in Section 204, shall be endorsed on each Security entitled to the benefits of the Subsidiary Guarantee authenticated and delivered by the Trustee and executed by either manual or facsimile signature of an officer of such Subsidiary Guarantor, or in the case of a Subsidiary Guarantor that is a limited partnership, an officer of the general partner of each Subsidiary Guarantor. Each of the Subsidiary Guarantors hereby agrees that the Subsidiary Guarantee set forth in Section 1302 shall remain in full force and effect notwithstanding any failure to endorse on each Security a notation relating to the Subsidiary Guarantee. If any officer of the Subsidiary Guarantor, or in the case of a Subsidiary Guarantor that is a limited partnership, any officer of the general partner of the Subsidiary Guarantor, whose signature is on this Indenture or a Security no longer holds that office at the time the Trustee authenticates such Security or at any time thereafter, the Subsidiary Guarantee of such Security shall be valid nevertheless. The delivery of any Security by the Trustee, after the authentication thereof hereunder, shall constitute due delivery of the Subsidiary Guarantee set forth in this Indenture on behalf of the Subsidiary Guarantors. </w:t>
      </w:r>
    </w:p>
    <w:p>
      <w:pPr>
        <w:pStyle w:val="TextBody"/>
        <w:spacing w:before="180" w:after="0"/>
        <w:rPr>
          <w:rFonts w:ascii="Times New Roman" w:hAnsi="Times New Roman"/>
          <w:sz w:val="20"/>
        </w:rPr>
      </w:pPr>
      <w:r>
        <w:rPr>
          <w:rFonts w:ascii="Times New Roman" w:hAnsi="Times New Roman"/>
          <w:sz w:val="20"/>
        </w:rPr>
        <w:t xml:space="preserve">SECTION 1304. </w:t>
      </w:r>
      <w:r>
        <w:rPr>
          <w:rFonts w:ascii="Times New Roman" w:hAnsi="Times New Roman"/>
          <w:b/>
          <w:sz w:val="20"/>
          <w:u w:val="single"/>
        </w:rPr>
        <w:t>Release of Subsidiary Guarantors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Unless otherwise specified pursuant to Section 301 with respect to a series of Securities, each Subsidiary Guarantee will remain in effect with respect to the respective Subsidiary Guarantor until the entire principal of, premium, if any, and interest on the Securities to which such Subsidiary Guarantee relates shall have been paid in full or otherwise satisfied and discharged in accordance with the provisions of such Securities and this Indenture and all amounts owing to the Trustee hereunder have been paid; provided, however, that if (i) such Subsidiary Guarantor ceases to be a Subsidiary in compliance with the applicable provisions of this Indenture, (ii) either Defeasance or Covenant Defeasance occurs with respect to such Securities pursuant to Article Fifteen or (iii) all or substantially all of the assets of such Subsidiary Guarantor or all of the Capital Stock of such Subsidiary Guarantor is sold (including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- 67 -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by sale, merger, consolidation or otherwise) by the Company or any Subsidiary in a transaction complying with the requirements of this Indenture, then, in each case of (i), (ii) or (iii), upon delivery by the Company of an Officers Certificate and an Opinion of Counsel stating that all conditions precedent herein provided for relating to the release of such Subsidiary Guarantor from its obligations under its Subsidiary Guarantee and this Article Thirteen have been complied with, such Subsidiary Guarantor shall be released and discharged of its obligations under its Subsidiary Guarantee and under this Article Thirteen without any action on the part of the Trustee or any Holder, and the Trustee shall execute any documents reasonably required in order to acknowledge the release of such Subsidiary Guarantor from its obligations under its Subsidiary Guarantee endorsed on the Securities of such series and under this Article Thirteen. </w:t>
      </w:r>
    </w:p>
    <w:p>
      <w:pPr>
        <w:pStyle w:val="TextBody"/>
        <w:spacing w:before="180" w:after="0"/>
        <w:rPr>
          <w:rFonts w:ascii="Times New Roman" w:hAnsi="Times New Roman"/>
          <w:sz w:val="20"/>
        </w:rPr>
      </w:pPr>
      <w:r>
        <w:rPr>
          <w:rFonts w:ascii="Times New Roman" w:hAnsi="Times New Roman"/>
          <w:sz w:val="20"/>
        </w:rPr>
        <w:t xml:space="preserve">SECTION 1305. </w:t>
      </w:r>
      <w:r>
        <w:rPr>
          <w:rFonts w:ascii="Times New Roman" w:hAnsi="Times New Roman"/>
          <w:b/>
          <w:sz w:val="20"/>
          <w:u w:val="single"/>
        </w:rPr>
        <w:t>Additional Subsidiary Guarantors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Unless otherwise specified pursuant to Section 301 with respect to a series of Securities, the Company will cause any domestic Wholly Owned Subsidiary of the Company that becomes a Subsidiary after the date the Securities of a series are first issued hereunder to become a Subsidiary Guarantor as soon as practicable after such Subsidiary becomes a Subsidiary. The Company shall cause any such Wholly Owned Subsidiary to become a Subsidiary Guarantor with respect to the Securities by executing and delivering to the Trustee (a) a supplemental indenture, in form and substance satisfactory to the Trustee, which subjects such Person to the provisions (including the representations and warranties) of this Indenture as a Subsidiary Guarantor and (b) an Opinion of Counsel to the effect that such supplemental indenture has been duly authorized and executed by such Person and such supplemental indenture and such Persons obligations under its Subsidiary Guarantee and this Indenture constitute the legal, valid, binding and enforceable obligations of such Person (subject to such customary exceptions concerning creditors rights and equitable principles as may be acceptable to the Trustee in its discretion). </w:t>
      </w:r>
    </w:p>
    <w:p>
      <w:pPr>
        <w:pStyle w:val="TextBody"/>
        <w:spacing w:before="180" w:after="0"/>
        <w:rPr>
          <w:rFonts w:ascii="Times New Roman" w:hAnsi="Times New Roman"/>
          <w:sz w:val="20"/>
        </w:rPr>
      </w:pPr>
      <w:r>
        <w:rPr>
          <w:rFonts w:ascii="Times New Roman" w:hAnsi="Times New Roman"/>
          <w:sz w:val="20"/>
        </w:rPr>
        <w:t xml:space="preserve">SECTION 1306. </w:t>
      </w:r>
      <w:r>
        <w:rPr>
          <w:rFonts w:ascii="Times New Roman" w:hAnsi="Times New Roman"/>
          <w:b/>
          <w:sz w:val="20"/>
          <w:u w:val="single"/>
        </w:rPr>
        <w:t>Limitation on Liability</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Any term or provision of this Indenture to the contrary notwithstanding, the maximum amount of the Subsidiary Guarantee of any Subsidiary Guarantor shall not exceed the maximum amount that can be hereby guaranteed by such Subsidiary Guarantor without rendering such Subsidiary Guarantee voidable under applicable law relating to fraudulent conveyance or fraudulent transfer or similar laws affecting the rights of creditors generally. </w:t>
      </w:r>
    </w:p>
    <w:p>
      <w:pPr>
        <w:pStyle w:val="TextBody"/>
        <w:spacing w:before="270" w:after="0"/>
        <w:jc w:val="center"/>
        <w:rPr>
          <w:rFonts w:ascii="Times New Roman" w:hAnsi="Times New Roman"/>
          <w:b/>
          <w:sz w:val="20"/>
        </w:rPr>
      </w:pPr>
      <w:r>
        <w:rPr>
          <w:rFonts w:ascii="Times New Roman" w:hAnsi="Times New Roman"/>
          <w:b/>
          <w:sz w:val="20"/>
        </w:rPr>
        <w:t xml:space="preserve">ARTICLE FOURTEEN </w:t>
      </w:r>
    </w:p>
    <w:p>
      <w:pPr>
        <w:pStyle w:val="TextBody"/>
        <w:spacing w:before="0" w:after="0"/>
        <w:jc w:val="center"/>
        <w:rPr>
          <w:rFonts w:ascii="Times New Roman" w:hAnsi="Times New Roman"/>
          <w:b/>
          <w:sz w:val="20"/>
        </w:rPr>
      </w:pPr>
      <w:r>
        <w:rPr>
          <w:rFonts w:ascii="Times New Roman" w:hAnsi="Times New Roman"/>
          <w:b/>
          <w:sz w:val="20"/>
        </w:rPr>
        <w:t xml:space="preserve">SUBORDINATION OF SUBSIDIARY GUARANTEES </w:t>
      </w:r>
    </w:p>
    <w:p>
      <w:pPr>
        <w:pStyle w:val="TextBody"/>
        <w:spacing w:before="180" w:after="0"/>
        <w:rPr>
          <w:rFonts w:ascii="Times New Roman" w:hAnsi="Times New Roman"/>
          <w:sz w:val="20"/>
        </w:rPr>
      </w:pPr>
      <w:r>
        <w:rPr>
          <w:rFonts w:ascii="Times New Roman" w:hAnsi="Times New Roman"/>
          <w:sz w:val="20"/>
        </w:rPr>
        <w:t xml:space="preserve">SECTION 1401. </w:t>
      </w:r>
      <w:r>
        <w:rPr>
          <w:rFonts w:ascii="Times New Roman" w:hAnsi="Times New Roman"/>
          <w:b/>
          <w:sz w:val="20"/>
          <w:u w:val="single"/>
        </w:rPr>
        <w:t>Applicability of Article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Unless otherwise provided with respect to the Securities of any series in or pursuant to the Board Resolution or supplemental indenture establishing such series of Securities pursuant to Section 301, the provisions of this Article shall be applicable to each series of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- 68 -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1402. </w:t>
      </w:r>
      <w:r>
        <w:rPr>
          <w:rFonts w:ascii="Times New Roman" w:hAnsi="Times New Roman"/>
          <w:b/>
          <w:sz w:val="20"/>
          <w:u w:val="single"/>
        </w:rPr>
        <w:t>Subsidiary Guarantees Subordinate to Senior Debt of Subsidiary Guarantors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Each Subsidiary Guarantor covenants and agrees, and each Holder of a Security, by his acceptance thereof, likewise covenants and agrees, that, to the extent and in the manner hereinafter set forth in this Article (subject to the provisions of Article Four and Article Fifteen), the Subsidiary Guarantee of such Subsidiary Guarantor is hereby expressly made subordinate and subject in right of payment to the prior payment in full of all Senior Debt of such Subsidiary Guarantor. </w:t>
      </w:r>
    </w:p>
    <w:p>
      <w:pPr>
        <w:pStyle w:val="TextBody"/>
        <w:spacing w:before="180" w:after="0"/>
        <w:rPr>
          <w:rFonts w:ascii="Times New Roman" w:hAnsi="Times New Roman"/>
          <w:sz w:val="20"/>
        </w:rPr>
      </w:pPr>
      <w:r>
        <w:rPr>
          <w:rFonts w:ascii="Times New Roman" w:hAnsi="Times New Roman"/>
          <w:sz w:val="20"/>
        </w:rPr>
        <w:t xml:space="preserve">No provisions of this Article Fourteen shall prevent the occurrence of any Event of Default. </w:t>
      </w:r>
    </w:p>
    <w:p>
      <w:pPr>
        <w:pStyle w:val="TextBody"/>
        <w:spacing w:before="180" w:after="0"/>
        <w:rPr>
          <w:rFonts w:ascii="Times New Roman" w:hAnsi="Times New Roman"/>
          <w:sz w:val="20"/>
        </w:rPr>
      </w:pPr>
      <w:r>
        <w:rPr>
          <w:rFonts w:ascii="Times New Roman" w:hAnsi="Times New Roman"/>
          <w:sz w:val="20"/>
        </w:rPr>
        <w:t xml:space="preserve">SECTION 1403. </w:t>
      </w:r>
      <w:r>
        <w:rPr>
          <w:rFonts w:ascii="Times New Roman" w:hAnsi="Times New Roman"/>
          <w:b/>
          <w:sz w:val="20"/>
          <w:u w:val="single"/>
        </w:rPr>
        <w:t>Payment Over of Proceeds Upon Dissolution, Etc</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In the event of (a) any insolvency or bankruptcy case or proceeding, or any receivership, liquidation, reorganization or other similar case or proceeding in connection therewith, relative to any Subsidiary Guarantor or to its creditors, as such, or to its assets, or (b) any liquidation, dissolution or other winding up of any Subsidiary Guarantor, whether voluntary or involuntary and whether or not involving insolvency or bankruptcy, or (c) any assignment for the benefit of creditors or any other marshalling of assets and liabilities of any Subsidiary Guarantor, then and in any such event specified in (a), (b) or (c) above (each such event, if any, herein sometimes referred to as a </w:t>
      </w:r>
      <w:r>
        <w:rPr>
          <w:rFonts w:ascii="Times New Roman" w:hAnsi="Times New Roman"/>
          <w:b/>
          <w:sz w:val="20"/>
        </w:rPr>
        <w:t>Guarantor Proceeding</w:t>
      </w:r>
      <w:r>
        <w:rPr>
          <w:rFonts w:ascii="Times New Roman" w:hAnsi="Times New Roman"/>
          <w:sz w:val="20"/>
        </w:rPr>
        <w:t>) the holders of Senior Debt of such Subsidiary Guarantor shall be entitled to receive payment in full of all amounts due or to become due on or in respect of all Senior Debt of such Subsidiary Guarantor, or provision shall be made for such payment in cash or cash equivalents or otherwise in a manner satisfactory to the holders of Senior Debt of such Subsidiary Guarantor, before the Holders of the Securities are entitled to receive any payment or distribution of any kind or character, whether in cash, property or securities (including any payment or distribution which may be payable or deliverable by reason of the payment of any other indebtedness of such Subsidiary Guarantor subordinated to the payment of the Securities, such payment or distribution being hereinafter referred to as a </w:t>
      </w:r>
      <w:r>
        <w:rPr>
          <w:rFonts w:ascii="Times New Roman" w:hAnsi="Times New Roman"/>
          <w:b/>
          <w:sz w:val="20"/>
        </w:rPr>
        <w:t>Guarantor Junior Subordinated Payment</w:t>
      </w:r>
      <w:r>
        <w:rPr>
          <w:rFonts w:ascii="Times New Roman" w:hAnsi="Times New Roman"/>
          <w:sz w:val="20"/>
        </w:rPr>
        <w:t>), on account of the Subsidiary Guarantee of such Subsidiary Guarantor (all such payments, other than the payment or distribution of stock or securities of a Subsidiary Guarantor referred to in the second succeeding paragraph, herein referred to, individually and collectively, as a </w:t>
      </w:r>
      <w:r>
        <w:rPr>
          <w:rFonts w:ascii="Times New Roman" w:hAnsi="Times New Roman"/>
          <w:b/>
          <w:sz w:val="20"/>
        </w:rPr>
        <w:t>Guarantee Payment</w:t>
      </w:r>
      <w:r>
        <w:rPr>
          <w:rFonts w:ascii="Times New Roman" w:hAnsi="Times New Roman"/>
          <w:sz w:val="20"/>
        </w:rPr>
        <w:t xml:space="preserve">), and to that end the holders of Senior Debt of such Subsidiary Guarantor shall be entitled to receive, for application to the payment thereof, any Guarantee Payment which may be payable or deliverable in respect of such Subsidiary Guarantors Subsidiary Guarantee in any such Guarantor Proceeding. </w:t>
      </w:r>
    </w:p>
    <w:p>
      <w:pPr>
        <w:pStyle w:val="TextBody"/>
        <w:spacing w:before="180" w:after="0"/>
        <w:rPr>
          <w:rFonts w:ascii="Times New Roman" w:hAnsi="Times New Roman"/>
          <w:sz w:val="20"/>
        </w:rPr>
      </w:pPr>
      <w:r>
        <w:rPr>
          <w:rFonts w:ascii="Times New Roman" w:hAnsi="Times New Roman"/>
          <w:sz w:val="20"/>
        </w:rPr>
        <w:t xml:space="preserve">In the event that, notwithstanding the foregoing provisions of this Section, the Trustee or the Holder of any Security shall have received any Guarantee Payment before all Senior Debt of such Subsidiary Guarantor is paid in full or payment thereof provided for in cash or cash equivalents or otherwise in a manner satisfactory to the holders of Senior Debt of such Subsidiary Guarantor, and if such fact shall, at or prior to the time of such Guarantee Payment, have been made known to the Trustee or, as the case may be, such Holder, then and in such event such Guarantee Payment shall be paid over or delivered forthwith to the trustee in bankruptcy, receiver, liquidating trustee, custodian, assignee, agent or other Person making payment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- 69 -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distribution of assets of such Subsidiary Guarantor for application to the payment of all Senior Debt of such Subsidiary Guarantor remaining unpaid, to the extent necessary to pay all Senior Debt of such Subsidiary Guarantor in full, after giving effect to any concurrent payment or distribution to or for the holders of Senior Debt of such Subsidiary Guarantor. </w:t>
      </w:r>
    </w:p>
    <w:p>
      <w:pPr>
        <w:pStyle w:val="TextBody"/>
        <w:spacing w:before="180" w:after="0"/>
        <w:rPr>
          <w:rFonts w:ascii="Times New Roman" w:hAnsi="Times New Roman"/>
          <w:sz w:val="20"/>
        </w:rPr>
      </w:pPr>
      <w:r>
        <w:rPr>
          <w:rFonts w:ascii="Times New Roman" w:hAnsi="Times New Roman"/>
          <w:sz w:val="20"/>
        </w:rPr>
        <w:t xml:space="preserve">For purposes of this Article only, the words any payment or distribution of any kind or character, whether in cash, property or securities shall not be deemed to include a payment or distribution of stock or securities of a Subsidiary Guarantor provided for by a plan of reorganization or readjustment authorized by an order or decree of a court of competent jurisdiction in a reorganization proceeding under any applicable bankruptcy law or of any other corporation provided for by such plan of reorganization or readjustment which stock or securities are subordinated in right of payment to all then outstanding Senior Debt of such Subsidiary Guarantor to substantially the same extent as the Subsidiary Guarantees are so subordinated as provided in this Article. The consolidation of a Subsidiary Guarantor with, or the merger of a Subsidiary Guarantor into, another Person or the liquidation or dissolution of such Subsidiary Guarantor following the conveyance or other disposition of all or substantially all of its assets to another Person upon the terms and conditions set forth in Article Eight shall not be deemed a Guarantor Proceeding for the purposes of this Section if the Person formed by such consolidation or into which such Subsidiary Guarantor is merged or the Person which acquires by conveyance or transfer such assets, as the case may be, shall, as a part of such consolidation, merger, conveyance or other disposition, comply with the conditions set forth in Article Eight. </w:t>
      </w:r>
    </w:p>
    <w:p>
      <w:pPr>
        <w:pStyle w:val="TextBody"/>
        <w:spacing w:before="180" w:after="0"/>
        <w:rPr>
          <w:rFonts w:ascii="Times New Roman" w:hAnsi="Times New Roman"/>
          <w:sz w:val="20"/>
        </w:rPr>
      </w:pPr>
      <w:r>
        <w:rPr>
          <w:rFonts w:ascii="Times New Roman" w:hAnsi="Times New Roman"/>
          <w:sz w:val="20"/>
        </w:rPr>
        <w:t xml:space="preserve">SECTION 1404. </w:t>
      </w:r>
      <w:r>
        <w:rPr>
          <w:rFonts w:ascii="Times New Roman" w:hAnsi="Times New Roman"/>
          <w:b/>
          <w:sz w:val="20"/>
          <w:u w:val="single"/>
        </w:rPr>
        <w:t>No Payment When Senior Debt of such Subsidiary Guarantor in Default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the event that any Senior Payment Default shall have occurred and be continuing, then no Guarantee Payment shall be made unless and until such Senior Payment Default shall have been cured or waived or shall have ceased to exist or all amounts then due and payable in respect of the relevant Senior Debt of the Company shall have been paid in full, or provision shall have been made for such payment in cash or cash equivalents or otherwise in a manner satisfactory to the holders of such Senior Debt; provided, that nothing in this Section shall prevent the satisfaction of any sinking fund payment in accordance with Article Sixteen by delivering and crediting pursuant to Section 1602 Securities which have been acquired (upon redemption or otherwise) prior to such Senior Payment Default. </w:t>
      </w:r>
    </w:p>
    <w:p>
      <w:pPr>
        <w:pStyle w:val="TextBody"/>
        <w:spacing w:before="180" w:after="0"/>
        <w:rPr>
          <w:rFonts w:ascii="Times New Roman" w:hAnsi="Times New Roman"/>
          <w:sz w:val="20"/>
        </w:rPr>
      </w:pPr>
      <w:r>
        <w:rPr>
          <w:rFonts w:ascii="Times New Roman" w:hAnsi="Times New Roman"/>
          <w:sz w:val="20"/>
        </w:rPr>
        <w:t xml:space="preserve">In the event that any Senior Nonmonetary Default shall have occurred and be continuing, then, upon the receipt by the Company, the Subsidiary Guarantors and the Trustee of written notice of such Senior Nonmonetary Default from any holder, or agent for the holders, of any Designated Senior Debt of the Company, no Guarantee Payment shall be made during the applicable Payment Blockage Period; provided, however, that nothing in this Section shall prevent the satisfaction of any sinking fund payment in accordance with Article Sixteen by delivering and crediting pursuant to Section 1602 Securities which have been acquired (upon redemption or otherwise) prior to the date of such receipt of such written notice. No more than one Payment Blockage Period may be commenced with respect to the Subsidiary Guarantees during any 360-day period and there shall be a period of at least 181 consecutive days in each 360-day period when no Payment Blockage Period is in effect. For all purposes of this paragraph, no Senior Nonmonetary Default that existed or was continuing on the date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- 70 -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commencement of any Payment Blockage Period shall be, or be made, the basis for the commencement of a subsequent Payment Blockage Period, whether or not within a period of 360 consecutive days, unless such Senior Nonmonetary Default shall have been cured for a period of not less than 90 consecutive days. </w:t>
      </w:r>
    </w:p>
    <w:p>
      <w:pPr>
        <w:pStyle w:val="TextBody"/>
        <w:spacing w:before="180" w:after="0"/>
        <w:rPr>
          <w:rFonts w:ascii="Times New Roman" w:hAnsi="Times New Roman"/>
          <w:sz w:val="20"/>
        </w:rPr>
      </w:pPr>
      <w:r>
        <w:rPr>
          <w:rFonts w:ascii="Times New Roman" w:hAnsi="Times New Roman"/>
          <w:sz w:val="20"/>
        </w:rPr>
        <w:t xml:space="preserve">In the event that, notwithstanding the foregoing, a Subsidiary Guarantor shall make any Guarantee Payment to the Trustee or any Holder prohibited by the foregoing provisions of this Section, and if such fact shall, at or prior to the time of such Guarantee Payment, have been made known to the Trustee or, as the case may be, such Holder, then and in such event such Guarantee Payment shall be paid over and delivered forthwith to the Company. </w:t>
      </w:r>
    </w:p>
    <w:p>
      <w:pPr>
        <w:pStyle w:val="TextBody"/>
        <w:spacing w:before="180" w:after="0"/>
        <w:rPr>
          <w:rFonts w:ascii="Times New Roman" w:hAnsi="Times New Roman"/>
          <w:sz w:val="20"/>
        </w:rPr>
      </w:pPr>
      <w:r>
        <w:rPr>
          <w:rFonts w:ascii="Times New Roman" w:hAnsi="Times New Roman"/>
          <w:sz w:val="20"/>
        </w:rPr>
        <w:t xml:space="preserve">The provisions of this Section shall not apply to any Guarantee Payment with respect to which Section 1403 would be applicable. </w:t>
      </w:r>
    </w:p>
    <w:p>
      <w:pPr>
        <w:pStyle w:val="TextBody"/>
        <w:spacing w:before="180" w:after="0"/>
        <w:rPr>
          <w:rFonts w:ascii="Times New Roman" w:hAnsi="Times New Roman"/>
          <w:sz w:val="20"/>
        </w:rPr>
      </w:pPr>
      <w:r>
        <w:rPr>
          <w:rFonts w:ascii="Times New Roman" w:hAnsi="Times New Roman"/>
          <w:sz w:val="20"/>
        </w:rPr>
        <w:t xml:space="preserve">SECTION 1405. </w:t>
      </w:r>
      <w:r>
        <w:rPr>
          <w:rFonts w:ascii="Times New Roman" w:hAnsi="Times New Roman"/>
          <w:b/>
          <w:sz w:val="20"/>
          <w:u w:val="single"/>
        </w:rPr>
        <w:t>Payment Permitted If No Default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Nothing contained in this Article or elsewhere in this Indenture or in any of the Subsidiary Guarantees shall prevent (a) a Subsidiary Guarantor, at any time except during the pendency of any Guarantor Proceeding referred to in Section 1403 or under the conditions described in Section 1404, from making Guarantee Payments, or (b) the application by the Trustee of any money deposited with it hereunder to Guarantee Payments or the retention of such Guarantee Payment by the Holders, if, at the time of such application by the Trustee, it did not have knowledge that such Guarantee Payment would have been prohibited by the provisions of this Article. </w:t>
      </w:r>
    </w:p>
    <w:p>
      <w:pPr>
        <w:pStyle w:val="TextBody"/>
        <w:spacing w:before="180" w:after="0"/>
        <w:rPr>
          <w:rFonts w:ascii="Times New Roman" w:hAnsi="Times New Roman"/>
          <w:sz w:val="20"/>
        </w:rPr>
      </w:pPr>
      <w:r>
        <w:rPr>
          <w:rFonts w:ascii="Times New Roman" w:hAnsi="Times New Roman"/>
          <w:sz w:val="20"/>
        </w:rPr>
        <w:t xml:space="preserve">SECTION 1406. </w:t>
      </w:r>
      <w:r>
        <w:rPr>
          <w:rFonts w:ascii="Times New Roman" w:hAnsi="Times New Roman"/>
          <w:b/>
          <w:sz w:val="20"/>
          <w:u w:val="single"/>
        </w:rPr>
        <w:t>Subrogation to Rights of Holders of Senior Debt of such Subsidiary Guarantor</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Subject to the payment in full of all amounts due or to become due on or in respect of Senior Debt of a Subsidiary Guarantor, or the provision for such payment in cash or cash equivalents or otherwise in a manner satisfactory to the holders of Senior Debt of such Subsidiary Guarantor, the Holders of the Securities shall be subrogated to the rights of the holders of such Senior Debt of such Subsidiary Guarantor to receive payments and distributions of cash, property and securities applicable to the Senior Debt of such Subsidiary Guarantor until the principal of (and premium, if any) and interest on the Securities shall be paid in full. For purposes of such subrogation, no payments or distributions to the holders of the Senior Debt of a Subsidiary Guarantor of any cash, property or securities to which the Holders of the Securities or the Trustee would be entitled except for the provisions of this Article, and no payments over pursuant to the provisions of this Article to the holders of Senior Debt of a Subsidiary Guarantor by Holders of the Securities or the Trustee, shall, as among a Subsidiary Guarantor, its creditors other than holders of Senior Debt of such Subsidiary Guarantor and the Holders of the Securities, be deemed to be a payment or distribution by such Subsidiary Guarantor to or on account of the Senior Debt of such Subsidiary Guarantor.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- 71 -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1407. </w:t>
      </w:r>
      <w:r>
        <w:rPr>
          <w:rFonts w:ascii="Times New Roman" w:hAnsi="Times New Roman"/>
          <w:b/>
          <w:sz w:val="20"/>
          <w:u w:val="single"/>
        </w:rPr>
        <w:t>Provisions Solely to Define Relative Rights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provisions of this Article are and are intended solely for the purpose of defining the relative rights of the Holders on the one hand and the holders of Senior Debt of a Subsidiary Guarantor on the other hand. Nothing contained in this Article or elsewhere in this Indenture or in the Subsidiary Guarantees is intended to or shall (a) impair, as among a Subsidiary Guarantor, its creditors other than holders of Senior Debt of such Subsidiary Guarantor and the Holders of the Securities, the obligation of such Subsidiary Guarantor, which is absolute and unconditional (and which, subject to the rights under this Article of the holders of Senior Debt of such Subsidiary Guarantor, is intended to rank equally with all other general obligations of such Subsidiary Guarantor), to guarantee payment to the Holders of the Securities of the principal of (and premium, if any) and interest on the Securities as and when the same shall become due and payable in accordance with their terms; or (b) affect the relative rights against a Subsidiary Guarantor of the Holders of the Securities and creditors of such Subsidiary Guarantor other than the holders of Senior Debt of such Subsidiary Guarantor; or (c) prevent the Trustee or the Holder of any Security from exercising all remedies otherwise permitted by applicable law upon default under this Indenture, subject to the rights, if any, under this Article of the holders of Senior Debt of a Subsidiary Guarantor to receive cash, property and securities otherwise payable or deliverable to the Trustee or such Holder. </w:t>
      </w:r>
    </w:p>
    <w:p>
      <w:pPr>
        <w:pStyle w:val="TextBody"/>
        <w:spacing w:before="180" w:after="0"/>
        <w:rPr>
          <w:rFonts w:ascii="Times New Roman" w:hAnsi="Times New Roman"/>
          <w:sz w:val="20"/>
        </w:rPr>
      </w:pPr>
      <w:r>
        <w:rPr>
          <w:rFonts w:ascii="Times New Roman" w:hAnsi="Times New Roman"/>
          <w:sz w:val="20"/>
        </w:rPr>
        <w:t xml:space="preserve">SECTION 1408. </w:t>
      </w:r>
      <w:r>
        <w:rPr>
          <w:rFonts w:ascii="Times New Roman" w:hAnsi="Times New Roman"/>
          <w:b/>
          <w:sz w:val="20"/>
          <w:u w:val="single"/>
        </w:rPr>
        <w:t>Trustee to Effectuate Subordination</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Each Holder of a Security by his acceptance thereof authorizes and directs the Trustee on his behalf to take such action as may be necessary or appropriate to effectuate the subordination provided in this Article and appoints the Trustee his attorney-in-fact for any and all such purposes. </w:t>
      </w:r>
    </w:p>
    <w:p>
      <w:pPr>
        <w:pStyle w:val="TextBody"/>
        <w:spacing w:before="180" w:after="0"/>
        <w:rPr>
          <w:rFonts w:ascii="Times New Roman" w:hAnsi="Times New Roman"/>
          <w:sz w:val="20"/>
        </w:rPr>
      </w:pPr>
      <w:r>
        <w:rPr>
          <w:rFonts w:ascii="Times New Roman" w:hAnsi="Times New Roman"/>
          <w:sz w:val="20"/>
        </w:rPr>
        <w:t xml:space="preserve">SECTION 1409. </w:t>
      </w:r>
      <w:r>
        <w:rPr>
          <w:rFonts w:ascii="Times New Roman" w:hAnsi="Times New Roman"/>
          <w:b/>
          <w:sz w:val="20"/>
          <w:u w:val="single"/>
        </w:rPr>
        <w:t>No Waiver of Subordination Provisions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 right of any present or future holder of any Senior Debt of a Subsidiary Guarantor to enforce subordination as herein provided shall at any time in any way be prejudiced or impaired by any act or failure to act on the part of such Subsidiary Guarantor or by any act or failure to act, in good faith, by any such holder, or by any noncompliance by such Subsidiary Guarantor with the terms, provisions and covenants of this Indenture, regardless of any knowledge thereof any such holder may have or be otherwise charged with. </w:t>
      </w:r>
    </w:p>
    <w:p>
      <w:pPr>
        <w:pStyle w:val="TextBody"/>
        <w:spacing w:before="180" w:after="0"/>
        <w:rPr>
          <w:rFonts w:ascii="Times New Roman" w:hAnsi="Times New Roman"/>
          <w:sz w:val="20"/>
        </w:rPr>
      </w:pPr>
      <w:r>
        <w:rPr>
          <w:rFonts w:ascii="Times New Roman" w:hAnsi="Times New Roman"/>
          <w:sz w:val="20"/>
        </w:rPr>
        <w:t xml:space="preserve">Without in any way limiting the generality of the foregoing paragraph, the holders of Senior Debt of a Subsidiary Guarantor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Debt of such Subsidiary Guarantor, do any one or more of the following: (i) change the manner, place or terms of payment or extend the time of payment of, or renew or alter, Senior Debt of such Subsidiary Guarantor, or otherwise amend or supplement in any manner Senior Debt of such Subsidiary Guarantor or any instrument evidencing the same or any agreement under which Senior Debt of such Subsidiary Guarantor is outstanding; (ii) sell, exchange, release or otherwise deal with any property pledged, mortgaged or otherwise securing Senior Debt of such Subsidiary Guarantor; (iii) release any Person liable in any manner for the collection of Senior Debt of such Subsidiary Guarantor; and (iv) exercise or refrain from exercising any rights against such Subsidiary Guarantor and any other Person.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- 72 -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1410. </w:t>
      </w:r>
      <w:r>
        <w:rPr>
          <w:rFonts w:ascii="Times New Roman" w:hAnsi="Times New Roman"/>
          <w:b/>
          <w:sz w:val="20"/>
          <w:u w:val="single"/>
        </w:rPr>
        <w:t>Notice to Trustee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Each Subsidiary Guarantor shall give prompt written notice to the Trustee of any fact known to such Subsidiary Guarantor which would prohibit the making of any payment to or by the Trustee in respect of its Subsidiary Guarantee. Notwithstanding the provisions of this Article or any other provision of this Indenture, the Trustee shall not be charged with knowledge of the existence of any facts which would prohibit the making of any payment to or by the Trustee in respect of the Subsidiary Guarantees, unless and until the Trustee shall have received written notice thereof from a Subsidiary Guarantor or a holder of Senior Debt of such Subsidiary Guarantor or from any trustee therefor; and, prior to the receipt of any such written notice, the Trustee, subject to the provisions of Section 601, shall be entitled in all respects to assume that no such facts exist; provided, however,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w:t>
      </w:r>
    </w:p>
    <w:p>
      <w:pPr>
        <w:pStyle w:val="TextBody"/>
        <w:spacing w:before="180" w:after="0"/>
        <w:rPr>
          <w:rFonts w:ascii="Times New Roman" w:hAnsi="Times New Roman"/>
          <w:sz w:val="20"/>
        </w:rPr>
      </w:pPr>
      <w:r>
        <w:rPr>
          <w:rFonts w:ascii="Times New Roman" w:hAnsi="Times New Roman"/>
          <w:sz w:val="20"/>
        </w:rPr>
        <w:t xml:space="preserve">Subject to the provisions of Section 601, the Trustee shall be entitled to rely on the delivery to it of a written notice by a Person representing himself to be a holder of Senior Debt of a Subsidiary Guarantor (or a trustee therefor) to establish that such notice has been given by a holder of Senior Debt of such Subsidiary Guarantor (or a trustee therefor). In the event that the Trustee determines in good faith that further evidence is required with respect to the right of any Person as a holder of Senior Debt of a Subsidiary Guarantor to participate in any payment or distribution pursuant to this Article, the Trustee may request such Person to furnish evidence to the reasonable satisfaction of the Trustee as to the amount of Senior Debt of such Subsidiary Guarantor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 </w:t>
      </w:r>
    </w:p>
    <w:p>
      <w:pPr>
        <w:pStyle w:val="TextBody"/>
        <w:spacing w:before="180" w:after="0"/>
        <w:rPr>
          <w:rFonts w:ascii="Times New Roman" w:hAnsi="Times New Roman"/>
          <w:sz w:val="20"/>
        </w:rPr>
      </w:pPr>
      <w:r>
        <w:rPr>
          <w:rFonts w:ascii="Times New Roman" w:hAnsi="Times New Roman"/>
          <w:sz w:val="20"/>
        </w:rPr>
        <w:t xml:space="preserve">SECTION 1411. </w:t>
      </w:r>
      <w:r>
        <w:rPr>
          <w:rFonts w:ascii="Times New Roman" w:hAnsi="Times New Roman"/>
          <w:b/>
          <w:sz w:val="20"/>
          <w:u w:val="single"/>
        </w:rPr>
        <w:t>Reliance on Judicial Order or Certificate of Liquidating Agent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Upon any payment or distribution of assets of a Subsidiary Guarantor referred to in this Article, the Trustee, subject to the provisions of Section 601, and the Holders of the Securities shall be entitled to rely upon any order or decree entered by any court of competent jurisdiction in which such Guarantor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Debt of such Subsidiary Guarantor and other indebtedness of such Subsidiary Guarantor, the amount thereof or payable thereon, the amount or amounts paid or distributed thereon and all other facts pertinent thereto or to this Article.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- 73 -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1412. </w:t>
      </w:r>
      <w:r>
        <w:rPr>
          <w:rFonts w:ascii="Times New Roman" w:hAnsi="Times New Roman"/>
          <w:b/>
          <w:sz w:val="20"/>
          <w:u w:val="single"/>
        </w:rPr>
        <w:t>Trustee Not Fiduciary for Holders of Senior Debt of such Subsidiary Guarantor</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shall not be deemed to owe any fiduciary duty to the holders of Senior Debt of a Subsidiary Guarantor and shall not be liable to any such holders if it shall in good faith mistakenly pay over or distribute to Holders of Securities or to the Company, a Subsidiary Guarantor, or to any other Person cash, property or securities to which any holders of Senior Debt of such Subsidiary Guarantor shall be entitled by virtue of this Article or otherwise. </w:t>
      </w:r>
    </w:p>
    <w:p>
      <w:pPr>
        <w:pStyle w:val="TextBody"/>
        <w:spacing w:before="180" w:after="0"/>
        <w:rPr>
          <w:rFonts w:ascii="Times New Roman" w:hAnsi="Times New Roman"/>
          <w:sz w:val="20"/>
        </w:rPr>
      </w:pPr>
      <w:r>
        <w:rPr>
          <w:rFonts w:ascii="Times New Roman" w:hAnsi="Times New Roman"/>
          <w:sz w:val="20"/>
        </w:rPr>
        <w:t xml:space="preserve">SECTION 1413. </w:t>
      </w:r>
      <w:r>
        <w:rPr>
          <w:rFonts w:ascii="Times New Roman" w:hAnsi="Times New Roman"/>
          <w:b/>
          <w:sz w:val="20"/>
          <w:u w:val="single"/>
        </w:rPr>
        <w:t>Rights of Trustee as Holder of Senior Debt of such Subsidiary Guarantor; Preservation of Trustees Rights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Trustee in its individual capacity shall be entitled to all the rights set forth in this Article with respect to any Senior Debt of a Subsidiary Guarantor which may at any time be held by it, to the same extent as any other holder of Senior Debt of such Subsidiary Guarantor, and nothing in this Indenture shall deprive the Trustee of any of its rights as such holder. </w:t>
      </w:r>
    </w:p>
    <w:p>
      <w:pPr>
        <w:pStyle w:val="TextBody"/>
        <w:spacing w:before="180" w:after="0"/>
        <w:rPr>
          <w:rFonts w:ascii="Times New Roman" w:hAnsi="Times New Roman"/>
          <w:sz w:val="20"/>
        </w:rPr>
      </w:pPr>
      <w:r>
        <w:rPr>
          <w:rFonts w:ascii="Times New Roman" w:hAnsi="Times New Roman"/>
          <w:sz w:val="20"/>
        </w:rPr>
        <w:t xml:space="preserve">Nothing in this Article shall apply to claims of, or payments to, the Trustee under or pursuant to Section 607. </w:t>
      </w:r>
    </w:p>
    <w:p>
      <w:pPr>
        <w:pStyle w:val="TextBody"/>
        <w:spacing w:before="180" w:after="0"/>
        <w:rPr>
          <w:rFonts w:ascii="Times New Roman" w:hAnsi="Times New Roman"/>
          <w:sz w:val="20"/>
        </w:rPr>
      </w:pPr>
      <w:r>
        <w:rPr>
          <w:rFonts w:ascii="Times New Roman" w:hAnsi="Times New Roman"/>
          <w:sz w:val="20"/>
        </w:rPr>
        <w:t xml:space="preserve">SECTION 1414. </w:t>
      </w:r>
      <w:r>
        <w:rPr>
          <w:rFonts w:ascii="Times New Roman" w:hAnsi="Times New Roman"/>
          <w:b/>
          <w:sz w:val="20"/>
          <w:u w:val="single"/>
        </w:rPr>
        <w:t>Article Applicable to Paying Agents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1413 shall not apply to the Company, any Subsidiary Guarantor or any Affiliate of the Company if it or such Subsidiary Guarantor or Affiliate acts as Paying Agent. </w:t>
      </w:r>
    </w:p>
    <w:p>
      <w:pPr>
        <w:pStyle w:val="TextBody"/>
        <w:spacing w:before="180" w:after="0"/>
        <w:rPr>
          <w:rFonts w:ascii="Times New Roman" w:hAnsi="Times New Roman"/>
          <w:sz w:val="20"/>
        </w:rPr>
      </w:pPr>
      <w:r>
        <w:rPr>
          <w:rFonts w:ascii="Times New Roman" w:hAnsi="Times New Roman"/>
          <w:sz w:val="20"/>
        </w:rPr>
        <w:t xml:space="preserve">SECTION 1415. </w:t>
      </w:r>
      <w:r>
        <w:rPr>
          <w:rFonts w:ascii="Times New Roman" w:hAnsi="Times New Roman"/>
          <w:b/>
          <w:sz w:val="20"/>
          <w:u w:val="single"/>
        </w:rPr>
        <w:t>Defeasance of this Article Fourteen</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subordination of the Subsidiary Guarantees provided by this Article Fourteen is expressly made subject to the provisions for Defeasance or Covenant Defeasance of a series of Securities in Article Fifteen hereof and, anything herein to the contrary notwithstanding, upon the effectiveness of any such Defeasance or Covenant Defeasance with respect to a series of Securities, the Subsidiary Guarantees of the Securities of such series shall thereupon cease to be subordinated pursuant to this Article Fourteen. </w:t>
      </w:r>
    </w:p>
    <w:p>
      <w:pPr>
        <w:pStyle w:val="TextBody"/>
        <w:spacing w:before="270" w:after="0"/>
        <w:jc w:val="center"/>
        <w:rPr>
          <w:rFonts w:ascii="Times New Roman" w:hAnsi="Times New Roman"/>
          <w:b/>
          <w:sz w:val="20"/>
        </w:rPr>
      </w:pPr>
      <w:r>
        <w:rPr>
          <w:rFonts w:ascii="Times New Roman" w:hAnsi="Times New Roman"/>
          <w:b/>
          <w:sz w:val="20"/>
        </w:rPr>
        <w:t xml:space="preserve">ARTICLE FIFTEEN </w:t>
      </w:r>
    </w:p>
    <w:p>
      <w:pPr>
        <w:pStyle w:val="TextBody"/>
        <w:spacing w:before="0" w:after="0"/>
        <w:jc w:val="center"/>
        <w:rPr>
          <w:rFonts w:ascii="Times New Roman" w:hAnsi="Times New Roman"/>
          <w:b/>
          <w:sz w:val="20"/>
        </w:rPr>
      </w:pPr>
      <w:r>
        <w:rPr>
          <w:rFonts w:ascii="Times New Roman" w:hAnsi="Times New Roman"/>
          <w:b/>
          <w:sz w:val="20"/>
        </w:rPr>
        <w:t xml:space="preserve">DEFEASANCE AND COVENANT DEFEASANCE </w:t>
      </w:r>
    </w:p>
    <w:p>
      <w:pPr>
        <w:pStyle w:val="TextBody"/>
        <w:spacing w:before="180" w:after="0"/>
        <w:rPr>
          <w:rFonts w:ascii="Times New Roman" w:hAnsi="Times New Roman"/>
          <w:sz w:val="20"/>
        </w:rPr>
      </w:pPr>
      <w:r>
        <w:rPr>
          <w:rFonts w:ascii="Times New Roman" w:hAnsi="Times New Roman"/>
          <w:sz w:val="20"/>
        </w:rPr>
        <w:t xml:space="preserve">SECTION 1501. </w:t>
      </w:r>
      <w:r>
        <w:rPr>
          <w:rFonts w:ascii="Times New Roman" w:hAnsi="Times New Roman"/>
          <w:b/>
          <w:sz w:val="20"/>
          <w:u w:val="single"/>
        </w:rPr>
        <w:t>Companys Option to Effect Defeasance or Covenant Defeasance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may elect, at its option at any time, to have Section 1502 or Section 1503 applied to any Securities or any series of Securities, as the case may be, designated pursuant to Section 301 as being defeasible pursuant to such Section 1502 or 1503, in accordance with any applicable requirements provided pursuant to Section 301 and upon compliance with the conditions set forth below in this Article. Any such election shall be evidenced in or pursuant to a Board Resolution or in another manner specified as contemplated by Section 301 for such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- 74 -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1502. </w:t>
      </w:r>
      <w:r>
        <w:rPr>
          <w:rFonts w:ascii="Times New Roman" w:hAnsi="Times New Roman"/>
          <w:b/>
          <w:sz w:val="20"/>
          <w:u w:val="single"/>
        </w:rPr>
        <w:t>Defeasance and Discharge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Upon the Companys exercise of its option (if any) to have this Section applied to any Securities or any series of Securities, as the case may be, the Company shall be deemed to have been discharged from its obligations, and each Subsidiary Guarantor shall be deemed to have been discharged from its obligations with respect to its Subsidiary Guarantee of such Securities, and the provisions of Articles Twelve and Fourteen shall cease to be effective with respect to such Securities and Subsidiary Guarantees, as provided in this Section on and after the date the conditions set forth in Section 1504 are satisfied (herein called </w:t>
      </w:r>
      <w:r>
        <w:rPr>
          <w:rFonts w:ascii="Times New Roman" w:hAnsi="Times New Roman"/>
          <w:b/>
          <w:sz w:val="20"/>
        </w:rPr>
        <w:t>Defeasance</w:t>
      </w:r>
      <w:r>
        <w:rPr>
          <w:rFonts w:ascii="Times New Roman" w:hAnsi="Times New Roman"/>
          <w:sz w:val="20"/>
        </w:rPr>
        <w:t xml:space="preserv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1504 and as more fully set forth in such Section, payments in respect of the principal of and any premium and interest on such Securities when payments are due, or, if applicable, to convert such Securities in accordance with their terms, (2) the Companys and each Subsidiary Guarantors obligations with respect to such Securities under Sections 304, 305, 306, 1002 and 1003, and, if applicable, their obligations with respect to the conversion of such Securities,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1503 applied to such Securities. </w:t>
      </w:r>
    </w:p>
    <w:p>
      <w:pPr>
        <w:pStyle w:val="TextBody"/>
        <w:spacing w:before="180" w:after="0"/>
        <w:rPr>
          <w:rFonts w:ascii="Times New Roman" w:hAnsi="Times New Roman"/>
          <w:sz w:val="20"/>
        </w:rPr>
      </w:pPr>
      <w:r>
        <w:rPr>
          <w:rFonts w:ascii="Times New Roman" w:hAnsi="Times New Roman"/>
          <w:sz w:val="20"/>
        </w:rPr>
        <w:t xml:space="preserve">SECTION 1503. </w:t>
      </w:r>
      <w:r>
        <w:rPr>
          <w:rFonts w:ascii="Times New Roman" w:hAnsi="Times New Roman"/>
          <w:b/>
          <w:sz w:val="20"/>
          <w:u w:val="single"/>
        </w:rPr>
        <w:t>Covenant Defeasance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Upon the Companys exercise of its option (if any) to have this Section applied to any Securities or any series of Securities, as the case may be, (1) the Company shall be released from its obligations under Section 801(3), Sections 1005 through 1008, inclusive, and any covenants provided pursuant to Section 301(22), 901(2) or 901(7) for the benefit of the Holders of such Securities, and (2) the occurrence of any event specified in Sections 501(5) (with respect to any of Section 801(3), Sections 1006 through 1008, inclusive, and any such covenants provided pursuant to Section 301(22), 901(2) or 901(7)), 501(6), 501(7)), 501(10) and 501(11) shall be deemed not to be or result in an Event of Default and (3) the provisions of Articles Twelve, Thirteen and Fourteen shall cease to be effective, in each case with respect to such Securities and Subsidiary Guarantees as provided in this Section on and after the date the conditions set forth in Section 1504 are satisfied (herein called </w:t>
      </w:r>
      <w:r>
        <w:rPr>
          <w:rFonts w:ascii="Times New Roman" w:hAnsi="Times New Roman"/>
          <w:b/>
          <w:sz w:val="20"/>
        </w:rPr>
        <w:t>Covenant Defeasance</w:t>
      </w:r>
      <w:r>
        <w:rPr>
          <w:rFonts w:ascii="Times New Roman" w:hAnsi="Times New Roman"/>
          <w:sz w:val="20"/>
        </w:rPr>
        <w:t xml:space="preserve">). For this purpose, such Covenant Defeasance means that, with respect to such Securities, the Company and the Subsidiary Guarantors, as applicable, may omit to comply with and shall have no liability in respect of any term, condition or limitation set forth in any such specified Section (to the extent so specified in the case of Section 501(5)) or Article Twelve, Thirteen or Fourteen,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- 75 -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1504. </w:t>
      </w:r>
      <w:r>
        <w:rPr>
          <w:rFonts w:ascii="Times New Roman" w:hAnsi="Times New Roman"/>
          <w:b/>
          <w:sz w:val="20"/>
          <w:u w:val="single"/>
        </w:rPr>
        <w:t>Conditions to Defeasance or Covenant Defeasance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following shall be the conditions to the application of Section 1502 or Section 1503 to any Securities or any series of Securities, as the case may be: </w:t>
      </w:r>
    </w:p>
    <w:p>
      <w:pPr>
        <w:pStyle w:val="TextBody"/>
        <w:spacing w:before="180" w:after="0"/>
        <w:rPr>
          <w:rFonts w:ascii="Times New Roman" w:hAnsi="Times New Roman"/>
          <w:sz w:val="20"/>
        </w:rPr>
      </w:pPr>
      <w:r>
        <w:rPr>
          <w:rFonts w:ascii="Times New Roman" w:hAnsi="Times New Roman"/>
          <w:sz w:val="20"/>
        </w:rPr>
        <w:t>(1) 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w:t>
      </w:r>
      <w:r>
        <w:rPr>
          <w:rFonts w:ascii="Times New Roman" w:hAnsi="Times New Roman"/>
          <w:b/>
          <w:sz w:val="20"/>
        </w:rPr>
        <w:t>U.S. Government Obligation</w:t>
      </w:r>
      <w:r>
        <w:rPr>
          <w:rFonts w:ascii="Times New Roman" w:hAnsi="Times New Roman"/>
          <w:sz w:val="20"/>
        </w:rPr>
        <w:t xml:space="preserve">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 </w:t>
      </w:r>
    </w:p>
    <w:p>
      <w:pPr>
        <w:pStyle w:val="TextBody"/>
        <w:spacing w:before="180" w:after="0"/>
        <w:rPr>
          <w:rFonts w:ascii="Times New Roman" w:hAnsi="Times New Roman"/>
          <w:sz w:val="20"/>
        </w:rPr>
      </w:pPr>
      <w:r>
        <w:rPr>
          <w:rFonts w:ascii="Times New Roman" w:hAnsi="Times New Roman"/>
          <w:sz w:val="20"/>
        </w:rPr>
        <w:t xml:space="preserve">(2) In the event of an election to have Section 1502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and Defeasance were not to occur.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- 76 -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(3) In the event of an election to have Section 1503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w:t>
      </w:r>
    </w:p>
    <w:p>
      <w:pPr>
        <w:pStyle w:val="TextBody"/>
        <w:spacing w:before="180" w:after="0"/>
        <w:rPr>
          <w:rFonts w:ascii="Times New Roman" w:hAnsi="Times New Roman"/>
          <w:sz w:val="20"/>
        </w:rPr>
      </w:pPr>
      <w:r>
        <w:rPr>
          <w:rFonts w:ascii="Times New Roman" w:hAnsi="Times New Roman"/>
          <w:sz w:val="20"/>
        </w:rPr>
        <w:t xml:space="preserve">(4) The Company shall have delivered to the Trustee an Officers Certificate to the effect that neither such Securities nor any other Securities of the same series, if then listed on any securities exchange, will be delisted as a result of such deposit. </w:t>
      </w:r>
    </w:p>
    <w:p>
      <w:pPr>
        <w:pStyle w:val="TextBody"/>
        <w:spacing w:before="180" w:after="0"/>
        <w:rPr>
          <w:rFonts w:ascii="Times New Roman" w:hAnsi="Times New Roman"/>
          <w:sz w:val="20"/>
        </w:rPr>
      </w:pPr>
      <w:r>
        <w:rPr>
          <w:rFonts w:ascii="Times New Roman" w:hAnsi="Times New Roman"/>
          <w:sz w:val="20"/>
        </w:rPr>
        <w:t xml:space="preserve">(5) No event which is, or after notice or lapse of time or both would become, an Event of Default with respect to such Securities shall have occurred and be continuing at the time of such deposit or, with regard to any such event specified in Sections 501(7) and (8), at any time on or prior to the 121st day after the date of such deposit (it being understood that this condition shall not be deemed satisfied until after such 121st day). </w:t>
      </w:r>
    </w:p>
    <w:p>
      <w:pPr>
        <w:pStyle w:val="TextBody"/>
        <w:spacing w:before="180" w:after="0"/>
        <w:rPr>
          <w:rFonts w:ascii="Times New Roman" w:hAnsi="Times New Roman"/>
          <w:sz w:val="20"/>
        </w:rPr>
      </w:pPr>
      <w:r>
        <w:rPr>
          <w:rFonts w:ascii="Times New Roman" w:hAnsi="Times New Roman"/>
          <w:sz w:val="20"/>
        </w:rPr>
        <w:t xml:space="preserve">(6) Such Defeasance or Covenant Defeasance shall not cause the Trustee to have a conflicting interest within the meaning of the Trust Indenture Act (assuming all Securities are in default within the meaning of such Act). </w:t>
      </w:r>
    </w:p>
    <w:p>
      <w:pPr>
        <w:pStyle w:val="TextBody"/>
        <w:spacing w:before="180" w:after="0"/>
        <w:rPr>
          <w:rFonts w:ascii="Times New Roman" w:hAnsi="Times New Roman"/>
          <w:sz w:val="20"/>
        </w:rPr>
      </w:pPr>
      <w:r>
        <w:rPr>
          <w:rFonts w:ascii="Times New Roman" w:hAnsi="Times New Roman"/>
          <w:sz w:val="20"/>
        </w:rPr>
        <w:t xml:space="preserve">(7) Such Defeasance or Covenant Defeasance shall not result in a breach or violation of, or constitute a default under, any other agreement or instrument to which the Company or any Subsidiary is a party or by which it is bound. </w:t>
      </w:r>
    </w:p>
    <w:p>
      <w:pPr>
        <w:pStyle w:val="TextBody"/>
        <w:spacing w:before="180" w:after="0"/>
        <w:rPr>
          <w:rFonts w:ascii="Times New Roman" w:hAnsi="Times New Roman"/>
          <w:sz w:val="20"/>
        </w:rPr>
      </w:pPr>
      <w:r>
        <w:rPr>
          <w:rFonts w:ascii="Times New Roman" w:hAnsi="Times New Roman"/>
          <w:sz w:val="20"/>
        </w:rPr>
        <w:t xml:space="preserve">(8) At the time of such deposit, (A) no default in the payment of any principal of or premium or interest on any Senior Debt of the Company or any Subsidiary Guarantor shall have occurred and be continuing, (B) no event of default with respect to any Senior Debt of the Company or any Subsidiary Guarantor shall have resulted in such Senior Debt becoming, and continuing to be, due and payable prior to the date on which it would otherwise have become due and payable (unless payment of such Senior Debt has been made or duly provided for), and (C) no other event of default with respect to any Senior Debt of the Company or any Subsidiary Guarantor shall have occurred and be continuing permitting (after notice or lapse of time or both) the holders of such Senior Debt (or a trustee on behalf of such holders) to declare such Senior Debt due and payable prior to the date on which it would otherwise have become due and payable. </w:t>
      </w:r>
    </w:p>
    <w:p>
      <w:pPr>
        <w:pStyle w:val="TextBody"/>
        <w:spacing w:before="180" w:after="0"/>
        <w:rPr>
          <w:rFonts w:ascii="Times New Roman" w:hAnsi="Times New Roman"/>
          <w:sz w:val="20"/>
        </w:rPr>
      </w:pPr>
      <w:r>
        <w:rPr>
          <w:rFonts w:ascii="Times New Roman" w:hAnsi="Times New Roman"/>
          <w:sz w:val="20"/>
        </w:rPr>
        <w:t xml:space="preserve">(9) The Company shall have delivered to the Trustee an Opinion of Counsel to the effect that such deposit shall not cause either the Trustee or the trust so created to be subject to the Investment Company Act of 1940. </w:t>
      </w:r>
    </w:p>
    <w:p>
      <w:pPr>
        <w:pStyle w:val="TextBody"/>
        <w:spacing w:before="180" w:after="0"/>
        <w:rPr>
          <w:rFonts w:ascii="Times New Roman" w:hAnsi="Times New Roman"/>
          <w:sz w:val="20"/>
        </w:rPr>
      </w:pPr>
      <w:r>
        <w:rPr>
          <w:rFonts w:ascii="Times New Roman" w:hAnsi="Times New Roman"/>
          <w:sz w:val="20"/>
        </w:rPr>
        <w:t xml:space="preserve">(10) The Company shall have delivered to the Trustee an Officers Certificate and an Opinion of Counsel, each stating that all conditions precedent with respect to such Defeasance or Covenant Defeasance have been complied with.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- 77 -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1505. </w:t>
      </w:r>
      <w:r>
        <w:rPr>
          <w:rFonts w:ascii="Times New Roman" w:hAnsi="Times New Roman"/>
          <w:b/>
          <w:sz w:val="20"/>
          <w:u w:val="single"/>
        </w:rPr>
        <w:t>Deposited Money and U.S. Government Obligations to Be Held in Trust; Miscellaneous Provisions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Subject to the provisions of the last paragraph of Section 1003, all money and U.S. Government Obligations (including the proceeds thereof) deposited with the Trustee or other qualifying trustee (solely for purposes of this Section and Section 1506, the Trustee and any such other trustee are referred to collectively as the </w:t>
      </w:r>
      <w:r>
        <w:rPr>
          <w:rFonts w:ascii="Times New Roman" w:hAnsi="Times New Roman"/>
          <w:b/>
          <w:sz w:val="20"/>
        </w:rPr>
        <w:t>Trustee</w:t>
      </w:r>
      <w:r>
        <w:rPr>
          <w:rFonts w:ascii="Times New Roman" w:hAnsi="Times New Roman"/>
          <w:sz w:val="20"/>
        </w:rPr>
        <w:t xml:space="preserve">) pursuant to Section 1504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Money and U.S. Government Obligations so held in trust shall not be subject to the provisions of Article Twelve or Fourteen. </w:t>
      </w:r>
    </w:p>
    <w:p>
      <w:pPr>
        <w:pStyle w:val="TextBody"/>
        <w:spacing w:before="180" w:after="0"/>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U.S. Government Obligations deposited pursuant to Section 1504 or the principal and interest received in respect thereof other than any such tax, fee or other charge which by law is for the account of the Holders of Outstanding Securities. </w:t>
      </w:r>
    </w:p>
    <w:p>
      <w:pPr>
        <w:pStyle w:val="TextBody"/>
        <w:spacing w:before="180" w:after="0"/>
        <w:rPr>
          <w:rFonts w:ascii="Times New Roman" w:hAnsi="Times New Roman"/>
          <w:sz w:val="20"/>
        </w:rPr>
      </w:pPr>
      <w:r>
        <w:rPr>
          <w:rFonts w:ascii="Times New Roman" w:hAnsi="Times New Roman"/>
          <w:sz w:val="20"/>
        </w:rPr>
        <w:t xml:space="preserve">Anything in this Article to the contrary notwithstanding, the Trustee shall deliver or pay to the Company from time to time upon Company Request any money or U.S. Government Obligations held by it as provided in Section 1504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 </w:t>
      </w:r>
    </w:p>
    <w:p>
      <w:pPr>
        <w:pStyle w:val="TextBody"/>
        <w:spacing w:before="180" w:after="0"/>
        <w:rPr>
          <w:rFonts w:ascii="Times New Roman" w:hAnsi="Times New Roman"/>
          <w:sz w:val="20"/>
        </w:rPr>
      </w:pPr>
      <w:r>
        <w:rPr>
          <w:rFonts w:ascii="Times New Roman" w:hAnsi="Times New Roman"/>
          <w:sz w:val="20"/>
        </w:rPr>
        <w:t xml:space="preserve">SECTION 1506. </w:t>
      </w:r>
      <w:r>
        <w:rPr>
          <w:rFonts w:ascii="Times New Roman" w:hAnsi="Times New Roman"/>
          <w:b/>
          <w:sz w:val="20"/>
          <w:u w:val="single"/>
        </w:rPr>
        <w:t>Reinstatement</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1502 or 1503 shall be revived and reinstated as though no deposit had occurred pursuant to this Article with respect to such Securities, until such time as the Trustee or Paying Agent is permitted to apply all money held in trust pursuant to Section 1505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- 78 -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SIXTEEN </w:t>
      </w:r>
    </w:p>
    <w:p>
      <w:pPr>
        <w:pStyle w:val="TextBody"/>
        <w:spacing w:before="0" w:after="0"/>
        <w:jc w:val="center"/>
        <w:rPr>
          <w:rFonts w:ascii="Times New Roman" w:hAnsi="Times New Roman"/>
          <w:b/>
          <w:sz w:val="20"/>
        </w:rPr>
      </w:pPr>
      <w:r>
        <w:rPr>
          <w:rFonts w:ascii="Times New Roman" w:hAnsi="Times New Roman"/>
          <w:b/>
          <w:sz w:val="20"/>
        </w:rPr>
        <w:t xml:space="preserve">SINKING FUNDS </w:t>
      </w:r>
    </w:p>
    <w:p>
      <w:pPr>
        <w:pStyle w:val="TextBody"/>
        <w:spacing w:before="180" w:after="0"/>
        <w:rPr>
          <w:rFonts w:ascii="Times New Roman" w:hAnsi="Times New Roman"/>
          <w:sz w:val="20"/>
        </w:rPr>
      </w:pPr>
      <w:r>
        <w:rPr>
          <w:rFonts w:ascii="Times New Roman" w:hAnsi="Times New Roman"/>
          <w:sz w:val="20"/>
        </w:rPr>
        <w:t xml:space="preserve">SECTION 1601. </w:t>
      </w:r>
      <w:r>
        <w:rPr>
          <w:rFonts w:ascii="Times New Roman" w:hAnsi="Times New Roman"/>
          <w:b/>
          <w:sz w:val="20"/>
          <w:u w:val="single"/>
        </w:rPr>
        <w:t>Applicability of Article</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provisions of this Article shall be applicable to any sinking fund for the retirement of Securities of any series except as otherwise specified as contemplated by Section 301 for such Securities. </w:t>
      </w:r>
    </w:p>
    <w:p>
      <w:pPr>
        <w:pStyle w:val="TextBody"/>
        <w:spacing w:before="180" w:after="0"/>
        <w:rPr>
          <w:rFonts w:ascii="Times New Roman" w:hAnsi="Times New Roman"/>
          <w:sz w:val="20"/>
        </w:rPr>
      </w:pPr>
      <w:r>
        <w:rPr>
          <w:rFonts w:ascii="Times New Roman" w:hAnsi="Times New Roman"/>
          <w:sz w:val="20"/>
        </w:rPr>
        <w:t xml:space="preserve">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1602. Each sinking fund payment shall be applied to the redemption of Securities as provided for by the terms of such Securities. </w:t>
      </w:r>
    </w:p>
    <w:p>
      <w:pPr>
        <w:pStyle w:val="TextBody"/>
        <w:spacing w:before="180" w:after="0"/>
        <w:rPr>
          <w:rFonts w:ascii="Times New Roman" w:hAnsi="Times New Roman"/>
          <w:sz w:val="20"/>
        </w:rPr>
      </w:pPr>
      <w:r>
        <w:rPr>
          <w:rFonts w:ascii="Times New Roman" w:hAnsi="Times New Roman"/>
          <w:sz w:val="20"/>
        </w:rPr>
        <w:t xml:space="preserve">SECTION 1602. </w:t>
      </w:r>
      <w:r>
        <w:rPr>
          <w:rFonts w:ascii="Times New Roman" w:hAnsi="Times New Roman"/>
          <w:b/>
          <w:sz w:val="20"/>
          <w:u w:val="single"/>
        </w:rPr>
        <w:t>Satisfaction of Sinking Fund Payments with Securities</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Company (1) may deliver Outstanding Securities of a series (other than any previously called for redemption) and (2) may apply as a credit Securities of a series which have been (x) converted or (y)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however,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 </w:t>
      </w:r>
    </w:p>
    <w:p>
      <w:pPr>
        <w:pStyle w:val="TextBody"/>
        <w:spacing w:before="180" w:after="0"/>
        <w:rPr>
          <w:rFonts w:ascii="Times New Roman" w:hAnsi="Times New Roman"/>
          <w:sz w:val="20"/>
        </w:rPr>
      </w:pPr>
      <w:r>
        <w:rPr>
          <w:rFonts w:ascii="Times New Roman" w:hAnsi="Times New Roman"/>
          <w:sz w:val="20"/>
        </w:rPr>
        <w:t xml:space="preserve">SECTION 1603. </w:t>
      </w:r>
      <w:r>
        <w:rPr>
          <w:rFonts w:ascii="Times New Roman" w:hAnsi="Times New Roman"/>
          <w:b/>
          <w:sz w:val="20"/>
          <w:u w:val="single"/>
        </w:rPr>
        <w:t>Redemption of Securities for Sinking Fund</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 less than 35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1602 and will also deliver to the Trustee any Securities to be so delivered. Not less than 32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 This instrument may be executed in any number of counterparts, each of which so executed shall be deemed to be an original, but all such counterparts shall together constitute but one and the same instrument.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- 79 -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Indenture to be duly executed, all as of the day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4"/>
        <w:gridCol w:w="94"/>
        <w:gridCol w:w="3664"/>
      </w:tblGrid>
      <w:tr>
        <w:trPr/>
        <w:tc>
          <w:tcPr>
            <w:tcW w:w="324"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ISSUER</w:t>
            </w:r>
            <w:r>
              <w:rPr>
                <w:rFonts w:ascii="Times New Roman" w:hAnsi="Times New Roman"/>
                <w:b/>
                <w:sz w:val="20"/>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EZCORP, INC.</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2"/>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4"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pPr>
            <w:r>
              <w:rPr/>
              <w:t> </w:t>
            </w:r>
          </w:p>
        </w:tc>
      </w:tr>
      <w:tr>
        <w:trPr/>
        <w:tc>
          <w:tcPr>
            <w:tcW w:w="324"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324"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141"/>
        <w:gridCol w:w="60"/>
        <w:gridCol w:w="345"/>
        <w:gridCol w:w="60"/>
        <w:gridCol w:w="3476"/>
      </w:tblGrid>
      <w:tr>
        <w:trPr/>
        <w:tc>
          <w:tcPr>
            <w:tcW w:w="1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76"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SUBSIDIARY GUARANTORS</w:t>
            </w:r>
            <w:r>
              <w:rPr>
                <w:rFonts w:ascii="Times New Roman" w:hAnsi="Times New Roman"/>
                <w:b/>
                <w:sz w:val="20"/>
              </w:rPr>
              <w:t>:</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CCV AMERICAS, LLC</w:t>
            </w:r>
          </w:p>
        </w:tc>
      </w:tr>
      <w:tr>
        <w:trPr/>
        <w:tc>
          <w:tcPr>
            <w:tcW w:w="14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USA, Inc., its sole member and manager</w:t>
            </w:r>
          </w:p>
        </w:tc>
      </w:tr>
      <w:tr>
        <w:trPr/>
        <w:tc>
          <w:tcPr>
            <w:tcW w:w="4082" w:type="dxa"/>
            <w:gridSpan w:val="5"/>
            <w:tcBorders/>
            <w:shd w:fill="auto" w:val="clear"/>
          </w:tcPr>
          <w:p>
            <w:pPr>
              <w:pStyle w:val="TableContents"/>
              <w:spacing w:before="0" w:after="0"/>
              <w:rPr>
                <w:rFonts w:ascii="Times New Roman" w:hAnsi="Times New Roman"/>
                <w:b/>
                <w:sz w:val="20"/>
              </w:rPr>
            </w:pPr>
            <w:r>
              <w:rPr>
                <w:rFonts w:ascii="Times New Roman" w:hAnsi="Times New Roman"/>
                <w:b/>
                <w:sz w:val="20"/>
              </w:rPr>
              <w:t>CCV PENNSYLVANIA, INC.</w:t>
            </w:r>
          </w:p>
          <w:p>
            <w:pPr>
              <w:pStyle w:val="TableContents"/>
              <w:spacing w:before="0" w:after="0"/>
              <w:rPr>
                <w:rFonts w:ascii="Times New Roman" w:hAnsi="Times New Roman"/>
                <w:b/>
                <w:sz w:val="20"/>
              </w:rPr>
            </w:pPr>
            <w:r>
              <w:rPr>
                <w:rFonts w:ascii="Times New Roman" w:hAnsi="Times New Roman"/>
                <w:b/>
                <w:sz w:val="20"/>
              </w:rPr>
              <w:t>CCV VIRGINIA, INC.</w:t>
            </w:r>
          </w:p>
          <w:p>
            <w:pPr>
              <w:pStyle w:val="TableContents"/>
              <w:spacing w:before="0" w:after="0"/>
              <w:rPr>
                <w:rFonts w:ascii="Times New Roman" w:hAnsi="Times New Roman"/>
                <w:b/>
                <w:sz w:val="20"/>
              </w:rPr>
            </w:pPr>
            <w:r>
              <w:rPr>
                <w:rFonts w:ascii="Times New Roman" w:hAnsi="Times New Roman"/>
                <w:b/>
                <w:sz w:val="20"/>
              </w:rPr>
              <w:t>CHANGE CAPITAL, INC.</w:t>
            </w:r>
          </w:p>
          <w:p>
            <w:pPr>
              <w:pStyle w:val="TableContents"/>
              <w:spacing w:before="0" w:after="15"/>
              <w:rPr>
                <w:rFonts w:ascii="Times New Roman" w:hAnsi="Times New Roman"/>
                <w:b/>
                <w:sz w:val="20"/>
              </w:rPr>
            </w:pPr>
            <w:r>
              <w:rPr>
                <w:rFonts w:ascii="Times New Roman" w:hAnsi="Times New Roman"/>
                <w:b/>
                <w:sz w:val="20"/>
              </w:rPr>
              <w:t>CHANGE CAPITAL INVESTMENTS, LLC</w:t>
            </w:r>
          </w:p>
        </w:tc>
      </w:tr>
      <w:tr>
        <w:trPr/>
        <w:tc>
          <w:tcPr>
            <w:tcW w:w="14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Change Capital, Inc.,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CHANGE CAPITAL VENTURES, LLC</w:t>
            </w:r>
          </w:p>
        </w:tc>
      </w:tr>
      <w:tr>
        <w:trPr/>
        <w:tc>
          <w:tcPr>
            <w:tcW w:w="14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Change Capital, Inc., its sole member and manager</w:t>
            </w:r>
          </w:p>
        </w:tc>
      </w:tr>
      <w:tr>
        <w:trPr/>
        <w:tc>
          <w:tcPr>
            <w:tcW w:w="4082" w:type="dxa"/>
            <w:gridSpan w:val="5"/>
            <w:tcBorders/>
            <w:shd w:fill="auto" w:val="clear"/>
          </w:tcPr>
          <w:p>
            <w:pPr>
              <w:pStyle w:val="TableContents"/>
              <w:spacing w:before="0" w:after="0"/>
              <w:rPr>
                <w:rFonts w:ascii="Times New Roman" w:hAnsi="Times New Roman"/>
                <w:b/>
                <w:sz w:val="20"/>
              </w:rPr>
            </w:pPr>
            <w:r>
              <w:rPr>
                <w:rFonts w:ascii="Times New Roman" w:hAnsi="Times New Roman"/>
                <w:b/>
                <w:sz w:val="20"/>
              </w:rPr>
              <w:t>EZCORP INTERNATIONAL, INC.</w:t>
            </w:r>
          </w:p>
          <w:p>
            <w:pPr>
              <w:pStyle w:val="TableContents"/>
              <w:spacing w:before="0" w:after="15"/>
              <w:rPr>
                <w:rFonts w:ascii="Times New Roman" w:hAnsi="Times New Roman"/>
                <w:b/>
                <w:sz w:val="20"/>
              </w:rPr>
            </w:pPr>
            <w:r>
              <w:rPr>
                <w:rFonts w:ascii="Times New Roman" w:hAnsi="Times New Roman"/>
                <w:b/>
                <w:sz w:val="20"/>
              </w:rPr>
              <w:t>EZCORP INTERNATIONAL HOLDINGS, LLC</w:t>
            </w:r>
          </w:p>
        </w:tc>
      </w:tr>
      <w:tr>
        <w:trPr/>
        <w:tc>
          <w:tcPr>
            <w:tcW w:w="14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International, Inc., its sole member and manager</w:t>
            </w:r>
          </w:p>
        </w:tc>
      </w:tr>
      <w:tr>
        <w:trPr/>
        <w:tc>
          <w:tcPr>
            <w:tcW w:w="4082" w:type="dxa"/>
            <w:gridSpan w:val="5"/>
            <w:tcBorders/>
            <w:shd w:fill="auto" w:val="clear"/>
          </w:tcPr>
          <w:p>
            <w:pPr>
              <w:pStyle w:val="TableContents"/>
              <w:spacing w:before="0" w:after="0"/>
              <w:rPr>
                <w:rFonts w:ascii="Times New Roman" w:hAnsi="Times New Roman"/>
                <w:b/>
                <w:sz w:val="20"/>
              </w:rPr>
            </w:pPr>
            <w:r>
              <w:rPr>
                <w:rFonts w:ascii="Times New Roman" w:hAnsi="Times New Roman"/>
                <w:b/>
                <w:sz w:val="20"/>
              </w:rPr>
              <w:t>EZCORP ONLINE, INC.</w:t>
            </w:r>
          </w:p>
          <w:p>
            <w:pPr>
              <w:pStyle w:val="TableContents"/>
              <w:spacing w:before="0" w:after="0"/>
              <w:rPr>
                <w:rFonts w:ascii="Times New Roman" w:hAnsi="Times New Roman"/>
                <w:b/>
                <w:sz w:val="20"/>
              </w:rPr>
            </w:pPr>
            <w:r>
              <w:rPr>
                <w:rFonts w:ascii="Times New Roman" w:hAnsi="Times New Roman"/>
                <w:b/>
                <w:sz w:val="20"/>
              </w:rPr>
              <w:t>EZCORP USA, INC.</w:t>
            </w:r>
          </w:p>
          <w:p>
            <w:pPr>
              <w:pStyle w:val="TableContents"/>
              <w:spacing w:before="0" w:after="0"/>
              <w:rPr>
                <w:rFonts w:ascii="Times New Roman" w:hAnsi="Times New Roman"/>
                <w:b/>
                <w:sz w:val="20"/>
              </w:rPr>
            </w:pPr>
            <w:r>
              <w:rPr>
                <w:rFonts w:ascii="Times New Roman" w:hAnsi="Times New Roman"/>
                <w:b/>
                <w:sz w:val="20"/>
              </w:rPr>
              <w:t>EZMONEY ALABAMA, INC.</w:t>
            </w:r>
          </w:p>
          <w:p>
            <w:pPr>
              <w:pStyle w:val="TableContents"/>
              <w:spacing w:before="0" w:after="0"/>
              <w:rPr>
                <w:rFonts w:ascii="Times New Roman" w:hAnsi="Times New Roman"/>
                <w:b/>
                <w:sz w:val="20"/>
              </w:rPr>
            </w:pPr>
            <w:r>
              <w:rPr>
                <w:rFonts w:ascii="Times New Roman" w:hAnsi="Times New Roman"/>
                <w:b/>
                <w:sz w:val="20"/>
              </w:rPr>
              <w:t>EZMONEY CANADA, INC.</w:t>
            </w:r>
          </w:p>
          <w:p>
            <w:pPr>
              <w:pStyle w:val="TableContents"/>
              <w:spacing w:before="0" w:after="0"/>
              <w:rPr>
                <w:rFonts w:ascii="Times New Roman" w:hAnsi="Times New Roman"/>
                <w:b/>
                <w:sz w:val="20"/>
              </w:rPr>
            </w:pPr>
            <w:r>
              <w:rPr>
                <w:rFonts w:ascii="Times New Roman" w:hAnsi="Times New Roman"/>
                <w:b/>
                <w:sz w:val="20"/>
              </w:rPr>
              <w:t>EZMONEY COLORADO, INC.</w:t>
            </w:r>
          </w:p>
          <w:p>
            <w:pPr>
              <w:pStyle w:val="TableContents"/>
              <w:spacing w:before="0" w:after="0"/>
              <w:rPr>
                <w:rFonts w:ascii="Times New Roman" w:hAnsi="Times New Roman"/>
                <w:b/>
                <w:sz w:val="20"/>
              </w:rPr>
            </w:pPr>
            <w:r>
              <w:rPr>
                <w:rFonts w:ascii="Times New Roman" w:hAnsi="Times New Roman"/>
                <w:b/>
                <w:sz w:val="20"/>
              </w:rPr>
              <w:t>EZMONEY HAWAII, INC.</w:t>
            </w:r>
          </w:p>
          <w:p>
            <w:pPr>
              <w:pStyle w:val="TableContents"/>
              <w:spacing w:before="0" w:after="0"/>
              <w:rPr>
                <w:rFonts w:ascii="Times New Roman" w:hAnsi="Times New Roman"/>
                <w:b/>
                <w:sz w:val="20"/>
              </w:rPr>
            </w:pPr>
            <w:r>
              <w:rPr>
                <w:rFonts w:ascii="Times New Roman" w:hAnsi="Times New Roman"/>
                <w:b/>
                <w:sz w:val="20"/>
              </w:rPr>
              <w:t>EZMONEY HOLDINGS, INC.</w:t>
            </w:r>
          </w:p>
          <w:p>
            <w:pPr>
              <w:pStyle w:val="TableContents"/>
              <w:spacing w:before="0" w:after="0"/>
              <w:rPr>
                <w:rFonts w:ascii="Times New Roman" w:hAnsi="Times New Roman"/>
                <w:b/>
                <w:sz w:val="20"/>
              </w:rPr>
            </w:pPr>
            <w:r>
              <w:rPr>
                <w:rFonts w:ascii="Times New Roman" w:hAnsi="Times New Roman"/>
                <w:b/>
                <w:sz w:val="20"/>
              </w:rPr>
              <w:t>EZMONEY IDAHO, INC.</w:t>
            </w:r>
          </w:p>
          <w:p>
            <w:pPr>
              <w:pStyle w:val="TableContents"/>
              <w:spacing w:before="0" w:after="0"/>
              <w:rPr>
                <w:rFonts w:ascii="Times New Roman" w:hAnsi="Times New Roman"/>
                <w:b/>
                <w:sz w:val="20"/>
              </w:rPr>
            </w:pPr>
            <w:r>
              <w:rPr>
                <w:rFonts w:ascii="Times New Roman" w:hAnsi="Times New Roman"/>
                <w:b/>
                <w:sz w:val="20"/>
              </w:rPr>
              <w:t>EZMONEY KANSAS, INC.</w:t>
            </w:r>
          </w:p>
          <w:p>
            <w:pPr>
              <w:pStyle w:val="TableContents"/>
              <w:spacing w:before="0" w:after="0"/>
              <w:rPr>
                <w:rFonts w:ascii="Times New Roman" w:hAnsi="Times New Roman"/>
                <w:b/>
                <w:sz w:val="20"/>
              </w:rPr>
            </w:pPr>
            <w:r>
              <w:rPr>
                <w:rFonts w:ascii="Times New Roman" w:hAnsi="Times New Roman"/>
                <w:b/>
                <w:sz w:val="20"/>
              </w:rPr>
              <w:t>EZMONEY MANAGEMENT, INC.</w:t>
            </w:r>
          </w:p>
          <w:p>
            <w:pPr>
              <w:pStyle w:val="TableContents"/>
              <w:spacing w:before="0" w:after="0"/>
              <w:rPr>
                <w:rFonts w:ascii="Times New Roman" w:hAnsi="Times New Roman"/>
                <w:b/>
                <w:sz w:val="20"/>
              </w:rPr>
            </w:pPr>
            <w:r>
              <w:rPr>
                <w:rFonts w:ascii="Times New Roman" w:hAnsi="Times New Roman"/>
                <w:b/>
                <w:sz w:val="20"/>
              </w:rPr>
              <w:t>EZMONEY MISSOURI, INC.</w:t>
            </w:r>
          </w:p>
          <w:p>
            <w:pPr>
              <w:pStyle w:val="TableContents"/>
              <w:spacing w:before="0" w:after="0"/>
              <w:rPr>
                <w:rFonts w:ascii="Times New Roman" w:hAnsi="Times New Roman"/>
                <w:b/>
                <w:sz w:val="20"/>
              </w:rPr>
            </w:pPr>
            <w:r>
              <w:rPr>
                <w:rFonts w:ascii="Times New Roman" w:hAnsi="Times New Roman"/>
                <w:b/>
                <w:sz w:val="20"/>
              </w:rPr>
              <w:t>EZMONEY NEBRASKA, INC.</w:t>
            </w:r>
          </w:p>
          <w:p>
            <w:pPr>
              <w:pStyle w:val="TableContents"/>
              <w:spacing w:before="0" w:after="0"/>
              <w:rPr>
                <w:rFonts w:ascii="Times New Roman" w:hAnsi="Times New Roman"/>
                <w:b/>
                <w:sz w:val="20"/>
              </w:rPr>
            </w:pPr>
            <w:r>
              <w:rPr>
                <w:rFonts w:ascii="Times New Roman" w:hAnsi="Times New Roman"/>
                <w:b/>
                <w:sz w:val="20"/>
              </w:rPr>
              <w:t>EZMONEY SOUTH DAKOTA, INC.</w:t>
            </w:r>
          </w:p>
          <w:p>
            <w:pPr>
              <w:pStyle w:val="TableContents"/>
              <w:spacing w:before="0" w:after="0"/>
              <w:rPr>
                <w:rFonts w:ascii="Times New Roman" w:hAnsi="Times New Roman"/>
                <w:b/>
                <w:sz w:val="20"/>
              </w:rPr>
            </w:pPr>
            <w:r>
              <w:rPr>
                <w:rFonts w:ascii="Times New Roman" w:hAnsi="Times New Roman"/>
                <w:b/>
                <w:sz w:val="20"/>
              </w:rPr>
              <w:t>EZMONEY UTAH, INC.</w:t>
            </w:r>
          </w:p>
          <w:p>
            <w:pPr>
              <w:pStyle w:val="TableContents"/>
              <w:spacing w:before="0" w:after="0"/>
              <w:rPr>
                <w:rFonts w:ascii="Times New Roman" w:hAnsi="Times New Roman"/>
                <w:b/>
                <w:sz w:val="20"/>
              </w:rPr>
            </w:pPr>
            <w:r>
              <w:rPr>
                <w:rFonts w:ascii="Times New Roman" w:hAnsi="Times New Roman"/>
                <w:b/>
                <w:sz w:val="20"/>
              </w:rPr>
              <w:t>EZMONEY WISCONSIN, INC.</w:t>
            </w:r>
          </w:p>
          <w:p>
            <w:pPr>
              <w:pStyle w:val="TableContents"/>
              <w:spacing w:before="0" w:after="0"/>
              <w:rPr>
                <w:rFonts w:ascii="Times New Roman" w:hAnsi="Times New Roman"/>
                <w:b/>
                <w:sz w:val="20"/>
              </w:rPr>
            </w:pPr>
            <w:r>
              <w:rPr>
                <w:rFonts w:ascii="Times New Roman" w:hAnsi="Times New Roman"/>
                <w:b/>
                <w:sz w:val="20"/>
              </w:rPr>
              <w:t>EZPAWN ALABAMA, INC.</w:t>
            </w:r>
          </w:p>
          <w:p>
            <w:pPr>
              <w:pStyle w:val="TableContents"/>
              <w:spacing w:before="0" w:after="0"/>
              <w:rPr>
                <w:rFonts w:ascii="Times New Roman" w:hAnsi="Times New Roman"/>
                <w:b/>
                <w:sz w:val="20"/>
              </w:rPr>
            </w:pPr>
            <w:r>
              <w:rPr>
                <w:rFonts w:ascii="Times New Roman" w:hAnsi="Times New Roman"/>
                <w:b/>
                <w:sz w:val="20"/>
              </w:rPr>
              <w:t>EZPAWN ARKANSAS, INC.</w:t>
            </w:r>
          </w:p>
          <w:p>
            <w:pPr>
              <w:pStyle w:val="TableContents"/>
              <w:spacing w:before="0" w:after="0"/>
              <w:rPr>
                <w:rFonts w:ascii="Times New Roman" w:hAnsi="Times New Roman"/>
                <w:b/>
                <w:sz w:val="20"/>
              </w:rPr>
            </w:pPr>
            <w:r>
              <w:rPr>
                <w:rFonts w:ascii="Times New Roman" w:hAnsi="Times New Roman"/>
                <w:b/>
                <w:sz w:val="20"/>
              </w:rPr>
              <w:t>EZPAWN COLORADO, INC.</w:t>
            </w:r>
          </w:p>
          <w:p>
            <w:pPr>
              <w:pStyle w:val="TableContents"/>
              <w:spacing w:before="0" w:after="0"/>
              <w:rPr>
                <w:rFonts w:ascii="Times New Roman" w:hAnsi="Times New Roman"/>
                <w:b/>
                <w:sz w:val="20"/>
              </w:rPr>
            </w:pPr>
            <w:r>
              <w:rPr>
                <w:rFonts w:ascii="Times New Roman" w:hAnsi="Times New Roman"/>
                <w:b/>
                <w:sz w:val="20"/>
              </w:rPr>
              <w:t>EZPAWN FLORIDA, INC.</w:t>
            </w:r>
          </w:p>
          <w:p>
            <w:pPr>
              <w:pStyle w:val="TableContents"/>
              <w:spacing w:before="0" w:after="0"/>
              <w:rPr>
                <w:rFonts w:ascii="Times New Roman" w:hAnsi="Times New Roman"/>
                <w:b/>
                <w:sz w:val="20"/>
              </w:rPr>
            </w:pPr>
            <w:r>
              <w:rPr>
                <w:rFonts w:ascii="Times New Roman" w:hAnsi="Times New Roman"/>
                <w:b/>
                <w:sz w:val="20"/>
              </w:rPr>
              <w:t>EZPAWN GEORGIA, INC.</w:t>
            </w:r>
          </w:p>
          <w:p>
            <w:pPr>
              <w:pStyle w:val="TableContents"/>
              <w:spacing w:before="0" w:after="0"/>
              <w:rPr>
                <w:rFonts w:ascii="Times New Roman" w:hAnsi="Times New Roman"/>
                <w:b/>
                <w:sz w:val="20"/>
              </w:rPr>
            </w:pPr>
            <w:r>
              <w:rPr>
                <w:rFonts w:ascii="Times New Roman" w:hAnsi="Times New Roman"/>
                <w:b/>
                <w:sz w:val="20"/>
              </w:rPr>
              <w:t>EZPAWN HOLDINGS, INC.</w:t>
            </w:r>
          </w:p>
          <w:p>
            <w:pPr>
              <w:pStyle w:val="TableContents"/>
              <w:spacing w:before="0" w:after="0"/>
              <w:rPr>
                <w:rFonts w:ascii="Times New Roman" w:hAnsi="Times New Roman"/>
                <w:b/>
                <w:sz w:val="20"/>
              </w:rPr>
            </w:pPr>
            <w:r>
              <w:rPr>
                <w:rFonts w:ascii="Times New Roman" w:hAnsi="Times New Roman"/>
                <w:b/>
                <w:sz w:val="20"/>
              </w:rPr>
              <w:t>EZPAWN ILLINOIS, INC.</w:t>
            </w:r>
          </w:p>
          <w:p>
            <w:pPr>
              <w:pStyle w:val="TableContents"/>
              <w:spacing w:before="0" w:after="0"/>
              <w:rPr>
                <w:rFonts w:ascii="Times New Roman" w:hAnsi="Times New Roman"/>
                <w:b/>
                <w:sz w:val="20"/>
              </w:rPr>
            </w:pPr>
            <w:r>
              <w:rPr>
                <w:rFonts w:ascii="Times New Roman" w:hAnsi="Times New Roman"/>
                <w:b/>
                <w:sz w:val="20"/>
              </w:rPr>
              <w:t>EZPAWN INDIANA, INC.</w:t>
            </w:r>
          </w:p>
          <w:p>
            <w:pPr>
              <w:pStyle w:val="TableContents"/>
              <w:spacing w:before="0" w:after="0"/>
              <w:rPr>
                <w:rFonts w:ascii="Times New Roman" w:hAnsi="Times New Roman"/>
                <w:b/>
                <w:sz w:val="20"/>
              </w:rPr>
            </w:pPr>
            <w:r>
              <w:rPr>
                <w:rFonts w:ascii="Times New Roman" w:hAnsi="Times New Roman"/>
                <w:b/>
                <w:sz w:val="20"/>
              </w:rPr>
              <w:t>EZPAWN IOWA, INC.</w:t>
            </w:r>
          </w:p>
          <w:p>
            <w:pPr>
              <w:pStyle w:val="TableContents"/>
              <w:spacing w:before="0" w:after="0"/>
              <w:rPr>
                <w:rFonts w:ascii="Times New Roman" w:hAnsi="Times New Roman"/>
                <w:b/>
                <w:sz w:val="20"/>
              </w:rPr>
            </w:pPr>
            <w:r>
              <w:rPr>
                <w:rFonts w:ascii="Times New Roman" w:hAnsi="Times New Roman"/>
                <w:b/>
                <w:sz w:val="20"/>
              </w:rPr>
              <w:t>EZPAWN LOUISIANA, INC.</w:t>
            </w:r>
          </w:p>
          <w:p>
            <w:pPr>
              <w:pStyle w:val="TableContents"/>
              <w:spacing w:before="0" w:after="0"/>
              <w:rPr>
                <w:rFonts w:ascii="Times New Roman" w:hAnsi="Times New Roman"/>
                <w:b/>
                <w:sz w:val="20"/>
              </w:rPr>
            </w:pPr>
            <w:r>
              <w:rPr>
                <w:rFonts w:ascii="Times New Roman" w:hAnsi="Times New Roman"/>
                <w:b/>
                <w:sz w:val="20"/>
              </w:rPr>
              <w:t>EZPAWN NEVADA, INC.</w:t>
            </w:r>
          </w:p>
          <w:p>
            <w:pPr>
              <w:pStyle w:val="TableContents"/>
              <w:spacing w:before="0" w:after="0"/>
              <w:rPr>
                <w:rFonts w:ascii="Times New Roman" w:hAnsi="Times New Roman"/>
                <w:b/>
                <w:sz w:val="20"/>
              </w:rPr>
            </w:pPr>
            <w:r>
              <w:rPr>
                <w:rFonts w:ascii="Times New Roman" w:hAnsi="Times New Roman"/>
                <w:b/>
                <w:sz w:val="20"/>
              </w:rPr>
              <w:t>EZPAWN OKLAHOMA, INC.</w:t>
            </w:r>
          </w:p>
          <w:p>
            <w:pPr>
              <w:pStyle w:val="TableContents"/>
              <w:spacing w:before="0" w:after="0"/>
              <w:rPr>
                <w:rFonts w:ascii="Times New Roman" w:hAnsi="Times New Roman"/>
                <w:b/>
                <w:sz w:val="20"/>
              </w:rPr>
            </w:pPr>
            <w:r>
              <w:rPr>
                <w:rFonts w:ascii="Times New Roman" w:hAnsi="Times New Roman"/>
                <w:b/>
                <w:sz w:val="20"/>
              </w:rPr>
              <w:t>EZPAWN TENNESSEE, INC.</w:t>
            </w:r>
          </w:p>
          <w:p>
            <w:pPr>
              <w:pStyle w:val="TableContents"/>
              <w:spacing w:before="0" w:after="0"/>
              <w:rPr>
                <w:rFonts w:ascii="Times New Roman" w:hAnsi="Times New Roman"/>
                <w:b/>
                <w:sz w:val="20"/>
              </w:rPr>
            </w:pPr>
            <w:r>
              <w:rPr>
                <w:rFonts w:ascii="Times New Roman" w:hAnsi="Times New Roman"/>
                <w:b/>
                <w:sz w:val="20"/>
              </w:rPr>
              <w:t>EZPAWN UTAH, INC.</w:t>
            </w:r>
          </w:p>
          <w:p>
            <w:pPr>
              <w:pStyle w:val="TableContents"/>
              <w:spacing w:before="0" w:after="0"/>
              <w:rPr>
                <w:rFonts w:ascii="Times New Roman" w:hAnsi="Times New Roman"/>
                <w:b/>
                <w:sz w:val="20"/>
              </w:rPr>
            </w:pPr>
            <w:r>
              <w:rPr>
                <w:rFonts w:ascii="Times New Roman" w:hAnsi="Times New Roman"/>
                <w:b/>
                <w:sz w:val="20"/>
              </w:rPr>
              <w:t>EZPAWN WISCONSIN, INC.</w:t>
            </w:r>
          </w:p>
          <w:p>
            <w:pPr>
              <w:pStyle w:val="TableContents"/>
              <w:spacing w:before="0" w:after="0"/>
              <w:rPr>
                <w:rFonts w:ascii="Times New Roman" w:hAnsi="Times New Roman"/>
                <w:b/>
                <w:sz w:val="20"/>
              </w:rPr>
            </w:pPr>
            <w:r>
              <w:rPr>
                <w:rFonts w:ascii="Times New Roman" w:hAnsi="Times New Roman"/>
                <w:b/>
                <w:sz w:val="20"/>
              </w:rPr>
              <w:t>MISTER MONEY HOLDINGS, INC.</w:t>
            </w:r>
          </w:p>
          <w:p>
            <w:pPr>
              <w:pStyle w:val="TableContents"/>
              <w:spacing w:before="0" w:after="0"/>
              <w:rPr>
                <w:rFonts w:ascii="Times New Roman" w:hAnsi="Times New Roman"/>
                <w:b/>
                <w:sz w:val="20"/>
              </w:rPr>
            </w:pPr>
            <w:r>
              <w:rPr>
                <w:rFonts w:ascii="Times New Roman" w:hAnsi="Times New Roman"/>
                <w:b/>
                <w:sz w:val="20"/>
              </w:rPr>
              <w:t>PAWN MANAGEMENT, INC.</w:t>
            </w:r>
          </w:p>
          <w:p>
            <w:pPr>
              <w:pStyle w:val="TableContents"/>
              <w:spacing w:before="0" w:after="0"/>
              <w:rPr>
                <w:rFonts w:ascii="Times New Roman" w:hAnsi="Times New Roman"/>
                <w:b/>
                <w:sz w:val="20"/>
              </w:rPr>
            </w:pPr>
            <w:r>
              <w:rPr>
                <w:rFonts w:ascii="Times New Roman" w:hAnsi="Times New Roman"/>
                <w:b/>
                <w:sz w:val="20"/>
              </w:rPr>
              <w:t>PAYDAY LOAN MANAGEMENT, INC.</w:t>
            </w:r>
          </w:p>
          <w:p>
            <w:pPr>
              <w:pStyle w:val="TableContents"/>
              <w:spacing w:before="0" w:after="15"/>
              <w:rPr>
                <w:rFonts w:ascii="Times New Roman" w:hAnsi="Times New Roman"/>
                <w:b/>
                <w:sz w:val="20"/>
              </w:rPr>
            </w:pPr>
            <w:r>
              <w:rPr>
                <w:rFonts w:ascii="Times New Roman" w:hAnsi="Times New Roman"/>
                <w:b/>
                <w:sz w:val="20"/>
              </w:rPr>
              <w:t>TEXAS EZMONEY, L.P.</w:t>
            </w:r>
          </w:p>
        </w:tc>
      </w:tr>
      <w:tr>
        <w:trPr/>
        <w:tc>
          <w:tcPr>
            <w:tcW w:w="14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Payday Loan Management, Inc., its general partner</w:t>
            </w:r>
          </w:p>
        </w:tc>
      </w:tr>
      <w:tr>
        <w:trPr/>
        <w:tc>
          <w:tcPr>
            <w:tcW w:w="4082" w:type="dxa"/>
            <w:gridSpan w:val="5"/>
            <w:tcBorders/>
            <w:shd w:fill="auto" w:val="clear"/>
          </w:tcPr>
          <w:p>
            <w:pPr>
              <w:pStyle w:val="TableContents"/>
              <w:spacing w:before="0" w:after="0"/>
              <w:rPr>
                <w:rFonts w:ascii="Times New Roman" w:hAnsi="Times New Roman"/>
                <w:b/>
                <w:sz w:val="20"/>
              </w:rPr>
            </w:pPr>
            <w:r>
              <w:rPr>
                <w:rFonts w:ascii="Times New Roman" w:hAnsi="Times New Roman"/>
                <w:b/>
                <w:sz w:val="20"/>
              </w:rPr>
              <w:t>TEXAS EZPAWN MANAGEMENT, INC.</w:t>
            </w:r>
          </w:p>
          <w:p>
            <w:pPr>
              <w:pStyle w:val="TableContents"/>
              <w:spacing w:before="0" w:after="15"/>
              <w:rPr>
                <w:rFonts w:ascii="Times New Roman" w:hAnsi="Times New Roman"/>
                <w:b/>
                <w:sz w:val="20"/>
              </w:rPr>
            </w:pPr>
            <w:r>
              <w:rPr>
                <w:rFonts w:ascii="Times New Roman" w:hAnsi="Times New Roman"/>
                <w:b/>
                <w:sz w:val="20"/>
              </w:rPr>
              <w:t>TEXAS EZPAWN, L.P.</w:t>
            </w:r>
          </w:p>
        </w:tc>
      </w:tr>
      <w:tr>
        <w:trPr/>
        <w:tc>
          <w:tcPr>
            <w:tcW w:w="14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 EZPAWN Management, Inc., its general partner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TEXAS PRA MANAGEMENT, L.P.</w:t>
            </w:r>
          </w:p>
        </w:tc>
      </w:tr>
      <w:tr>
        <w:trPr/>
        <w:tc>
          <w:tcPr>
            <w:tcW w:w="14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EZMONEY Management, Inc., its general partner</w:t>
            </w:r>
          </w:p>
        </w:tc>
      </w:tr>
      <w:tr>
        <w:trPr/>
        <w:tc>
          <w:tcPr>
            <w:tcW w:w="4082" w:type="dxa"/>
            <w:gridSpan w:val="5"/>
            <w:tcBorders/>
            <w:shd w:fill="auto" w:val="clear"/>
          </w:tcPr>
          <w:p>
            <w:pPr>
              <w:pStyle w:val="TableContents"/>
              <w:spacing w:before="0" w:after="0"/>
              <w:rPr>
                <w:rFonts w:ascii="Times New Roman" w:hAnsi="Times New Roman"/>
                <w:b/>
                <w:sz w:val="20"/>
              </w:rPr>
            </w:pPr>
            <w:r>
              <w:rPr>
                <w:rFonts w:ascii="Times New Roman" w:hAnsi="Times New Roman"/>
                <w:b/>
                <w:sz w:val="20"/>
              </w:rPr>
              <w:t>VALUE FINANCIAL SERVICES, INC.</w:t>
            </w:r>
          </w:p>
          <w:p>
            <w:pPr>
              <w:pStyle w:val="TableContents"/>
              <w:spacing w:before="0" w:after="15"/>
              <w:rPr>
                <w:rFonts w:ascii="Times New Roman" w:hAnsi="Times New Roman"/>
                <w:b/>
                <w:sz w:val="20"/>
              </w:rPr>
            </w:pPr>
            <w:r>
              <w:rPr>
                <w:rFonts w:ascii="Times New Roman" w:hAnsi="Times New Roman"/>
                <w:b/>
                <w:sz w:val="20"/>
              </w:rPr>
              <w:t>VFS MEXICO OPERATIONS, LLC</w:t>
            </w:r>
          </w:p>
        </w:tc>
      </w:tr>
      <w:tr>
        <w:trPr/>
        <w:tc>
          <w:tcPr>
            <w:tcW w:w="14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Value Financial Services, Inc.,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VFS MEXICO SERVICES, LLC</w:t>
            </w:r>
          </w:p>
        </w:tc>
      </w:tr>
      <w:tr>
        <w:trPr/>
        <w:tc>
          <w:tcPr>
            <w:tcW w:w="14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Value Financial Services, Inc., its sole member and manager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In each case by:</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pBdr>
                <w:bottom w:val="single" w:sz="2" w:space="1" w:color="000000"/>
              </w:pBdr>
              <w:spacing w:before="0" w:after="15"/>
              <w:rPr/>
            </w:pPr>
            <w:r>
              <w:rPr/>
              <w:t> </w:t>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MEXICO HOLDINGS, LLC</w:t>
            </w:r>
          </w:p>
        </w:tc>
      </w:tr>
      <w:tr>
        <w:trPr/>
        <w:tc>
          <w:tcPr>
            <w:tcW w:w="14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Global, B.V., its sole member and manager</w:t>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EZPAWN MEXICO LTD., LLC</w:t>
            </w:r>
          </w:p>
        </w:tc>
      </w:tr>
      <w:tr>
        <w:trPr/>
        <w:tc>
          <w:tcPr>
            <w:tcW w:w="14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Global, B.V., its sole member and manager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In each case by:</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pBdr>
                <w:bottom w:val="single" w:sz="4" w:space="1" w:color="000000"/>
              </w:pBdr>
              <w:spacing w:lineRule="atLeast" w:line="141" w:before="0" w:after="30"/>
              <w:rPr/>
            </w:pPr>
            <w:r>
              <w:rPr/>
              <w:t> </w:t>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- 80 - </w:t>
      </w:r>
      <w:r>
        <w:br w:type="page"/>
      </w:r>
    </w:p>
    <w:p>
      <w:pPr>
        <w:pStyle w:val="HorizontalLine"/>
        <w:pBdr>
          <w:bottom w:val="double" w:sz="6" w:space="0" w:color="808080"/>
        </w:pBdr>
        <w:rPr/>
      </w:pPr>
      <w:r>
        <w:rPr/>
      </w:r>
    </w:p>
    <w:p>
      <w:pPr>
        <w:pStyle w:val="TextBody"/>
        <w:rPr/>
      </w:pPr>
      <w:r>
        <w:rPr/>
        <w:t> </w:t>
      </w:r>
    </w:p>
    <w:tbl>
      <w:tblPr>
        <w:tblW w:w="2000" w:type="pct"/>
        <w:jc w:val="right"/>
        <w:tblInd w:w="0" w:type="dxa"/>
        <w:tblCellMar>
          <w:top w:w="0" w:type="dxa"/>
          <w:left w:w="0" w:type="dxa"/>
          <w:bottom w:w="0" w:type="dxa"/>
          <w:right w:w="0" w:type="dxa"/>
        </w:tblCellMar>
      </w:tblPr>
      <w:tblGrid>
        <w:gridCol w:w="422"/>
        <w:gridCol w:w="117"/>
        <w:gridCol w:w="3543"/>
      </w:tblGrid>
      <w:tr>
        <w:trPr/>
        <w:tc>
          <w:tcPr>
            <w:tcW w:w="42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bottom"/>
          </w:tcPr>
          <w:p>
            <w:pPr>
              <w:pStyle w:val="TableContents"/>
              <w:spacing w:before="0" w:after="283"/>
              <w:rPr>
                <w:sz w:val="4"/>
                <w:szCs w:val="4"/>
              </w:rPr>
            </w:pPr>
            <w:r>
              <w:rPr>
                <w:sz w:val="4"/>
                <w:szCs w:val="4"/>
              </w:rPr>
            </w:r>
          </w:p>
        </w:tc>
        <w:tc>
          <w:tcPr>
            <w:tcW w:w="354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TRUSTEE</w:t>
            </w:r>
            <w:r>
              <w:rPr>
                <w:rFonts w:ascii="Times New Roman" w:hAnsi="Times New Roman"/>
                <w:b/>
                <w:sz w:val="20"/>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r>
              <w:rPr>
                <w:rFonts w:ascii="Times New Roman" w:hAnsi="Times New Roman"/>
                <w:sz w:val="20"/>
              </w:rPr>
              <w:t>as Trustee</w:t>
            </w:r>
          </w:p>
        </w:tc>
      </w:tr>
      <w:tr>
        <w:trPr>
          <w:trHeight w:val="240" w:hRule="atLeast"/>
        </w:trPr>
        <w:tc>
          <w:tcPr>
            <w:tcW w:w="422" w:type="dxa"/>
            <w:tcBorders/>
            <w:shd w:fill="auto" w:val="clear"/>
            <w:vAlign w:val="center"/>
          </w:tcPr>
          <w:p>
            <w:pPr>
              <w:pStyle w:val="TableContents"/>
              <w:spacing w:before="0" w:after="283"/>
              <w:rPr>
                <w:sz w:val="4"/>
                <w:szCs w:val="4"/>
              </w:rPr>
            </w:pPr>
            <w:r>
              <w:rPr>
                <w:sz w:val="4"/>
                <w:szCs w:val="4"/>
              </w:rPr>
            </w:r>
          </w:p>
        </w:tc>
        <w:tc>
          <w:tcPr>
            <w:tcW w:w="3660" w:type="dxa"/>
            <w:gridSpan w:val="2"/>
            <w:tcBorders/>
            <w:shd w:fill="auto" w:val="clear"/>
            <w:vAlign w:val="center"/>
          </w:tcPr>
          <w:p>
            <w:pPr>
              <w:pStyle w:val="TableContents"/>
              <w:spacing w:before="0" w:after="283"/>
              <w:rPr>
                <w:sz w:val="4"/>
                <w:szCs w:val="4"/>
              </w:rPr>
            </w:pPr>
            <w:r>
              <w:rPr>
                <w:sz w:val="4"/>
                <w:szCs w:val="4"/>
              </w:rPr>
            </w:r>
          </w:p>
        </w:tc>
      </w:tr>
      <w:tr>
        <w:trPr/>
        <w:tc>
          <w:tcPr>
            <w:tcW w:w="4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7" w:type="dxa"/>
            <w:tcBorders>
              <w:bottom w:val="single" w:sz="2" w:space="0" w:color="000000"/>
            </w:tcBorders>
            <w:shd w:fill="auto" w:val="clear"/>
            <w:tcMar>
              <w:bottom w:w="28" w:type="dxa"/>
            </w:tcMar>
            <w:vAlign w:val="bottom"/>
          </w:tcPr>
          <w:p>
            <w:pPr>
              <w:pStyle w:val="TableContents"/>
              <w:spacing w:before="0" w:after="283"/>
              <w:rPr/>
            </w:pPr>
            <w:r>
              <w:rPr/>
              <w:t> </w:t>
            </w:r>
          </w:p>
        </w:tc>
        <w:tc>
          <w:tcPr>
            <w:tcW w:w="3543" w:type="dxa"/>
            <w:tcBorders>
              <w:bottom w:val="single" w:sz="2" w:space="0" w:color="000000"/>
            </w:tcBorders>
            <w:shd w:fill="auto" w:val="clear"/>
            <w:tcMar>
              <w:bottom w:w="28" w:type="dxa"/>
            </w:tcMar>
          </w:tcPr>
          <w:p>
            <w:pPr>
              <w:pStyle w:val="TableContents"/>
              <w:spacing w:before="0" w:after="283"/>
              <w:rPr/>
            </w:pPr>
            <w:r>
              <w:rPr/>
              <w:t> </w:t>
            </w:r>
          </w:p>
        </w:tc>
      </w:tr>
      <w:tr>
        <w:trPr/>
        <w:tc>
          <w:tcPr>
            <w:tcW w:w="422" w:type="dxa"/>
            <w:tcBorders/>
            <w:shd w:fill="auto" w:val="clear"/>
          </w:tcPr>
          <w:p>
            <w:pPr>
              <w:pStyle w:val="TableContents"/>
              <w:spacing w:before="0" w:after="283"/>
              <w:rPr>
                <w:sz w:val="4"/>
                <w:szCs w:val="4"/>
              </w:rPr>
            </w:pPr>
            <w:r>
              <w:rPr>
                <w:sz w:val="4"/>
                <w:szCs w:val="4"/>
              </w:rPr>
            </w:r>
          </w:p>
        </w:tc>
        <w:tc>
          <w:tcPr>
            <w:tcW w:w="117" w:type="dxa"/>
            <w:tcBorders/>
            <w:shd w:fill="auto" w:val="clear"/>
            <w:vAlign w:val="bottom"/>
          </w:tcPr>
          <w:p>
            <w:pPr>
              <w:pStyle w:val="TableContents"/>
              <w:spacing w:before="0" w:after="283"/>
              <w:rPr/>
            </w:pPr>
            <w:r>
              <w:rPr/>
              <w:t> </w:t>
            </w:r>
          </w:p>
        </w:tc>
        <w:tc>
          <w:tcPr>
            <w:tcW w:w="35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422" w:type="dxa"/>
            <w:tcBorders/>
            <w:shd w:fill="auto" w:val="clear"/>
          </w:tcPr>
          <w:p>
            <w:pPr>
              <w:pStyle w:val="TableContents"/>
              <w:spacing w:before="0" w:after="283"/>
              <w:rPr>
                <w:sz w:val="4"/>
                <w:szCs w:val="4"/>
              </w:rPr>
            </w:pPr>
            <w:r>
              <w:rPr>
                <w:sz w:val="4"/>
                <w:szCs w:val="4"/>
              </w:rPr>
            </w:r>
          </w:p>
        </w:tc>
        <w:tc>
          <w:tcPr>
            <w:tcW w:w="117" w:type="dxa"/>
            <w:tcBorders/>
            <w:shd w:fill="auto" w:val="clear"/>
            <w:vAlign w:val="bottom"/>
          </w:tcPr>
          <w:p>
            <w:pPr>
              <w:pStyle w:val="TableContents"/>
              <w:spacing w:before="0" w:after="283"/>
              <w:rPr/>
            </w:pPr>
            <w:r>
              <w:rPr/>
              <w:t> </w:t>
            </w:r>
          </w:p>
        </w:tc>
        <w:tc>
          <w:tcPr>
            <w:tcW w:w="35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- 81 -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 </w:t>
      </w:r>
    </w:p>
    <w:p>
      <w:pPr>
        <w:pStyle w:val="TextBody"/>
        <w:spacing w:before="0" w:after="0"/>
        <w:jc w:val="center"/>
        <w:rPr>
          <w:rFonts w:ascii="Times New Roman" w:hAnsi="Times New Roman"/>
          <w:b/>
          <w:sz w:val="20"/>
        </w:rPr>
      </w:pPr>
      <w:r>
        <w:rPr>
          <w:rFonts w:ascii="Times New Roman" w:hAnsi="Times New Roman"/>
          <w:b/>
          <w:sz w:val="20"/>
          <w:u w:val="single"/>
        </w:rPr>
        <w:t>SUBSIDIARY GUARANTORS</w:t>
      </w:r>
      <w:r>
        <w:rPr>
          <w:rFonts w:ascii="Times New Roman" w:hAnsi="Times New Roman"/>
          <w:b/>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SUBSIDIARY</w:t>
            </w:r>
          </w:p>
        </w:tc>
        <w:tc>
          <w:tcPr>
            <w:tcW w:w="204" w:type="dxa"/>
            <w:tcBorders/>
            <w:shd w:fill="auto" w:val="clear"/>
            <w:vAlign w:val="bottom"/>
          </w:tcPr>
          <w:p>
            <w:pPr>
              <w:pStyle w:val="TableContents"/>
              <w:spacing w:before="0" w:after="283"/>
              <w:rPr/>
            </w:pPr>
            <w:r>
              <w:rPr/>
              <w:t>  </w:t>
            </w:r>
          </w:p>
        </w:tc>
        <w:tc>
          <w:tcPr>
            <w:tcW w:w="4797"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STATE OF ORGANIZATION</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CCV Americas,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CCV Pennsylvania,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CCV Virginia,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Change Capital,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Change Capital Investments,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Change Capital Ventures,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EZCORP International,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EZCORP International Holdings,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EZCORP Online,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EZCORP USA,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Alabama,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Canada,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Colorado,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Hawaii,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Holdings,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Idaho,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Kansas,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Management,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Missouri,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Nebraska,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South Dakota,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Utah,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EZMONEY Wisconsin,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Alabama,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Arkansas,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Colorado,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Florida,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Georgia,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Holdings,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Illinois,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Indiana,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Iowa,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Louisiana,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Mexico Holdings,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Mexico Ltd.,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Nevada,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Oklahoma,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Tennessee,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Utah,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EZPAWN Wisconsin,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Mister Money Holdings,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Colorado</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Pawn Management,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Payday Loan Management,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Texas EZMONEY,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Texas EZPAWN Management,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Texas EZPAWN,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Texas PRA Management,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Value Financial Services, Inc.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Florida</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VFS Mexico Operations,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Florida</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VFS Mexico Services,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Florida</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I-1 </w:t>
      </w:r>
      <w:r>
        <w:br w:type="page"/>
      </w:r>
    </w:p>
    <w:p>
      <w:pPr>
        <w:pStyle w:val="TextBody"/>
        <w:spacing w:before="0" w:after="0"/>
        <w:jc w:val="right"/>
        <w:rPr>
          <w:rFonts w:ascii="Times New Roman" w:hAnsi="Times New Roman"/>
          <w:b/>
          <w:sz w:val="20"/>
        </w:rPr>
      </w:pPr>
      <w:bookmarkStart w:id="23" w:name="d267319dex51.htm"/>
      <w:bookmarkStart w:id="24" w:name="ksd267319dex51"/>
      <w:bookmarkEnd w:id="23"/>
      <w:bookmarkEnd w:id="24"/>
      <w:r>
        <w:rPr>
          <w:rFonts w:ascii="Times New Roman" w:hAnsi="Times New Roman"/>
          <w:b/>
          <w:sz w:val="20"/>
        </w:rPr>
        <w:t xml:space="preserve">EXHIBIT 5.1 </w:t>
      </w:r>
    </w:p>
    <w:p>
      <w:pPr>
        <w:pStyle w:val="TextBody"/>
        <w:spacing w:before="180" w:after="0"/>
        <w:rPr/>
      </w:pPr>
      <w:r>
        <w:rPr/>
        <w:drawing>
          <wp:inline distT="0" distB="0" distL="0" distR="0">
            <wp:extent cx="1695450" cy="2286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695450" cy="22860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February 3, 2012 </w:t>
      </w:r>
    </w:p>
    <w:p>
      <w:pPr>
        <w:pStyle w:val="TextBody"/>
        <w:spacing w:before="180" w:after="0"/>
        <w:rPr>
          <w:rFonts w:ascii="Times New Roman" w:hAnsi="Times New Roman"/>
          <w:sz w:val="20"/>
        </w:rPr>
      </w:pPr>
      <w:r>
        <w:rPr>
          <w:rFonts w:ascii="Times New Roman" w:hAnsi="Times New Roman"/>
          <w:sz w:val="20"/>
        </w:rPr>
        <w:t xml:space="preserve">EZCORP, Inc. </w:t>
      </w:r>
    </w:p>
    <w:p>
      <w:pPr>
        <w:pStyle w:val="TextBody"/>
        <w:spacing w:before="0" w:after="0"/>
        <w:rPr>
          <w:rFonts w:ascii="Times New Roman" w:hAnsi="Times New Roman"/>
          <w:sz w:val="20"/>
        </w:rPr>
      </w:pPr>
      <w:r>
        <w:rPr>
          <w:rFonts w:ascii="Times New Roman" w:hAnsi="Times New Roman"/>
          <w:sz w:val="20"/>
        </w:rPr>
        <w:t xml:space="preserve">1901 Capital Parkway </w:t>
      </w:r>
    </w:p>
    <w:p>
      <w:pPr>
        <w:pStyle w:val="TextBody"/>
        <w:spacing w:before="0" w:after="0"/>
        <w:rPr>
          <w:rFonts w:ascii="Times New Roman" w:hAnsi="Times New Roman"/>
          <w:sz w:val="20"/>
        </w:rPr>
      </w:pPr>
      <w:r>
        <w:rPr>
          <w:rFonts w:ascii="Times New Roman" w:hAnsi="Times New Roman"/>
          <w:sz w:val="20"/>
        </w:rPr>
        <w:t xml:space="preserve">Austin, TX 78746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We have acted as counsel for EZCORP, Inc., a Delaware corporation (the </w:t>
      </w:r>
      <w:r>
        <w:rPr>
          <w:rFonts w:ascii="Times New Roman" w:hAnsi="Times New Roman"/>
          <w:b/>
          <w:i/>
          <w:sz w:val="20"/>
        </w:rPr>
        <w:t>Company</w:t>
      </w:r>
      <w:r>
        <w:rPr>
          <w:rFonts w:ascii="Times New Roman" w:hAnsi="Times New Roman"/>
          <w:sz w:val="20"/>
        </w:rPr>
        <w:t>), and the Companys subsidiaries listed as co-registrants in the Registration Statement (the </w:t>
      </w:r>
      <w:r>
        <w:rPr>
          <w:rFonts w:ascii="Times New Roman" w:hAnsi="Times New Roman"/>
          <w:b/>
          <w:i/>
          <w:sz w:val="20"/>
        </w:rPr>
        <w:t>Subsidiary Guarantor</w:t>
      </w:r>
      <w:r>
        <w:rPr>
          <w:rFonts w:ascii="Times New Roman" w:hAnsi="Times New Roman"/>
          <w:sz w:val="20"/>
        </w:rPr>
        <w:t>s) with respect to certain legal matters in connection with the preparation of a registration statement on Form S-3 (the </w:t>
      </w:r>
      <w:r>
        <w:rPr>
          <w:rFonts w:ascii="Times New Roman" w:hAnsi="Times New Roman"/>
          <w:b/>
          <w:i/>
          <w:sz w:val="20"/>
        </w:rPr>
        <w:t>Registration Statement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under the Securities Act of 1933 (the </w:t>
      </w:r>
      <w:r>
        <w:rPr>
          <w:rFonts w:ascii="Times New Roman" w:hAnsi="Times New Roman"/>
          <w:b/>
          <w:i/>
          <w:sz w:val="20"/>
        </w:rPr>
        <w:t>Securities Act</w:t>
      </w:r>
      <w:r>
        <w:rPr>
          <w:rFonts w:ascii="Times New Roman" w:hAnsi="Times New Roman"/>
          <w:sz w:val="20"/>
        </w:rPr>
        <w:t>) with respect to the Companys (i) debt securities (the </w:t>
      </w:r>
      <w:r>
        <w:rPr>
          <w:rFonts w:ascii="Times New Roman" w:hAnsi="Times New Roman"/>
          <w:b/>
          <w:i/>
          <w:sz w:val="20"/>
        </w:rPr>
        <w:t>Debt Securities</w:t>
      </w:r>
      <w:r>
        <w:rPr>
          <w:rFonts w:ascii="Times New Roman" w:hAnsi="Times New Roman"/>
          <w:sz w:val="20"/>
        </w:rPr>
        <w:t>), in one or more series, which may be fully and unconditionally guaranteed (the </w:t>
      </w:r>
      <w:r>
        <w:rPr>
          <w:rFonts w:ascii="Times New Roman" w:hAnsi="Times New Roman"/>
          <w:b/>
          <w:i/>
          <w:sz w:val="20"/>
        </w:rPr>
        <w:t>Guarantees</w:t>
      </w:r>
      <w:r>
        <w:rPr>
          <w:rFonts w:ascii="Times New Roman" w:hAnsi="Times New Roman"/>
          <w:sz w:val="20"/>
        </w:rPr>
        <w:t>) by the Subsidiary Guarantors and which may be senior or subordinated in priority of payment, certain of which may be convertible or exchangeable into Class A Non-Voting Common Stock, par value $0.01 per share, of the Company (the </w:t>
      </w:r>
      <w:r>
        <w:rPr>
          <w:rFonts w:ascii="Times New Roman" w:hAnsi="Times New Roman"/>
          <w:b/>
          <w:i/>
          <w:sz w:val="20"/>
        </w:rPr>
        <w:t>Common Stock</w:t>
      </w:r>
      <w:r>
        <w:rPr>
          <w:rFonts w:ascii="Times New Roman" w:hAnsi="Times New Roman"/>
          <w:sz w:val="20"/>
        </w:rPr>
        <w:t>, (ii) Common Stock, (iii) warrants for the purchase of Debt Securities (including the Guarantees, if applicable) or Common Stock (the </w:t>
      </w:r>
      <w:r>
        <w:rPr>
          <w:rFonts w:ascii="Times New Roman" w:hAnsi="Times New Roman"/>
          <w:b/>
          <w:i/>
          <w:sz w:val="20"/>
        </w:rPr>
        <w:t>Warrants</w:t>
      </w:r>
      <w:r>
        <w:rPr>
          <w:rFonts w:ascii="Times New Roman" w:hAnsi="Times New Roman"/>
          <w:sz w:val="20"/>
        </w:rPr>
        <w:t>), (iv) contracts to purchase Common Stock or other securities at a future date or dates (the </w:t>
      </w:r>
      <w:r>
        <w:rPr>
          <w:rFonts w:ascii="Times New Roman" w:hAnsi="Times New Roman"/>
          <w:b/>
          <w:i/>
          <w:sz w:val="20"/>
        </w:rPr>
        <w:t>Stock Purchase Contracts</w:t>
      </w:r>
      <w:r>
        <w:rPr>
          <w:rFonts w:ascii="Times New Roman" w:hAnsi="Times New Roman"/>
          <w:sz w:val="20"/>
        </w:rPr>
        <w:t>), and (v) Stock Purchase Contracts issued as a part of units consisting of a Stock Purchase Contract and Debt Securities (including the Guarantees, if applicable), Warrants or other securities or debt obligations of third parties, including U.S. treasury securities, securing the holders obligations to purchase the securities under the Stock Purchase Contracts (the </w:t>
      </w:r>
      <w:r>
        <w:rPr>
          <w:rFonts w:ascii="Times New Roman" w:hAnsi="Times New Roman"/>
          <w:b/>
          <w:i/>
          <w:sz w:val="20"/>
        </w:rPr>
        <w:t>Stock Purchase Units</w:t>
      </w:r>
      <w:r>
        <w:rPr>
          <w:rFonts w:ascii="Times New Roman" w:hAnsi="Times New Roman"/>
          <w:sz w:val="20"/>
        </w:rPr>
        <w:t> and, together with the Debt Securities (including the Guarantees, if applicable), the Common Stock, the Warrants and the Stock Purchase Contracts, the </w:t>
      </w:r>
      <w:r>
        <w:rPr>
          <w:rFonts w:ascii="Times New Roman" w:hAnsi="Times New Roman"/>
          <w:b/>
          <w:i/>
          <w:sz w:val="20"/>
        </w:rPr>
        <w:t>Securities</w:t>
      </w:r>
      <w:r>
        <w:rPr>
          <w:rFonts w:ascii="Times New Roman" w:hAnsi="Times New Roman"/>
          <w:sz w:val="20"/>
        </w:rPr>
        <w:t xml:space="preserve">) each on terms to be determined at the time of the offering thereof. The Securities may be issued from time to time pursuant to Rule 415 under the Securities Act. </w:t>
      </w:r>
    </w:p>
    <w:p>
      <w:pPr>
        <w:pStyle w:val="TextBody"/>
        <w:spacing w:before="180" w:after="0"/>
        <w:rPr>
          <w:rFonts w:ascii="Times New Roman" w:hAnsi="Times New Roman"/>
          <w:sz w:val="20"/>
        </w:rPr>
      </w:pPr>
      <w:r>
        <w:rPr>
          <w:rFonts w:ascii="Times New Roman" w:hAnsi="Times New Roman"/>
          <w:sz w:val="20"/>
        </w:rPr>
        <w:t>In connection with the opinions expressed herein, we have examined, among other things, the (i) the Amended Certificate of Incorporation and the Amended Bylaws of the Company, each as amended to the date hereof (collectively, the </w:t>
      </w:r>
      <w:r>
        <w:rPr>
          <w:rFonts w:ascii="Times New Roman" w:hAnsi="Times New Roman"/>
          <w:b/>
          <w:i/>
          <w:sz w:val="20"/>
        </w:rPr>
        <w:t>Charter Documents</w:t>
      </w:r>
      <w:r>
        <w:rPr>
          <w:rFonts w:ascii="Times New Roman" w:hAnsi="Times New Roman"/>
          <w:sz w:val="20"/>
        </w:rPr>
        <w:t>), (ii) the Registration Statement, (iii) the form of Senior Indenture (the </w:t>
      </w:r>
      <w:r>
        <w:rPr>
          <w:rFonts w:ascii="Times New Roman" w:hAnsi="Times New Roman"/>
          <w:b/>
          <w:i/>
          <w:sz w:val="20"/>
        </w:rPr>
        <w:t>Senior Indenture</w:t>
      </w:r>
      <w:r>
        <w:rPr>
          <w:rFonts w:ascii="Times New Roman" w:hAnsi="Times New Roman"/>
          <w:sz w:val="20"/>
        </w:rPr>
        <w:t>) filed as an exhibit to the Registration Statement, (iv) the form of Subordinated Indenture (the </w:t>
      </w:r>
      <w:r>
        <w:rPr>
          <w:rFonts w:ascii="Times New Roman" w:hAnsi="Times New Roman"/>
          <w:b/>
          <w:i/>
          <w:sz w:val="20"/>
        </w:rPr>
        <w:t>Subordinated Indenture</w:t>
      </w:r>
      <w:r>
        <w:rPr>
          <w:rFonts w:ascii="Times New Roman" w:hAnsi="Times New Roman"/>
          <w:sz w:val="20"/>
        </w:rPr>
        <w:t xml:space="preserve">) filed as an exhibit to the Registration Statement and (v) the records of corporate proceedings that have occurred prior to the date hereof with respect to the Registration Statement.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8"/>
        <w:gridCol w:w="122"/>
        <w:gridCol w:w="4925"/>
      </w:tblGrid>
      <w:tr>
        <w:trPr/>
        <w:tc>
          <w:tcPr>
            <w:tcW w:w="515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925" w:type="dxa"/>
            <w:tcBorders/>
            <w:shd w:fill="auto" w:val="clear"/>
            <w:vAlign w:val="center"/>
          </w:tcPr>
          <w:p>
            <w:pPr>
              <w:pStyle w:val="TableContents"/>
              <w:spacing w:before="0" w:after="283"/>
              <w:rPr>
                <w:sz w:val="4"/>
                <w:szCs w:val="4"/>
              </w:rPr>
            </w:pPr>
            <w:r>
              <w:rPr>
                <w:sz w:val="4"/>
                <w:szCs w:val="4"/>
              </w:rPr>
            </w:r>
          </w:p>
        </w:tc>
      </w:tr>
      <w:tr>
        <w:trPr/>
        <w:tc>
          <w:tcPr>
            <w:tcW w:w="5158" w:type="dxa"/>
            <w:tcBorders/>
            <w:shd w:fill="auto" w:val="clear"/>
          </w:tcPr>
          <w:p>
            <w:pPr>
              <w:pStyle w:val="TableContents"/>
              <w:spacing w:before="0" w:after="0"/>
              <w:rPr>
                <w:rFonts w:ascii="Times New Roman" w:hAnsi="Times New Roman"/>
                <w:b/>
                <w:sz w:val="14"/>
              </w:rPr>
            </w:pPr>
            <w:r>
              <w:rPr>
                <w:rFonts w:ascii="Times New Roman" w:hAnsi="Times New Roman"/>
                <w:b/>
                <w:sz w:val="14"/>
              </w:rPr>
              <w:t>Vinson &amp; Elkins LLP Attorneys at Law</w:t>
            </w:r>
          </w:p>
          <w:p>
            <w:pPr>
              <w:pStyle w:val="TableContents"/>
              <w:spacing w:before="0" w:after="0"/>
              <w:rPr>
                <w:rFonts w:ascii="Times New Roman" w:hAnsi="Times New Roman"/>
                <w:sz w:val="14"/>
              </w:rPr>
            </w:pPr>
            <w:r>
              <w:rPr>
                <w:rFonts w:ascii="Times New Roman" w:hAnsi="Times New Roman"/>
                <w:sz w:val="14"/>
              </w:rPr>
              <w:t>Abu Dhabi Austin Beijing Dallas Dubai Hong Kong Houston London</w:t>
            </w:r>
          </w:p>
          <w:p>
            <w:pPr>
              <w:pStyle w:val="TableContents"/>
              <w:spacing w:before="0" w:after="15"/>
              <w:rPr>
                <w:rFonts w:ascii="Times New Roman" w:hAnsi="Times New Roman"/>
                <w:sz w:val="14"/>
              </w:rPr>
            </w:pPr>
            <w:r>
              <w:rPr>
                <w:rFonts w:ascii="Times New Roman" w:hAnsi="Times New Roman"/>
                <w:sz w:val="14"/>
              </w:rPr>
              <w:t>Moscow New York Palo Alto Riyadh Shanghai Tokyo Washington</w:t>
            </w:r>
          </w:p>
        </w:tc>
        <w:tc>
          <w:tcPr>
            <w:tcW w:w="122"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spacing w:before="0" w:after="0"/>
              <w:rPr>
                <w:rFonts w:ascii="Times New Roman" w:hAnsi="Times New Roman"/>
                <w:sz w:val="14"/>
              </w:rPr>
            </w:pPr>
            <w:r>
              <w:rPr>
                <w:rFonts w:ascii="Times New Roman" w:hAnsi="Times New Roman"/>
                <w:sz w:val="14"/>
              </w:rPr>
              <w:t>2801 Via Fortuna, Suite 100</w:t>
            </w:r>
          </w:p>
          <w:p>
            <w:pPr>
              <w:pStyle w:val="TableContents"/>
              <w:spacing w:before="0" w:after="0"/>
              <w:rPr>
                <w:rFonts w:ascii="Times New Roman" w:hAnsi="Times New Roman"/>
                <w:sz w:val="14"/>
              </w:rPr>
            </w:pPr>
            <w:r>
              <w:rPr>
                <w:rFonts w:ascii="Times New Roman" w:hAnsi="Times New Roman"/>
                <w:sz w:val="14"/>
              </w:rPr>
              <w:t>Austin, TX 78746-7568</w:t>
            </w:r>
          </w:p>
          <w:p>
            <w:pPr>
              <w:pStyle w:val="TableContents"/>
              <w:spacing w:before="0" w:after="15"/>
              <w:rPr>
                <w:rFonts w:ascii="Times New Roman" w:hAnsi="Times New Roman"/>
                <w:sz w:val="14"/>
              </w:rPr>
            </w:pPr>
            <w:r>
              <w:rPr>
                <w:rFonts w:ascii="Times New Roman" w:hAnsi="Times New Roman"/>
                <w:b/>
                <w:sz w:val="14"/>
              </w:rPr>
              <w:t>Tel</w:t>
            </w:r>
            <w:r>
              <w:rPr>
                <w:rFonts w:ascii="Times New Roman" w:hAnsi="Times New Roman"/>
                <w:sz w:val="14"/>
              </w:rPr>
              <w:t xml:space="preserve"> +1.512.542.8400 </w:t>
            </w:r>
            <w:r>
              <w:rPr>
                <w:rFonts w:ascii="Times New Roman" w:hAnsi="Times New Roman"/>
                <w:b/>
                <w:sz w:val="14"/>
              </w:rPr>
              <w:t>Fax</w:t>
            </w:r>
            <w:r>
              <w:rPr>
                <w:rFonts w:ascii="Times New Roman" w:hAnsi="Times New Roman"/>
                <w:sz w:val="14"/>
              </w:rPr>
              <w:t xml:space="preserve"> +1.512.542.8612 </w:t>
            </w:r>
            <w:r>
              <w:rPr>
                <w:rFonts w:ascii="Times New Roman" w:hAnsi="Times New Roman"/>
                <w:b/>
                <w:sz w:val="14"/>
              </w:rPr>
              <w:t>www.velaw.com</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pPr>
            <w:r>
              <w:rPr/>
              <w:drawing>
                <wp:inline distT="0" distB="0" distL="0" distR="0">
                  <wp:extent cx="504825" cy="2095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504825" cy="20955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 xml:space="preserve">February 3, 2012   Page 2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corporate officers of the Company, with no independent investigation as to the facts set forth therein. </w:t>
      </w:r>
    </w:p>
    <w:p>
      <w:pPr>
        <w:pStyle w:val="TextBody"/>
        <w:spacing w:before="180" w:after="0"/>
        <w:rPr>
          <w:rFonts w:ascii="Times New Roman" w:hAnsi="Times New Roman"/>
          <w:sz w:val="20"/>
        </w:rPr>
      </w:pPr>
      <w:r>
        <w:rPr>
          <w:rFonts w:ascii="Times New Roman" w:hAnsi="Times New Roman"/>
          <w:sz w:val="20"/>
        </w:rPr>
        <w:t xml:space="preserve">In connection with this opinion,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 reviewed by us had the legal capacity to do so; (v) each person signing in a representative capacity (other than on behalf of the Company and the Subsidiary Guarantors) any document reviewed by us had authority to sign in such capacity; (vi) the Registration Statement, and any amendments thereto (including post-effective amendments), will have become effective and comply with all applicable laws; (vii) a prospectus supplement will have been prepared and filed with the Commission describing the Securities offered thereby; (viii) all Securities will be issued and sold in compliance with applicable federal and state securities laws and in the manner stated in the Registration Statement and the applicable prospectus supplement; (ix) any supplemental indenture relating to a series of Debt Securities to be issued under the Indenture will be duly authorized, executed and delivered by the parties thereto in substantially the form reviewed by us; (x) a definitive purchase, underwriting or similar agreement with respect to any Securities offered will have been duly authorized and validly executed and delivered by the Company and the other parties thereto; (xi) any Securities issuable upon conversion, exchange or exercise of any Security being offered will have been duly authorized, created and, if appropriate, reserved for issuance upon such conversion, exchange or exercise; (xii) each Subsidiary Guarantor is duly incorporated or organized under the laws of and are validly existing and in good standing under the laws of its respective jurisdiction of incorporation or organization; and (xiii) with respect to shares of Common Stock offered, that there will be sufficient shares of Common Stock authorized under the Charter Documents and not otherwise reserved for issuance. </w:t>
      </w:r>
    </w:p>
    <w:p>
      <w:pPr>
        <w:pStyle w:val="TextBody"/>
        <w:spacing w:before="180" w:after="0"/>
        <w:rPr>
          <w:rFonts w:ascii="Times New Roman" w:hAnsi="Times New Roman"/>
          <w:sz w:val="20"/>
        </w:rPr>
      </w:pPr>
      <w:r>
        <w:rPr>
          <w:rFonts w:ascii="Times New Roman" w:hAnsi="Times New Roman"/>
          <w:sz w:val="20"/>
        </w:rPr>
        <w:t xml:space="preserve">Based upon and subject to the foregoing, we are of the opinion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With respect to the Debt Securities to be issued under the Indenture, when (a) the applicable Indenture relating either to senior Debt Securities or subordinated Debt Securities and, if applicable, the related Guarantees have been duly qualified under the Trust Indenture Act of 1939, as amended; (b) the board of directors of the Company (the </w:t>
            </w:r>
            <w:r>
              <w:rPr>
                <w:rFonts w:ascii="Times New Roman" w:hAnsi="Times New Roman"/>
                <w:b/>
                <w:i/>
                <w:sz w:val="20"/>
              </w:rPr>
              <w:t>Board</w:t>
            </w:r>
            <w:r>
              <w:rPr>
                <w:rFonts w:ascii="Times New Roman" w:hAnsi="Times New Roman"/>
                <w:sz w:val="20"/>
              </w:rPr>
              <w:t xml:space="preserve">) (or a committee thereof) and the board of directors, manager or general partner, as the case may be, of each Subsidiary Guarantor, if applicable, has taken all necessary corporate, limited liability company or limited partnership action, as applicable, to approve the issuance and terms of any such Debt Securities and, if applicable, Guarantees, the terms of the offering thereof and related matters; (c) the terms of such Debt Securities and, if applicable, Guarantees, and of their issuance and sale have been duly established in conformity with the applicable Indenture so as not to violate any applicable law or result in a default under or breach </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pPr>
            <w:r>
              <w:rPr/>
              <w:drawing>
                <wp:inline distT="0" distB="0" distL="0" distR="0">
                  <wp:extent cx="504825" cy="2095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04825" cy="20955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 xml:space="preserve">February 3, 2012   Page 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of any agreement or instrument binding upon the Company or any Subsidiary Guarantor, as applicable, and so as to comply with any requirements or restrictions imposed by any court or governmental body having jurisdiction over the Company or any Subsidiary Guarantor, as applicable; (d) any shares of Common Stock issuable upon the conversion of such Debt Securities, if applicable, have been duly and validly authorized for issuance; and (e) such Debt Securities (including the Guarantees, if applicable) have been duly executed and authenticated in accordance with the applicable Indenture and issued and sold as contemplated in the applicable prospectus supplement and in accordance with the applicable definitive purchase, underwriting or similar agreement approved by the Board and, if applicable, the board of directors, manager or general partner, as the case may be, of each Subsidiary Guarantor upon payment of the consideration therefor provided for therein, such Debt Securities and, if applicable, Guarantees will be legally issued and will constitute valid and binding obligations of the Company and the Subsidiary Guarantors, respectively, enforceable against the Company and the Subsidiary Guarantors, respectively, in accordance with their terms and will be entitled to the benefits of the Indenture and, if applicable, the related Guarantees.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With respect to shares of the Common Stock, when (a) the Board has taken all necessary corporate action to approve the issuance and terms of the offering thereof and related matters; and (b) the shares of Common Stock have been duly registered and delivered either (i) in accordance with the applicable definitive purchase, underwriting or similar agreement approved by the Board upon payment of the consideration therefor (not less than the par value of the Common Stock) provided for therein, or (ii)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Common Stock), such shares of Common Stock will be legally issued, fully paid and non-assessable.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With respect to the Warrants, when (i) the Board has taken all necessary corporate action to approve the creation of and the issuance and terms of the Warrants, the terms of the offering thereof and related matters; (ii) the warrant agreement or agreements relating to the Warrants have been duly authorized and validly executed and delivered by the Company and the warrant agent appointed by the Company; and (iii) the Warrants or certificates representing the Warrants have been duly executed, countersigned, registered and delivered in accordance with the appropriate warrant agreement or agreements and the applicable definitive purchase, underwriting or similar agreement approved by the Board upon payment of the consideration therefor provided for therein, such Warrants will be legally issued. </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pPr>
            <w:r>
              <w:rPr/>
              <w:drawing>
                <wp:inline distT="0" distB="0" distL="0" distR="0">
                  <wp:extent cx="504825" cy="20955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04825" cy="20955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 xml:space="preserve">February 3, 2012   Page 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With respect to Stock Purchase Contracts, when (i) the purchase agreement for the Stock Purchase Contracts has been duly authorized and validly executed by the parties thereto; (ii) the Board has taken all necessary corporate action to approve and establish the terms of the Stock Purchase Contracts and to authorize and approve the issuance thereof, the terms of the offering and related matters; and (iii) the Stock Purchase Contracts have been duly executed and delivered in accordance with the purchase agreement and the applicable definitive purchase, underwriting or similar agreement approved by or on behalf of the Board upon payment of the consideration therefor provided for therein, such Stock Purchase Contracts will be legally issued.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With respect to Stock Purchase Units, when (i) the purchase agreement for the Stock Purchase Units has been duly authorized and validly executed by the parties thereto; (ii) the Board has taken all necessary corporate action to approve and establish the terms of the Stock Purchase Units and to authorize and approve the issuance thereof, the terms of the offering and related matters; and (iii) the Stock Purchase Units have been duly executed and delivered in accordance with the purchase agreement and the applicable definitive purchase, underwriting or similar agreement approved by or on behalf of the Board upon payment of the consideration therefor provided therein, the Stock Purchase Units will be legally issued. </w:t>
            </w:r>
          </w:p>
        </w:tc>
      </w:tr>
    </w:tbl>
    <w:p>
      <w:pPr>
        <w:pStyle w:val="TextBody"/>
        <w:spacing w:before="180" w:after="0"/>
        <w:rPr>
          <w:rFonts w:ascii="Times New Roman" w:hAnsi="Times New Roman"/>
          <w:sz w:val="20"/>
        </w:rPr>
      </w:pPr>
      <w:r>
        <w:rPr>
          <w:rFonts w:ascii="Times New Roman" w:hAnsi="Times New Roman"/>
          <w:sz w:val="20"/>
        </w:rPr>
        <w:t xml:space="preserve">The foregoing opinions are qualified to the extent that the enforceability of any document, instrument or Security may be limited by or subject to (i) bankruptcy, insolvency, fraudulent transfer or conveyance, reorganization, moratorium or other similar laws relating to or affecting creditors rights generally, and general equitable or public policy principles,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 </w:t>
      </w:r>
    </w:p>
    <w:p>
      <w:pPr>
        <w:pStyle w:val="TextBody"/>
        <w:spacing w:before="180" w:after="0"/>
        <w:rPr>
          <w:rFonts w:ascii="Times New Roman" w:hAnsi="Times New Roman"/>
          <w:sz w:val="20"/>
        </w:rPr>
      </w:pPr>
      <w:r>
        <w:rPr>
          <w:rFonts w:ascii="Times New Roman" w:hAnsi="Times New Roman"/>
          <w:sz w:val="20"/>
        </w:rPr>
        <w:t xml:space="preserve">We express no opinions concerning (i) the validity or enforceability of any provisions contained in the Indenture that purport to waive or not give effect to rights to notices, defenses, subrogation or other rights or benefits that cannot be effectively waived under applicable law, (ii) the enforceability of indemnification provisions to the extent they purport to relate to liabilities resulting from or based upon negligence or any violation of federal or state securities or blue sky laws, or (iii) the validity or enforceability of provisions that limit the obligation of a guarantor based on the potential unenforceability, invalidity or voidability of a guarantee under any applicable law, including, without limitation, any state or federal fraudulent transfer or fraudulent conveyance laws. </w:t>
      </w:r>
    </w:p>
    <w:p>
      <w:pPr>
        <w:pStyle w:val="TextBody"/>
        <w:spacing w:before="180" w:after="0"/>
        <w:rPr>
          <w:rFonts w:ascii="Times New Roman" w:hAnsi="Times New Roman"/>
          <w:sz w:val="20"/>
        </w:rPr>
      </w:pPr>
      <w:r>
        <w:rPr>
          <w:rFonts w:ascii="Times New Roman" w:hAnsi="Times New Roman"/>
          <w:sz w:val="20"/>
        </w:rPr>
        <w:t xml:space="preserve">The foregoing opinions are limited to the laws of the State of New York, the General Corporation Law of the State of Delaware (including the applicable provisions of the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pPr>
            <w:r>
              <w:rPr/>
              <w:drawing>
                <wp:inline distT="0" distB="0" distL="0" distR="0">
                  <wp:extent cx="504825" cy="20955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04825" cy="20955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right"/>
              <w:rPr>
                <w:rFonts w:ascii="Times New Roman" w:hAnsi="Times New Roman"/>
                <w:sz w:val="14"/>
              </w:rPr>
            </w:pPr>
            <w:r>
              <w:rPr>
                <w:rFonts w:ascii="Times New Roman" w:hAnsi="Times New Roman"/>
                <w:sz w:val="14"/>
              </w:rPr>
              <w:t xml:space="preserve">February 3, 2012   Page 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Delaware Constitution and the reported judicial decisions interpreting these laws) and the federal laws of the United States of America, and we are expressing no opinion as to the effect of the laws of any other jurisdiction, domestic or foreign. </w:t>
            </w:r>
          </w:p>
        </w:tc>
      </w:tr>
    </w:tbl>
    <w:p>
      <w:pPr>
        <w:pStyle w:val="TextBody"/>
        <w:spacing w:before="90" w:after="0"/>
        <w:rPr>
          <w:rFonts w:ascii="Times New Roman" w:hAnsi="Times New Roman"/>
          <w:sz w:val="20"/>
        </w:rPr>
      </w:pPr>
      <w:r>
        <w:rPr>
          <w:rFonts w:ascii="Times New Roman" w:hAnsi="Times New Roman"/>
          <w:sz w:val="20"/>
        </w:rPr>
        <w:t xml:space="preserve">We hereby consent to the filing of this opinion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 and the rules and regulations thereunder. </w:t>
      </w:r>
    </w:p>
    <w:p>
      <w:pPr>
        <w:pStyle w:val="TextBody"/>
        <w:spacing w:before="270" w:after="0"/>
        <w:rPr>
          <w:rFonts w:ascii="Times New Roman" w:hAnsi="Times New Roman"/>
          <w:sz w:val="20"/>
        </w:rPr>
      </w:pPr>
      <w:r>
        <w:rPr>
          <w:rFonts w:ascii="Times New Roman" w:hAnsi="Times New Roman"/>
          <w:sz w:val="20"/>
        </w:rPr>
        <w:t xml:space="preserve">Very truly yours, </w:t>
      </w:r>
    </w:p>
    <w:p>
      <w:pPr>
        <w:pStyle w:val="TextBody"/>
        <w:spacing w:before="180" w:after="0"/>
        <w:rPr>
          <w:rFonts w:ascii="Times New Roman" w:hAnsi="Times New Roman"/>
          <w:sz w:val="20"/>
        </w:rPr>
      </w:pPr>
      <w:r>
        <w:rPr>
          <w:rFonts w:ascii="Times New Roman" w:hAnsi="Times New Roman"/>
          <w:sz w:val="20"/>
          <w:u w:val="single"/>
        </w:rPr>
        <w:t>/s/ VINSON &amp; ELKINS L.L.P.    </w:t>
      </w:r>
      <w:r>
        <w:rPr>
          <w:rFonts w:ascii="Times New Roman" w:hAnsi="Times New Roman"/>
          <w:sz w:val="20"/>
        </w:rPr>
        <w:t xml:space="preserve"> </w:t>
      </w:r>
    </w:p>
    <w:p>
      <w:pPr>
        <w:pStyle w:val="TextBody"/>
        <w:spacing w:before="0" w:after="0"/>
        <w:rPr>
          <w:rFonts w:ascii="Times New Roman" w:hAnsi="Times New Roman"/>
          <w:sz w:val="20"/>
        </w:rPr>
      </w:pPr>
      <w:r>
        <w:rPr>
          <w:rFonts w:ascii="Times New Roman" w:hAnsi="Times New Roman"/>
          <w:sz w:val="20"/>
        </w:rPr>
        <w:t xml:space="preserve">VINSON &amp; ELKINS L.L.P. </w:t>
      </w:r>
      <w:r>
        <w:br w:type="page"/>
      </w:r>
    </w:p>
    <w:p>
      <w:pPr>
        <w:pStyle w:val="TextBody"/>
        <w:spacing w:before="0" w:after="0"/>
        <w:jc w:val="right"/>
        <w:rPr>
          <w:rFonts w:ascii="Times New Roman" w:hAnsi="Times New Roman"/>
          <w:sz w:val="20"/>
        </w:rPr>
      </w:pPr>
      <w:bookmarkStart w:id="25" w:name="d267319dex121.htm"/>
      <w:bookmarkStart w:id="26" w:name="ksd267319dex121"/>
      <w:bookmarkEnd w:id="25"/>
      <w:bookmarkEnd w:id="26"/>
      <w:r>
        <w:rPr>
          <w:rFonts w:ascii="Times New Roman" w:hAnsi="Times New Roman"/>
          <w:sz w:val="20"/>
        </w:rPr>
        <w:t xml:space="preserve">Exhibit 12.1 </w:t>
      </w:r>
    </w:p>
    <w:p>
      <w:pPr>
        <w:pStyle w:val="TextBody"/>
        <w:spacing w:before="180" w:after="0"/>
        <w:jc w:val="center"/>
        <w:rPr>
          <w:rFonts w:ascii="Times New Roman" w:hAnsi="Times New Roman"/>
          <w:sz w:val="20"/>
        </w:rPr>
      </w:pPr>
      <w:r>
        <w:rPr>
          <w:rFonts w:ascii="Times New Roman" w:hAnsi="Times New Roman"/>
          <w:sz w:val="20"/>
        </w:rPr>
        <w:t xml:space="preserve">EZCORP, INC. </w:t>
      </w:r>
    </w:p>
    <w:p>
      <w:pPr>
        <w:pStyle w:val="TextBody"/>
        <w:spacing w:before="0" w:after="0"/>
        <w:jc w:val="center"/>
        <w:rPr>
          <w:rFonts w:ascii="Times New Roman" w:hAnsi="Times New Roman"/>
          <w:sz w:val="20"/>
        </w:rPr>
      </w:pPr>
      <w:r>
        <w:rPr>
          <w:rFonts w:ascii="Times New Roman" w:hAnsi="Times New Roman"/>
          <w:sz w:val="20"/>
        </w:rPr>
        <w:t xml:space="preserve">Computation of Ratio Earnings to Fixed Charges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14"/>
        <w:gridCol w:w="200"/>
        <w:gridCol w:w="125"/>
        <w:gridCol w:w="699"/>
        <w:gridCol w:w="125"/>
        <w:gridCol w:w="160"/>
        <w:gridCol w:w="125"/>
        <w:gridCol w:w="699"/>
        <w:gridCol w:w="125"/>
        <w:gridCol w:w="159"/>
        <w:gridCol w:w="125"/>
        <w:gridCol w:w="699"/>
        <w:gridCol w:w="125"/>
        <w:gridCol w:w="160"/>
        <w:gridCol w:w="125"/>
        <w:gridCol w:w="699"/>
        <w:gridCol w:w="125"/>
        <w:gridCol w:w="160"/>
        <w:gridCol w:w="124"/>
        <w:gridCol w:w="699"/>
        <w:gridCol w:w="133"/>
      </w:tblGrid>
      <w:tr>
        <w:trPr/>
        <w:tc>
          <w:tcPr>
            <w:tcW w:w="461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46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5258"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Fiscal Years Ended September 30,</w:t>
            </w:r>
          </w:p>
        </w:tc>
        <w:tc>
          <w:tcPr>
            <w:tcW w:w="133" w:type="dxa"/>
            <w:tcBorders/>
            <w:shd w:fill="auto" w:val="clear"/>
            <w:vAlign w:val="bottom"/>
          </w:tcPr>
          <w:p>
            <w:pPr>
              <w:pStyle w:val="TableContents"/>
              <w:spacing w:before="0" w:after="283"/>
              <w:rPr/>
            </w:pPr>
            <w:r>
              <w:rPr/>
              <w:t> </w:t>
            </w:r>
          </w:p>
        </w:tc>
      </w:tr>
      <w:tr>
        <w:trPr/>
        <w:tc>
          <w:tcPr>
            <w:tcW w:w="46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33" w:type="dxa"/>
            <w:tcBorders/>
            <w:shd w:fill="auto" w:val="clear"/>
            <w:vAlign w:val="bottom"/>
          </w:tcPr>
          <w:p>
            <w:pPr>
              <w:pStyle w:val="TableContents"/>
              <w:spacing w:before="0" w:after="283"/>
              <w:rPr/>
            </w:pPr>
            <w:r>
              <w:rPr/>
              <w:t> </w:t>
            </w:r>
          </w:p>
        </w:tc>
      </w:tr>
      <w:tr>
        <w:trPr/>
        <w:tc>
          <w:tcPr>
            <w:tcW w:w="46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5258" w:type="dxa"/>
            <w:gridSpan w:val="1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3" w:type="dxa"/>
            <w:tcBorders/>
            <w:shd w:fill="auto" w:val="clear"/>
            <w:vAlign w:val="bottom"/>
          </w:tcPr>
          <w:p>
            <w:pPr>
              <w:pStyle w:val="TableContents"/>
              <w:spacing w:before="0" w:after="283"/>
              <w:rPr/>
            </w:pPr>
            <w:r>
              <w:rPr/>
              <w:t> </w:t>
            </w:r>
          </w:p>
        </w:tc>
      </w:tr>
      <w:tr>
        <w:trPr/>
        <w:tc>
          <w:tcPr>
            <w:tcW w:w="4614" w:type="dxa"/>
            <w:tcBorders/>
            <w:shd w:fill="CCEEFF" w:val="clear"/>
          </w:tcPr>
          <w:p>
            <w:pPr>
              <w:pStyle w:val="TableContents"/>
              <w:spacing w:before="0" w:after="283"/>
              <w:rPr>
                <w:rFonts w:ascii="Times New Roman" w:hAnsi="Times New Roman"/>
                <w:sz w:val="20"/>
              </w:rPr>
            </w:pPr>
            <w:r>
              <w:rPr>
                <w:rFonts w:ascii="Times New Roman" w:hAnsi="Times New Roman"/>
                <w:sz w:val="20"/>
              </w:rPr>
              <w:t>Earnings:</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614"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188,711</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151,530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105,312</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78,071</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59,927</w:t>
            </w:r>
          </w:p>
        </w:tc>
        <w:tc>
          <w:tcPr>
            <w:tcW w:w="133" w:type="dxa"/>
            <w:tcBorders/>
            <w:shd w:fill="auto" w:val="clear"/>
            <w:vAlign w:val="bottom"/>
          </w:tcPr>
          <w:p>
            <w:pPr>
              <w:pStyle w:val="TableContents"/>
              <w:spacing w:before="0" w:after="283"/>
              <w:rPr/>
            </w:pPr>
            <w:r>
              <w:rPr/>
              <w:t>  </w:t>
            </w:r>
          </w:p>
        </w:tc>
      </w:tr>
      <w:tr>
        <w:trPr/>
        <w:tc>
          <w:tcPr>
            <w:tcW w:w="4614" w:type="dxa"/>
            <w:tcBorders/>
            <w:shd w:fill="CCEEFF" w:val="clear"/>
          </w:tcPr>
          <w:p>
            <w:pPr>
              <w:pStyle w:val="TableContents"/>
              <w:spacing w:before="0" w:after="283"/>
              <w:rPr>
                <w:rFonts w:ascii="Times New Roman" w:hAnsi="Times New Roman"/>
                <w:sz w:val="20"/>
              </w:rPr>
            </w:pPr>
            <w:r>
              <w:rPr>
                <w:rFonts w:ascii="Times New Roman" w:hAnsi="Times New Roman"/>
                <w:sz w:val="20"/>
              </w:rPr>
              <w:t>Less equity in net income of unconsolidated affiliates</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(10,750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(4,342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(2,945</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614" w:type="dxa"/>
            <w:tcBorders/>
            <w:shd w:fill="auto" w:val="clear"/>
          </w:tcPr>
          <w:p>
            <w:pPr>
              <w:pStyle w:val="TableContents"/>
              <w:spacing w:before="0" w:after="283"/>
              <w:rPr>
                <w:rFonts w:ascii="Times New Roman" w:hAnsi="Times New Roman"/>
                <w:sz w:val="20"/>
              </w:rPr>
            </w:pPr>
            <w:r>
              <w:rPr>
                <w:rFonts w:ascii="Times New Roman" w:hAnsi="Times New Roman"/>
                <w:sz w:val="20"/>
              </w:rPr>
              <w:t>Plus fixed charges</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3,472</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2,182</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33" w:type="dxa"/>
            <w:tcBorders/>
            <w:shd w:fill="auto" w:val="clear"/>
            <w:vAlign w:val="bottom"/>
          </w:tcPr>
          <w:p>
            <w:pPr>
              <w:pStyle w:val="TableContents"/>
              <w:spacing w:before="0" w:after="283"/>
              <w:rPr/>
            </w:pPr>
            <w:r>
              <w:rPr/>
              <w:t>  </w:t>
            </w:r>
          </w:p>
        </w:tc>
      </w:tr>
      <w:tr>
        <w:trPr/>
        <w:tc>
          <w:tcPr>
            <w:tcW w:w="4614"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614" w:type="dxa"/>
            <w:tcBorders/>
            <w:shd w:fill="CCEEFF" w:val="clear"/>
          </w:tcPr>
          <w:p>
            <w:pPr>
              <w:pStyle w:val="TableContents"/>
              <w:spacing w:before="0" w:after="283"/>
              <w:rPr>
                <w:rFonts w:ascii="Times New Roman" w:hAnsi="Times New Roman"/>
                <w:sz w:val="20"/>
              </w:rPr>
            </w:pPr>
            <w:r>
              <w:rPr>
                <w:rFonts w:ascii="Times New Roman" w:hAnsi="Times New Roman"/>
                <w:sz w:val="20"/>
              </w:rPr>
              <w:t>Total Earnings</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175,946</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141,762</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102,478</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74,146</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57,120</w:t>
            </w:r>
          </w:p>
        </w:tc>
        <w:tc>
          <w:tcPr>
            <w:tcW w:w="133" w:type="dxa"/>
            <w:tcBorders/>
            <w:shd w:fill="CCEEFF" w:val="clear"/>
            <w:vAlign w:val="bottom"/>
          </w:tcPr>
          <w:p>
            <w:pPr>
              <w:pStyle w:val="TableContents"/>
              <w:spacing w:before="0" w:after="283"/>
              <w:rPr/>
            </w:pPr>
            <w:r>
              <w:rPr/>
              <w:t>  </w:t>
            </w:r>
          </w:p>
        </w:tc>
      </w:tr>
      <w:tr>
        <w:trPr/>
        <w:tc>
          <w:tcPr>
            <w:tcW w:w="4614"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rHeight w:val="120" w:hRule="atLeast"/>
        </w:trPr>
        <w:tc>
          <w:tcPr>
            <w:tcW w:w="4614" w:type="dxa"/>
            <w:tcBorders/>
            <w:shd w:fill="auto" w:val="clear"/>
            <w:vAlign w:val="center"/>
          </w:tcPr>
          <w:p>
            <w:pPr>
              <w:pStyle w:val="TableContents"/>
              <w:spacing w:before="0" w:after="283"/>
              <w:rPr>
                <w:sz w:val="4"/>
                <w:szCs w:val="4"/>
              </w:rPr>
            </w:pPr>
            <w:r>
              <w:rPr>
                <w:sz w:val="4"/>
                <w:szCs w:val="4"/>
              </w:rPr>
            </w:r>
          </w:p>
        </w:tc>
        <w:tc>
          <w:tcPr>
            <w:tcW w:w="1149" w:type="dxa"/>
            <w:gridSpan w:val="4"/>
            <w:tcBorders/>
            <w:shd w:fill="auto" w:val="clear"/>
            <w:vAlign w:val="center"/>
          </w:tcPr>
          <w:p>
            <w:pPr>
              <w:pStyle w:val="TableContents"/>
              <w:spacing w:before="0" w:after="283"/>
              <w:rPr>
                <w:sz w:val="4"/>
                <w:szCs w:val="4"/>
              </w:rPr>
            </w:pPr>
            <w:r>
              <w:rPr>
                <w:sz w:val="4"/>
                <w:szCs w:val="4"/>
              </w:rPr>
            </w:r>
          </w:p>
        </w:tc>
        <w:tc>
          <w:tcPr>
            <w:tcW w:w="1109" w:type="dxa"/>
            <w:gridSpan w:val="4"/>
            <w:tcBorders/>
            <w:shd w:fill="auto" w:val="clear"/>
            <w:vAlign w:val="center"/>
          </w:tcPr>
          <w:p>
            <w:pPr>
              <w:pStyle w:val="TableContents"/>
              <w:spacing w:before="0" w:after="283"/>
              <w:rPr>
                <w:sz w:val="4"/>
                <w:szCs w:val="4"/>
              </w:rPr>
            </w:pPr>
            <w:r>
              <w:rPr>
                <w:sz w:val="4"/>
                <w:szCs w:val="4"/>
              </w:rPr>
            </w:r>
          </w:p>
        </w:tc>
        <w:tc>
          <w:tcPr>
            <w:tcW w:w="1108" w:type="dxa"/>
            <w:gridSpan w:val="4"/>
            <w:tcBorders/>
            <w:shd w:fill="auto" w:val="clear"/>
            <w:vAlign w:val="center"/>
          </w:tcPr>
          <w:p>
            <w:pPr>
              <w:pStyle w:val="TableContents"/>
              <w:spacing w:before="0" w:after="283"/>
              <w:rPr>
                <w:sz w:val="4"/>
                <w:szCs w:val="4"/>
              </w:rPr>
            </w:pPr>
            <w:r>
              <w:rPr>
                <w:sz w:val="4"/>
                <w:szCs w:val="4"/>
              </w:rPr>
            </w:r>
          </w:p>
        </w:tc>
        <w:tc>
          <w:tcPr>
            <w:tcW w:w="1109" w:type="dxa"/>
            <w:gridSpan w:val="4"/>
            <w:tcBorders/>
            <w:shd w:fill="auto" w:val="clear"/>
            <w:vAlign w:val="center"/>
          </w:tcPr>
          <w:p>
            <w:pPr>
              <w:pStyle w:val="TableContents"/>
              <w:spacing w:before="0" w:after="283"/>
              <w:rPr>
                <w:sz w:val="4"/>
                <w:szCs w:val="4"/>
              </w:rPr>
            </w:pPr>
            <w:r>
              <w:rPr>
                <w:sz w:val="4"/>
                <w:szCs w:val="4"/>
              </w:rPr>
            </w:r>
          </w:p>
        </w:tc>
        <w:tc>
          <w:tcPr>
            <w:tcW w:w="1116" w:type="dxa"/>
            <w:gridSpan w:val="4"/>
            <w:tcBorders/>
            <w:shd w:fill="auto" w:val="clear"/>
            <w:vAlign w:val="center"/>
          </w:tcPr>
          <w:p>
            <w:pPr>
              <w:pStyle w:val="TableContents"/>
              <w:spacing w:before="0" w:after="283"/>
              <w:rPr>
                <w:sz w:val="4"/>
                <w:szCs w:val="4"/>
              </w:rPr>
            </w:pPr>
            <w:r>
              <w:rPr>
                <w:sz w:val="4"/>
                <w:szCs w:val="4"/>
              </w:rPr>
            </w:r>
          </w:p>
        </w:tc>
      </w:tr>
      <w:tr>
        <w:trPr/>
        <w:tc>
          <w:tcPr>
            <w:tcW w:w="4614" w:type="dxa"/>
            <w:tcBorders/>
            <w:shd w:fill="auto" w:val="clear"/>
          </w:tcPr>
          <w:p>
            <w:pPr>
              <w:pStyle w:val="TableContents"/>
              <w:spacing w:before="0" w:after="283"/>
              <w:rPr>
                <w:rFonts w:ascii="Times New Roman" w:hAnsi="Times New Roman"/>
                <w:sz w:val="20"/>
              </w:rPr>
            </w:pPr>
            <w:r>
              <w:rPr>
                <w:rFonts w:ascii="Times New Roman" w:hAnsi="Times New Roman"/>
                <w:sz w:val="20"/>
              </w:rPr>
              <w:t>Fixed Charges:</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461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included in earnings (a)</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1,690</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1,385</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1,425</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133" w:type="dxa"/>
            <w:tcBorders/>
            <w:shd w:fill="CCEEFF" w:val="clear"/>
            <w:vAlign w:val="bottom"/>
          </w:tcPr>
          <w:p>
            <w:pPr>
              <w:pStyle w:val="TableContents"/>
              <w:spacing w:before="0" w:after="283"/>
              <w:rPr/>
            </w:pPr>
            <w:r>
              <w:rPr/>
              <w:t>  </w:t>
            </w:r>
          </w:p>
        </w:tc>
      </w:tr>
      <w:tr>
        <w:trPr/>
        <w:tc>
          <w:tcPr>
            <w:tcW w:w="4614"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deferred financing costs</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614" w:type="dxa"/>
            <w:tcBorders/>
            <w:shd w:fill="CCEEFF" w:val="clear"/>
          </w:tcPr>
          <w:p>
            <w:pPr>
              <w:pStyle w:val="TableContents"/>
              <w:spacing w:before="0" w:after="283"/>
              <w:rPr>
                <w:rFonts w:ascii="Times New Roman" w:hAnsi="Times New Roman"/>
                <w:sz w:val="20"/>
              </w:rPr>
            </w:pPr>
            <w:r>
              <w:rPr>
                <w:rFonts w:ascii="Times New Roman" w:hAnsi="Times New Roman"/>
                <w:sz w:val="20"/>
              </w:rPr>
              <w:t>Capitalized deferred financing costs</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2,397</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1,053</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r>
      <w:tr>
        <w:trPr/>
        <w:tc>
          <w:tcPr>
            <w:tcW w:w="4614"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614" w:type="dxa"/>
            <w:tcBorders/>
            <w:shd w:fill="auto" w:val="clear"/>
          </w:tcPr>
          <w:p>
            <w:pPr>
              <w:pStyle w:val="TableContents"/>
              <w:spacing w:before="0" w:after="283"/>
              <w:rPr>
                <w:rFonts w:ascii="Times New Roman" w:hAnsi="Times New Roman"/>
                <w:sz w:val="20"/>
              </w:rPr>
            </w:pPr>
            <w:r>
              <w:rPr>
                <w:rFonts w:ascii="Times New Roman" w:hAnsi="Times New Roman"/>
                <w:sz w:val="20"/>
              </w:rPr>
              <w:t>Total Fixed Charges</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3,472</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2,182</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33" w:type="dxa"/>
            <w:tcBorders/>
            <w:shd w:fill="auto" w:val="clear"/>
            <w:vAlign w:val="bottom"/>
          </w:tcPr>
          <w:p>
            <w:pPr>
              <w:pStyle w:val="TableContents"/>
              <w:spacing w:before="0" w:after="283"/>
              <w:rPr/>
            </w:pPr>
            <w:r>
              <w:rPr/>
              <w:t>  </w:t>
            </w:r>
          </w:p>
        </w:tc>
      </w:tr>
      <w:tr>
        <w:trPr/>
        <w:tc>
          <w:tcPr>
            <w:tcW w:w="4614"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rHeight w:val="120" w:hRule="atLeast"/>
        </w:trPr>
        <w:tc>
          <w:tcPr>
            <w:tcW w:w="4614" w:type="dxa"/>
            <w:tcBorders/>
            <w:shd w:fill="auto" w:val="clear"/>
            <w:vAlign w:val="center"/>
          </w:tcPr>
          <w:p>
            <w:pPr>
              <w:pStyle w:val="TableContents"/>
              <w:spacing w:before="0" w:after="283"/>
              <w:rPr>
                <w:sz w:val="4"/>
                <w:szCs w:val="4"/>
              </w:rPr>
            </w:pPr>
            <w:r>
              <w:rPr>
                <w:sz w:val="4"/>
                <w:szCs w:val="4"/>
              </w:rPr>
            </w:r>
          </w:p>
        </w:tc>
        <w:tc>
          <w:tcPr>
            <w:tcW w:w="1149" w:type="dxa"/>
            <w:gridSpan w:val="4"/>
            <w:tcBorders/>
            <w:shd w:fill="auto" w:val="clear"/>
            <w:vAlign w:val="center"/>
          </w:tcPr>
          <w:p>
            <w:pPr>
              <w:pStyle w:val="TableContents"/>
              <w:spacing w:before="0" w:after="283"/>
              <w:rPr>
                <w:sz w:val="4"/>
                <w:szCs w:val="4"/>
              </w:rPr>
            </w:pPr>
            <w:r>
              <w:rPr>
                <w:sz w:val="4"/>
                <w:szCs w:val="4"/>
              </w:rPr>
            </w:r>
          </w:p>
        </w:tc>
        <w:tc>
          <w:tcPr>
            <w:tcW w:w="1109" w:type="dxa"/>
            <w:gridSpan w:val="4"/>
            <w:tcBorders/>
            <w:shd w:fill="auto" w:val="clear"/>
            <w:vAlign w:val="center"/>
          </w:tcPr>
          <w:p>
            <w:pPr>
              <w:pStyle w:val="TableContents"/>
              <w:spacing w:before="0" w:after="283"/>
              <w:rPr>
                <w:sz w:val="4"/>
                <w:szCs w:val="4"/>
              </w:rPr>
            </w:pPr>
            <w:r>
              <w:rPr>
                <w:sz w:val="4"/>
                <w:szCs w:val="4"/>
              </w:rPr>
            </w:r>
          </w:p>
        </w:tc>
        <w:tc>
          <w:tcPr>
            <w:tcW w:w="1108" w:type="dxa"/>
            <w:gridSpan w:val="4"/>
            <w:tcBorders/>
            <w:shd w:fill="auto" w:val="clear"/>
            <w:vAlign w:val="center"/>
          </w:tcPr>
          <w:p>
            <w:pPr>
              <w:pStyle w:val="TableContents"/>
              <w:spacing w:before="0" w:after="283"/>
              <w:rPr>
                <w:sz w:val="4"/>
                <w:szCs w:val="4"/>
              </w:rPr>
            </w:pPr>
            <w:r>
              <w:rPr>
                <w:sz w:val="4"/>
                <w:szCs w:val="4"/>
              </w:rPr>
            </w:r>
          </w:p>
        </w:tc>
        <w:tc>
          <w:tcPr>
            <w:tcW w:w="1109" w:type="dxa"/>
            <w:gridSpan w:val="4"/>
            <w:tcBorders/>
            <w:shd w:fill="auto" w:val="clear"/>
            <w:vAlign w:val="center"/>
          </w:tcPr>
          <w:p>
            <w:pPr>
              <w:pStyle w:val="TableContents"/>
              <w:spacing w:before="0" w:after="283"/>
              <w:rPr>
                <w:sz w:val="4"/>
                <w:szCs w:val="4"/>
              </w:rPr>
            </w:pPr>
            <w:r>
              <w:rPr>
                <w:sz w:val="4"/>
                <w:szCs w:val="4"/>
              </w:rPr>
            </w:r>
          </w:p>
        </w:tc>
        <w:tc>
          <w:tcPr>
            <w:tcW w:w="1116" w:type="dxa"/>
            <w:gridSpan w:val="4"/>
            <w:tcBorders/>
            <w:shd w:fill="auto" w:val="clear"/>
            <w:vAlign w:val="center"/>
          </w:tcPr>
          <w:p>
            <w:pPr>
              <w:pStyle w:val="TableContents"/>
              <w:spacing w:before="0" w:after="283"/>
              <w:rPr>
                <w:sz w:val="4"/>
                <w:szCs w:val="4"/>
              </w:rPr>
            </w:pPr>
            <w:r>
              <w:rPr>
                <w:sz w:val="4"/>
                <w:szCs w:val="4"/>
              </w:rPr>
            </w:r>
          </w:p>
        </w:tc>
      </w:tr>
      <w:tr>
        <w:trPr/>
        <w:tc>
          <w:tcPr>
            <w:tcW w:w="4614"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50.68x</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144.36x</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46.97x</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177.97x</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412.51x</w:t>
            </w:r>
          </w:p>
        </w:tc>
        <w:tc>
          <w:tcPr>
            <w:tcW w:w="133" w:type="dxa"/>
            <w:tcBorders/>
            <w:shd w:fill="CCEEFF"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p>
      <w:pPr>
        <w:pStyle w:val="TextBody"/>
        <w:spacing w:before="0" w:after="0"/>
        <w:rPr>
          <w:rFonts w:ascii="Times New Roman" w:hAnsi="Times New Roman"/>
          <w:sz w:val="20"/>
        </w:rPr>
      </w:pPr>
      <w:r>
        <w:rPr>
          <w:rFonts w:ascii="Times New Roman" w:hAnsi="Times New Roman"/>
          <w:sz w:val="20"/>
        </w:rPr>
        <w:t xml:space="preserve">(a) Includes amortization of deferred financing costs. </w:t>
      </w:r>
      <w:r>
        <w:br w:type="page"/>
      </w:r>
    </w:p>
    <w:p>
      <w:pPr>
        <w:pStyle w:val="TextBody"/>
        <w:spacing w:before="0" w:after="0"/>
        <w:jc w:val="right"/>
        <w:rPr>
          <w:rFonts w:ascii="Times New Roman" w:hAnsi="Times New Roman"/>
          <w:b/>
          <w:sz w:val="20"/>
        </w:rPr>
      </w:pPr>
      <w:bookmarkStart w:id="27" w:name="d267319dex231.htm"/>
      <w:bookmarkStart w:id="28" w:name="ksd267319dex231"/>
      <w:bookmarkEnd w:id="27"/>
      <w:bookmarkEnd w:id="28"/>
      <w:r>
        <w:rPr>
          <w:rFonts w:ascii="Times New Roman" w:hAnsi="Times New Roman"/>
          <w:b/>
          <w:sz w:val="20"/>
        </w:rPr>
        <w:t xml:space="preserve">Exhibit 23.1 </w:t>
      </w:r>
    </w:p>
    <w:p>
      <w:pPr>
        <w:pStyle w:val="TextBody"/>
        <w:spacing w:before="180" w:after="0"/>
        <w:jc w:val="center"/>
        <w:rPr>
          <w:rFonts w:ascii="Times New Roman" w:hAnsi="Times New Roman"/>
          <w:sz w:val="20"/>
          <w:u w:val="single"/>
        </w:rPr>
      </w:pPr>
      <w:r>
        <w:rPr>
          <w:rFonts w:ascii="Times New Roman" w:hAnsi="Times New Roman"/>
          <w:sz w:val="20"/>
          <w:u w:val="single"/>
        </w:rPr>
        <w:t xml:space="preserve">Consent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EZCORP, Inc. </w:t>
      </w:r>
    </w:p>
    <w:p>
      <w:pPr>
        <w:pStyle w:val="TextBody"/>
        <w:spacing w:before="0" w:after="0"/>
        <w:rPr>
          <w:rFonts w:ascii="Times New Roman" w:hAnsi="Times New Roman"/>
          <w:sz w:val="20"/>
        </w:rPr>
      </w:pPr>
      <w:r>
        <w:rPr>
          <w:rFonts w:ascii="Times New Roman" w:hAnsi="Times New Roman"/>
          <w:sz w:val="20"/>
        </w:rPr>
        <w:t xml:space="preserve">Austin, Texas </w:t>
      </w:r>
    </w:p>
    <w:p>
      <w:pPr>
        <w:pStyle w:val="TextBody"/>
        <w:spacing w:before="180" w:after="0"/>
        <w:rPr>
          <w:rFonts w:ascii="Times New Roman" w:hAnsi="Times New Roman"/>
          <w:sz w:val="20"/>
        </w:rPr>
      </w:pPr>
      <w:r>
        <w:rPr>
          <w:rFonts w:ascii="Times New Roman" w:hAnsi="Times New Roman"/>
          <w:sz w:val="20"/>
        </w:rPr>
        <w:t xml:space="preserve">We hereby consent to the incorporation by reference in the Prospectus constituting a part of this Registration Statement of our reports dated November 23, 2011 except with respect to our opinion on the consolidated financial statements insofar as it related to the presentation of financial information of guarantor and non-guarantor subsidiaries discussed in Note U, as to which the date is February 3, 2012, relating to the consolidated financial statements and the effectiveness of internal control over financial reporting of EZCORP, Inc. included in the Current Report on Form 8-K. </w:t>
      </w:r>
    </w:p>
    <w:p>
      <w:pPr>
        <w:pStyle w:val="TextBody"/>
        <w:spacing w:before="180" w:after="0"/>
        <w:rPr>
          <w:rFonts w:ascii="Times New Roman" w:hAnsi="Times New Roman"/>
          <w:sz w:val="20"/>
        </w:rPr>
      </w:pPr>
      <w:r>
        <w:rPr>
          <w:rFonts w:ascii="Times New Roman" w:hAnsi="Times New Roman"/>
          <w:sz w:val="20"/>
        </w:rPr>
        <w:t xml:space="preserve">We also consent to the reference to us under the caption Experts in the Prospectus. </w:t>
      </w:r>
    </w:p>
    <w:p>
      <w:pPr>
        <w:pStyle w:val="TextBody"/>
        <w:spacing w:before="180" w:after="0"/>
        <w:rPr>
          <w:rFonts w:ascii="Times New Roman" w:hAnsi="Times New Roman"/>
          <w:sz w:val="20"/>
        </w:rPr>
      </w:pPr>
      <w:r>
        <w:rPr>
          <w:rFonts w:ascii="Times New Roman" w:hAnsi="Times New Roman"/>
          <w:sz w:val="20"/>
        </w:rPr>
        <w:t xml:space="preserve">/s/ BDO USA, LLP </w:t>
      </w:r>
    </w:p>
    <w:p>
      <w:pPr>
        <w:pStyle w:val="TextBody"/>
        <w:spacing w:before="180" w:after="0"/>
        <w:rPr>
          <w:rFonts w:ascii="Times New Roman" w:hAnsi="Times New Roman"/>
          <w:sz w:val="20"/>
        </w:rPr>
      </w:pPr>
      <w:r>
        <w:rPr>
          <w:rFonts w:ascii="Times New Roman" w:hAnsi="Times New Roman"/>
          <w:sz w:val="20"/>
        </w:rPr>
        <w:t xml:space="preserve">Dallas, Texas </w:t>
      </w:r>
    </w:p>
    <w:p>
      <w:pPr>
        <w:pStyle w:val="TextBody"/>
        <w:spacing w:before="0" w:after="0"/>
        <w:rPr>
          <w:rFonts w:ascii="Times New Roman" w:hAnsi="Times New Roman"/>
          <w:sz w:val="20"/>
        </w:rPr>
      </w:pPr>
      <w:r>
        <w:rPr>
          <w:rFonts w:ascii="Times New Roman" w:hAnsi="Times New Roman"/>
          <w:sz w:val="20"/>
        </w:rPr>
        <w:t xml:space="preserve">February 3, 2012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232</Pages>
  <Words>105006</Words>
  <CharactersWithSpaces>643445</CharactersWithSpaces>
  <Paragraphs>8373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Consent of independent registered public accounting firm</dc:title>
</cp:coreProperties>
</file>