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EZCORP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#302301106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#302301106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125,950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525,450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525,450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1.028%</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#302301106</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525,450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525,450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1.028%</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EZCORP INC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2500 Bee Cave Rd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 1, Suite 200</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Rollingwood, TX 78746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CLASS A 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302301106</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525,450</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1.028%</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125,950</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525,450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bl>
    <w:p>
      <w:pPr>
        <w:spacing w:after="0" w:line="207" w:lineRule="exact"/>
        <w:rPr>
          <w:sz w:val="20"/>
          <w:szCs w:val="20"/>
          <w:color w:val="auto"/>
        </w:rPr>
      </w:pPr>
    </w:p>
    <w:p>
      <w:pPr>
        <w:ind w:right="14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208"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COMMON STOCK of EZCORP INC. No one other person's interest in the CLASS A COMMON STOCK of EZCORP INC is more than five percent of the total outstanding CLASS A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90" w:lineRule="auto"/>
        <w:rPr>
          <w:sz w:val="20"/>
          <w:szCs w:val="20"/>
          <w:color w:val="auto"/>
        </w:rPr>
      </w:pPr>
      <w:r>
        <w:rPr>
          <w:rFonts w:ascii="Courier New" w:cs="Courier New" w:eastAsia="Courier New" w:hAnsi="Courier New"/>
          <w:sz w:val="16"/>
          <w:szCs w:val="16"/>
          <w:color w:val="auto"/>
        </w:rPr>
        <w:t>Pursuant to the instructions in Item 7 of Schedule 13G, the following table lists the identity and Item 3 classification, if</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2619"/>
        <w:spacing w:after="0" w:line="235" w:lineRule="auto"/>
        <w:rPr>
          <w:sz w:val="20"/>
          <w:szCs w:val="20"/>
          <w:color w:val="auto"/>
        </w:rPr>
      </w:pPr>
      <w:r>
        <w:rPr>
          <w:rFonts w:ascii="Courier New" w:cs="Courier New" w:eastAsia="Courier New" w:hAnsi="Courier New"/>
          <w:sz w:val="18"/>
          <w:szCs w:val="18"/>
          <w:color w:val="auto"/>
        </w:rPr>
        <w:t>applicable, of each relevant entity that beneficially owns shares of the security class being reported on this Schedule 13G.</w:t>
      </w: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CLASS A COMMON STOCK of EZCORP INC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42"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2020-01-16T07:41:58Z</dcterms:created>
  <dcterms:modified xsi:type="dcterms:W3CDTF">2020-01-16T07:41:58Z</dcterms:modified>
</cp:coreProperties>
</file>