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Thomas Craig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 N. IH 35, SUITE 12C-1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5.3533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22.0736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22.1018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22.1536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22.18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22.1936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22.195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22.21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24,859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22.2101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22.2136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22.22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22.2236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22.2323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22.2325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22.239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22.24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22.2408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22.2418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22.245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22.2454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6"/>
                <w:vertAlign w:val="subscript"/>
              </w:rPr>
              <w:t>21,500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1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278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5.3533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5.3533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 w:right="540" w:firstLine="8"/>
        <w:spacing w:after="0" w:line="272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8,500 unvested Restricted Stock Awards. The Total Non-Derivative Securities Beneficially Owned does not include 15,000 Derivative Securities currently held by Reporting Person.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is 1 of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Laura Jones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2020-01-29T09:08:32Z</dcterms:created>
  <dcterms:modified xsi:type="dcterms:W3CDTF">2020-01-29T09:08:32Z</dcterms:modified>
</cp:coreProperties>
</file>